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10.xml" ContentType="application/vnd.ms-office.activeX+xml"/>
  <Override PartName="/word/activeX/activeX11.xml" ContentType="application/vnd.ms-office.activeX+xml"/>
  <Override PartName="/word/activeX/activeX12.xml" ContentType="application/vnd.ms-office.activeX+xml"/>
  <Override PartName="/word/activeX/activeX13.xml" ContentType="application/vnd.ms-office.activeX+xml"/>
  <Override PartName="/word/activeX/activeX14.xml" ContentType="application/vnd.ms-office.activeX+xml"/>
  <Override PartName="/word/activeX/activeX15.xml" ContentType="application/vnd.ms-office.activeX+xml"/>
  <Override PartName="/word/activeX/activeX16.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activeX/activeX8.xml" ContentType="application/vnd.ms-office.activeX+xml"/>
  <Override PartName="/word/activeX/activeX9.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69aadef12e2245a095cedfb3c4dd3e60"/>
        <w:lock w:val="sdtLocked"/>
        <w:richText/>
      </w:sdtPr>
      <w:sdtContent>
        <w:p>
          <w:pPr>
            <w:jc w:val="both"/>
            <w:rPr>
              <w:rFonts w:ascii="Times New Roman" w:hAnsi="Times New Roman"/>
            </w:rPr>
          </w:pPr>
          <w:r>
            <w:rPr>
              <w:rFonts w:ascii="Times New Roman" w:hAnsi="Times New Roman"/>
              <w:b/>
              <w:i/>
            </w:rPr>
            <w:t>Suvestinė redakcija nuo 2023-07-01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2008, Nr. </w:t>
          </w:r>
          <w:fldSimple w:instr="HYPERLINK https://www.e-tar.lt/portal/legalAct.html?documentId=TAR.AB0DC76B69A0">
            <w:r w:rsidRPr="00532B9F">
              <w:rPr>
                <w:rFonts w:ascii="Times New Roman" w:eastAsia="MS Mincho" w:hAnsi="Times New Roman"/>
                <w:sz w:val="20"/>
                <w:i/>
                <w:iCs/>
                <w:color w:val="0000FF" w:themeColor="hyperlink"/>
                <w:u w:val="single"/>
              </w:rPr>
              <w:t>131-5022</w:t>
            </w:r>
          </w:fldSimple>
          <w:r>
            <w:rPr>
              <w:rFonts w:ascii="Times New Roman" w:eastAsia="MS Mincho" w:hAnsi="Times New Roman"/>
              <w:sz w:val="20"/>
              <w:i/>
              <w:iCs/>
            </w:rPr>
            <w:t>, i. k. 1081010ISTA00X-1771</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2023-07-01:</w:t>
          </w:r>
        </w:p>
        <w:p>
          <w:pPr>
            <w:rPr>
              <w:rFonts w:ascii="Times New Roman" w:hAnsi="Times New Roman"/>
              <w:sz w:val="20"/>
              <w:i/>
            </w:rPr>
          </w:pPr>
          <w:r>
            <w:rPr>
              <w:rFonts w:ascii="Times New Roman" w:hAnsi="Times New Roman"/>
              <w:sz w:val="20"/>
              <w:i/>
            </w:rPr>
            <w:t xml:space="preserve">Nr. </w:t>
          </w:r>
          <w:fldSimple w:instr="HYPERLINK https://www.e-tar.lt/portal/legalAct.html?documentId=1001fbf006ca11ee9978886e85107ab2">
            <w:r w:rsidRPr="00532B9F">
              <w:rPr>
                <w:rFonts w:ascii="Times New Roman" w:eastAsia="MS Mincho" w:hAnsi="Times New Roman"/>
                <w:sz w:val="20"/>
                <w:i/>
                <w:iCs/>
                <w:color w:val="0000FF" w:themeColor="hyperlink"/>
                <w:u w:val="single"/>
              </w:rPr>
              <w:t>XIV-2015</w:t>
            </w:r>
          </w:fldSimple>
          <w:r>
            <w:rPr>
              <w:rFonts w:ascii="Times New Roman" w:eastAsia="MS Mincho" w:hAnsi="Times New Roman"/>
              <w:sz w:val="20"/>
              <w:i/>
              <w:iCs/>
            </w:rPr>
            <w:t>,
2023-05-25,
paskelbta TAR 2023-06-09, i. k. 2023-11594                </w:t>
          </w:r>
        </w:p>
        <w:p>
          <w:pPr>
            <w:rPr>
              <w:rFonts w:ascii="Times New Roman" w:hAnsi="Times New Roman"/>
              <w:sz w:val="22"/>
            </w:rPr>
          </w:pPr>
        </w:p>
        <w:p>
          <w:pPr>
            <w:jc w:val="center"/>
          </w:pPr>
          <w:r>
            <w:rPr>
              <w:b/>
              <w:bCs/>
              <w:caps/>
              <w:color w:val="000000"/>
              <w:szCs w:val="24"/>
              <w:lang w:eastAsia="lt-LT"/>
            </w:rPr>
            <w:t>LIETUVOS RESPUBLIKOS</w:t>
          </w:r>
        </w:p>
        <w:p>
          <w:pPr>
            <w:jc w:val="center"/>
          </w:pPr>
          <w:r>
            <w:rPr>
              <w:b/>
              <w:szCs w:val="24"/>
            </w:rPr>
            <w:t>TEISĖJŲ ATLYGINIMŲ</w:t>
          </w:r>
        </w:p>
        <w:p>
          <w:pPr>
            <w:jc w:val="center"/>
            <w:rPr>
              <w:b/>
              <w:bCs/>
              <w:caps/>
              <w:color w:val="000000"/>
              <w:szCs w:val="24"/>
              <w:lang w:eastAsia="lt-LT"/>
            </w:rPr>
          </w:pPr>
          <w:r>
            <w:rPr>
              <w:b/>
              <w:bCs/>
              <w:caps/>
              <w:color w:val="000000"/>
              <w:szCs w:val="24"/>
              <w:lang w:eastAsia="lt-LT"/>
            </w:rPr>
            <w:t>ĮSTATYMAS</w:t>
          </w:r>
        </w:p>
        <w:p>
          <w:pPr>
            <w:jc w:val="center"/>
            <w:rPr>
              <w:b/>
              <w:bCs/>
              <w:caps/>
              <w:color w:val="000000"/>
              <w:szCs w:val="24"/>
              <w:lang w:eastAsia="lt-LT"/>
            </w:rPr>
          </w:pPr>
        </w:p>
        <w:p>
          <w:pPr>
            <w:jc w:val="center"/>
          </w:pPr>
          <w:r>
            <w:t>2008 m. lapkričio 6 d. Nr. X-1771</w:t>
          </w:r>
        </w:p>
        <w:p>
          <w:pPr>
            <w:jc w:val="center"/>
          </w:pPr>
          <w:r>
            <w:t>Vilnius</w:t>
          </w:r>
        </w:p>
        <w:p>
          <w:pPr>
            <w:jc w:val="center"/>
          </w:pPr>
        </w:p>
        <w:p>
          <w:pPr>
            <w:ind w:firstLine="720"/>
            <w:rPr>
              <w:sz w:val="22"/>
            </w:rPr>
          </w:pPr>
        </w:p>
        <w:sdt>
          <w:sdtPr>
            <w:alias w:val="1 str."/>
            <w:tag w:val="part_74bf0e07a1864d23a611f0e9a53fe6bd"/>
            <w:lock w:val="sdtLocked"/>
            <w:richText/>
          </w:sdtPr>
          <w:sdtContent>
            <w:p>
              <w:pPr>
                <w:spacing w:line="380" w:lineRule="atLeast"/>
                <w:ind w:firstLine="720"/>
                <w:jc w:val="both"/>
              </w:pPr>
              <w:sdt>
                <w:sdtPr>
                  <w:alias w:val="Numeris"/>
                  <w:tag w:val="nr_74bf0e07a1864d23a611f0e9a53fe6bd"/>
                  <w:lock w:val="sdtLocked"/>
                  <w:richText/>
                </w:sdtPr>
                <w:sdtContent>
                  <w:r>
                    <w:rPr>
                      <w:b/>
                      <w:bCs/>
                      <w:color w:val="000000"/>
                      <w:szCs w:val="24"/>
                      <w:lang w:eastAsia="lt-LT"/>
                    </w:rPr>
                    <w:t>1</w:t>
                  </w:r>
                </w:sdtContent>
              </w:sdt>
              <w:r>
                <w:rPr>
                  <w:color w:val="000000"/>
                  <w:szCs w:val="24"/>
                  <w:lang w:eastAsia="lt-LT"/>
                </w:rPr>
                <w:t xml:space="preserve"> </w:t>
              </w:r>
              <w:r>
                <w:rPr>
                  <w:b/>
                  <w:bCs/>
                  <w:color w:val="000000"/>
                  <w:szCs w:val="24"/>
                  <w:lang w:eastAsia="lt-LT"/>
                </w:rPr>
                <w:t xml:space="preserve">straipsnis. </w:t>
              </w:r>
              <w:sdt>
                <w:sdtPr>
                  <w:alias w:val="Pavadinimas"/>
                  <w:tag w:val="title_74bf0e07a1864d23a611f0e9a53fe6bd"/>
                  <w:lock w:val="sdtLocked"/>
                  <w:richText/>
                </w:sdtPr>
                <w:sdtContent>
                  <w:r>
                    <w:rPr>
                      <w:b/>
                      <w:bCs/>
                      <w:color w:val="000000"/>
                      <w:szCs w:val="24"/>
                      <w:lang w:eastAsia="lt-LT"/>
                    </w:rPr>
                    <w:t>Įstatymo paskirtis</w:t>
                  </w:r>
                </w:sdtContent>
              </w:sdt>
            </w:p>
            <w:sdt>
              <w:sdtPr>
                <w:alias w:val="1 str. 1 d."/>
                <w:tag w:val="part_91a1ae68b5f344fa987dbb2b2001c9c2"/>
                <w:lock w:val="sdtLocked"/>
                <w:richText/>
              </w:sdtPr>
              <w:sdtContent>
                <w:p>
                  <w:pPr>
                    <w:spacing w:line="380" w:lineRule="atLeast"/>
                    <w:ind w:firstLine="720"/>
                    <w:jc w:val="both"/>
                  </w:pPr>
                  <w:r>
                    <w:rPr>
                      <w:color w:val="000000"/>
                      <w:szCs w:val="24"/>
                      <w:lang w:eastAsia="lt-LT"/>
                    </w:rPr>
                    <w:t xml:space="preserve">Šis įstatymas nustato Lietuvos Respublikos teisėjų </w:t>
                  </w:r>
                  <w:r>
                    <w:t>atlyginimų dydžius ir atlyginimų mokėjimo sąlygas</w:t>
                  </w:r>
                  <w:r>
                    <w:rPr>
                      <w:color w:val="000000"/>
                      <w:szCs w:val="24"/>
                      <w:lang w:eastAsia="lt-LT"/>
                    </w:rPr>
                    <w:t>.</w:t>
                  </w:r>
                </w:p>
                <w:p>
                  <w:pPr>
                    <w:ind w:firstLine="720"/>
                    <w:jc w:val="both"/>
                  </w:pPr>
                </w:p>
              </w:sdtContent>
            </w:sdt>
          </w:sdtContent>
        </w:sdt>
        <w:sdt>
          <w:sdtPr>
            <w:alias w:val="2 str."/>
            <w:tag w:val="part_a34a3b3d2d44461d824b91dd3ee0d673"/>
            <w:lock w:val="sdtLocked"/>
            <w:richText/>
          </w:sdtPr>
          <w:sdtContent>
            <w:p>
              <w:pPr>
                <w:spacing w:line="380" w:lineRule="atLeast"/>
                <w:ind w:firstLine="720"/>
                <w:jc w:val="both"/>
              </w:pPr>
              <w:sdt>
                <w:sdtPr>
                  <w:alias w:val="Numeris"/>
                  <w:tag w:val="nr_a34a3b3d2d44461d824b91dd3ee0d673"/>
                  <w:lock w:val="sdtLocked"/>
                  <w:richText/>
                </w:sdtPr>
                <w:sdtContent>
                  <w:r>
                    <w:rPr>
                      <w:b/>
                      <w:bCs/>
                      <w:color w:val="000000"/>
                      <w:szCs w:val="24"/>
                      <w:lang w:eastAsia="lt-LT"/>
                    </w:rPr>
                    <w:t>2</w:t>
                  </w:r>
                </w:sdtContent>
              </w:sdt>
              <w:r>
                <w:rPr>
                  <w:color w:val="000000"/>
                  <w:szCs w:val="24"/>
                  <w:lang w:eastAsia="lt-LT"/>
                </w:rPr>
                <w:t xml:space="preserve"> </w:t>
              </w:r>
              <w:r>
                <w:rPr>
                  <w:b/>
                  <w:bCs/>
                  <w:color w:val="000000"/>
                  <w:szCs w:val="24"/>
                  <w:lang w:eastAsia="lt-LT"/>
                </w:rPr>
                <w:t xml:space="preserve">straipsnis. </w:t>
              </w:r>
              <w:sdt>
                <w:sdtPr>
                  <w:alias w:val="Pavadinimas"/>
                  <w:tag w:val="title_a34a3b3d2d44461d824b91dd3ee0d673"/>
                  <w:lock w:val="sdtLocked"/>
                  <w:richText/>
                </w:sdtPr>
                <w:sdtContent>
                  <w:r>
                    <w:rPr>
                      <w:b/>
                      <w:bCs/>
                      <w:color w:val="000000"/>
                      <w:szCs w:val="24"/>
                      <w:lang w:eastAsia="lt-LT"/>
                    </w:rPr>
                    <w:t>Įstatymo taikymas</w:t>
                  </w:r>
                </w:sdtContent>
              </w:sdt>
            </w:p>
            <w:sdt>
              <w:sdtPr>
                <w:alias w:val="2 str. 1 d."/>
                <w:tag w:val="part_3bea57d442ab455fbd2818314f316a10"/>
                <w:lock w:val="sdtLocked"/>
                <w:richText/>
              </w:sdtPr>
              <w:sdtContent>
                <w:p>
                  <w:pPr>
                    <w:spacing w:line="380" w:lineRule="atLeast"/>
                    <w:ind w:firstLine="720"/>
                    <w:jc w:val="both"/>
                  </w:pPr>
                  <w:r>
                    <w:rPr>
                      <w:color w:val="000000"/>
                      <w:szCs w:val="24"/>
                      <w:lang w:eastAsia="lt-LT"/>
                    </w:rPr>
                    <w:t>Šiame įstatyme nustatytas atlyginimas mokamas šių teismų pirmininkams, pirmininkų pavaduotojams, skyrių pirmininkams ir teisėjams (toliau – teisėjai):</w:t>
                  </w:r>
                </w:p>
                <w:sdt>
                  <w:sdtPr>
                    <w:alias w:val="2 str. 1 d. 1 p."/>
                    <w:tag w:val="part_f34139f18f5943a5b0a3d42617f06fbb"/>
                    <w:lock w:val="sdtLocked"/>
                    <w:richText/>
                  </w:sdtPr>
                  <w:sdtContent>
                    <w:p>
                      <w:pPr>
                        <w:spacing w:line="380" w:lineRule="atLeast"/>
                        <w:ind w:firstLine="720"/>
                        <w:jc w:val="both"/>
                      </w:pPr>
                      <w:sdt>
                        <w:sdtPr>
                          <w:alias w:val="Numeris"/>
                          <w:tag w:val="nr_f34139f18f5943a5b0a3d42617f06fbb"/>
                          <w:lock w:val="sdtLocked"/>
                          <w:richText/>
                        </w:sdtPr>
                        <w:sdtContent>
                          <w:r>
                            <w:rPr>
                              <w:color w:val="000000"/>
                              <w:szCs w:val="24"/>
                              <w:lang w:eastAsia="lt-LT"/>
                            </w:rPr>
                            <w:t>1</w:t>
                          </w:r>
                        </w:sdtContent>
                      </w:sdt>
                      <w:r>
                        <w:rPr>
                          <w:color w:val="000000"/>
                          <w:szCs w:val="24"/>
                          <w:lang w:eastAsia="lt-LT"/>
                        </w:rPr>
                        <w:t>) Lietuvos Respublikos Konstitucinio Teismo;</w:t>
                      </w:r>
                    </w:p>
                  </w:sdtContent>
                </w:sdt>
                <w:sdt>
                  <w:sdtPr>
                    <w:alias w:val="2 str. 1 d. 2 p."/>
                    <w:tag w:val="part_4d9dbfa6cd1b4437b20938cae69b79e9"/>
                    <w:lock w:val="sdtLocked"/>
                    <w:richText/>
                  </w:sdtPr>
                  <w:sdtContent>
                    <w:p>
                      <w:pPr>
                        <w:spacing w:line="380" w:lineRule="atLeast"/>
                        <w:ind w:firstLine="720"/>
                        <w:jc w:val="both"/>
                      </w:pPr>
                      <w:sdt>
                        <w:sdtPr>
                          <w:alias w:val="Numeris"/>
                          <w:tag w:val="nr_4d9dbfa6cd1b4437b20938cae69b79e9"/>
                          <w:lock w:val="sdtLocked"/>
                          <w:richText/>
                        </w:sdtPr>
                        <w:sdtContent>
                          <w:r>
                            <w:rPr>
                              <w:color w:val="000000"/>
                              <w:szCs w:val="24"/>
                              <w:lang w:eastAsia="lt-LT"/>
                            </w:rPr>
                            <w:t>2</w:t>
                          </w:r>
                        </w:sdtContent>
                      </w:sdt>
                      <w:r>
                        <w:rPr>
                          <w:color w:val="000000"/>
                          <w:szCs w:val="24"/>
                          <w:lang w:eastAsia="lt-LT"/>
                        </w:rPr>
                        <w:t>) bendrosios kompetencijos ir specializuotų teismų: Lietuvos Aukščiausiojo Teismo, Lietuvos vyriausiojo administracinio teismo, Lietuvos apeliacinio teismo, apygardų teismų, apygardų administracinių teismų, apylinkių teismų.</w:t>
                      </w:r>
                    </w:p>
                    <w:p>
                      <w:pPr>
                        <w:ind w:firstLine="720"/>
                        <w:jc w:val="both"/>
                      </w:pPr>
                    </w:p>
                  </w:sdtContent>
                </w:sdt>
              </w:sdtContent>
            </w:sdt>
          </w:sdtContent>
        </w:sdt>
        <w:sdt>
          <w:sdtPr>
            <w:alias w:val="3 str."/>
            <w:tag w:val="part_ebff9ab3c1a84d8a9f8c291464445872"/>
            <w:lock w:val="sdtLocked"/>
            <w:richText/>
          </w:sdtPr>
          <w:sdtContent>
            <w:p>
              <w:pPr>
                <w:spacing w:line="380" w:lineRule="atLeast"/>
                <w:ind w:firstLine="720"/>
                <w:jc w:val="both"/>
              </w:pPr>
              <w:sdt>
                <w:sdtPr>
                  <w:alias w:val="Numeris"/>
                  <w:tag w:val="nr_ebff9ab3c1a84d8a9f8c291464445872"/>
                  <w:lock w:val="sdtLocked"/>
                  <w:richText/>
                </w:sdtPr>
                <w:sdtContent>
                  <w:r>
                    <w:rPr>
                      <w:b/>
                      <w:bCs/>
                      <w:szCs w:val="24"/>
                      <w:lang w:eastAsia="lt-LT"/>
                    </w:rPr>
                    <w:t>3</w:t>
                  </w:r>
                </w:sdtContent>
              </w:sdt>
              <w:r>
                <w:rPr>
                  <w:b/>
                  <w:bCs/>
                  <w:szCs w:val="24"/>
                  <w:lang w:eastAsia="lt-LT"/>
                </w:rPr>
                <w:t xml:space="preserve"> straipsnis. </w:t>
              </w:r>
              <w:sdt>
                <w:sdtPr>
                  <w:alias w:val="Pavadinimas"/>
                  <w:tag w:val="title_ebff9ab3c1a84d8a9f8c291464445872"/>
                  <w:lock w:val="sdtLocked"/>
                  <w:richText/>
                </w:sdtPr>
                <w:sdtContent>
                  <w:r>
                    <w:rPr>
                      <w:b/>
                      <w:bCs/>
                      <w:szCs w:val="24"/>
                      <w:lang w:eastAsia="lt-LT"/>
                    </w:rPr>
                    <w:t>Teisėjų atlyginimas</w:t>
                  </w:r>
                </w:sdtContent>
              </w:sdt>
            </w:p>
            <w:sdt>
              <w:sdtPr>
                <w:alias w:val="3 str. 1 d."/>
                <w:tag w:val="part_75d766c3ebd84693a827ab16d9b053db"/>
                <w:lock w:val="sdtLocked"/>
                <w:richText/>
              </w:sdtPr>
              <w:sdtContent>
                <w:p>
                  <w:pPr>
                    <w:spacing w:line="380" w:lineRule="atLeast"/>
                    <w:ind w:firstLine="720"/>
                    <w:jc w:val="both"/>
                  </w:pPr>
                  <w:sdt>
                    <w:sdtPr>
                      <w:alias w:val="Numeris"/>
                      <w:tag w:val="nr_75d766c3ebd84693a827ab16d9b053db"/>
                      <w:lock w:val="sdtLocked"/>
                      <w:richText/>
                    </w:sdtPr>
                    <w:sdtContent>
                      <w:r>
                        <w:rPr>
                          <w:color w:val="000000"/>
                          <w:szCs w:val="24"/>
                          <w:lang w:eastAsia="lt-LT"/>
                        </w:rPr>
                        <w:t>1</w:t>
                      </w:r>
                    </w:sdtContent>
                  </w:sdt>
                  <w:r>
                    <w:rPr>
                      <w:color w:val="000000"/>
                      <w:szCs w:val="24"/>
                      <w:lang w:eastAsia="lt-LT"/>
                    </w:rPr>
                    <w:t>. Konstitucinio Teismo teisėjų atlyginimą sudaro:</w:t>
                  </w:r>
                </w:p>
                <w:sdt>
                  <w:sdtPr>
                    <w:alias w:val="3 str. 1 d. 1 p."/>
                    <w:tag w:val="part_0ac899bdd8b34488801c01ba39cee8c3"/>
                    <w:lock w:val="sdtLocked"/>
                    <w:richText/>
                  </w:sdtPr>
                  <w:sdtContent>
                    <w:p>
                      <w:pPr>
                        <w:spacing w:line="380" w:lineRule="atLeast"/>
                        <w:ind w:firstLine="720"/>
                        <w:jc w:val="both"/>
                      </w:pPr>
                      <w:sdt>
                        <w:sdtPr>
                          <w:alias w:val="Numeris"/>
                          <w:tag w:val="nr_0ac899bdd8b34488801c01ba39cee8c3"/>
                          <w:lock w:val="sdtLocked"/>
                          <w:richText/>
                        </w:sdtPr>
                        <w:sdtContent>
                          <w:r>
                            <w:rPr>
                              <w:color w:val="000000"/>
                              <w:szCs w:val="24"/>
                              <w:lang w:eastAsia="lt-LT"/>
                            </w:rPr>
                            <w:t>1</w:t>
                          </w:r>
                        </w:sdtContent>
                      </w:sdt>
                      <w:r>
                        <w:rPr>
                          <w:color w:val="000000"/>
                          <w:szCs w:val="24"/>
                          <w:lang w:eastAsia="lt-LT"/>
                        </w:rPr>
                        <w:t>) pareiginė alga;</w:t>
                      </w:r>
                    </w:p>
                  </w:sdtContent>
                </w:sdt>
                <w:sdt>
                  <w:sdtPr>
                    <w:alias w:val="3 str. 1 d. 2 p."/>
                    <w:tag w:val="part_55101592c2e14d74a216b278d965083c"/>
                    <w:lock w:val="sdtLocked"/>
                    <w:richText/>
                  </w:sdtPr>
                  <w:sdtContent>
                    <w:p>
                      <w:pPr>
                        <w:spacing w:line="380" w:lineRule="atLeast"/>
                        <w:ind w:firstLine="720"/>
                        <w:jc w:val="both"/>
                      </w:pPr>
                      <w:sdt>
                        <w:sdtPr>
                          <w:alias w:val="Numeris"/>
                          <w:tag w:val="nr_55101592c2e14d74a216b278d965083c"/>
                          <w:lock w:val="sdtLocked"/>
                          <w:richText/>
                        </w:sdtPr>
                        <w:sdtContent>
                          <w:r>
                            <w:rPr>
                              <w:color w:val="000000"/>
                              <w:szCs w:val="24"/>
                              <w:lang w:eastAsia="lt-LT"/>
                            </w:rPr>
                            <w:t>2</w:t>
                          </w:r>
                        </w:sdtContent>
                      </w:sdt>
                      <w:r>
                        <w:rPr>
                          <w:color w:val="000000"/>
                          <w:szCs w:val="24"/>
                          <w:lang w:eastAsia="lt-LT"/>
                        </w:rPr>
                        <w:t>) mokėjimas už darbą poilsio ir švenčių dienomis ir pavadavimą.</w:t>
                      </w:r>
                    </w:p>
                  </w:sdtContent>
                </w:sdt>
              </w:sdtContent>
            </w:sdt>
            <w:sdt>
              <w:sdtPr>
                <w:alias w:val="3 str. 2 d."/>
                <w:tag w:val="part_4755b960bf3d45b79a7c281683396007"/>
                <w:lock w:val="sdtLocked"/>
                <w:richText/>
              </w:sdtPr>
              <w:sdtContent>
                <w:p>
                  <w:pPr>
                    <w:spacing w:line="380" w:lineRule="atLeast"/>
                    <w:ind w:firstLine="720"/>
                    <w:jc w:val="both"/>
                  </w:pPr>
                  <w:sdt>
                    <w:sdtPr>
                      <w:alias w:val="Numeris"/>
                      <w:tag w:val="nr_4755b960bf3d45b79a7c281683396007"/>
                      <w:lock w:val="sdtLocked"/>
                      <w:richText/>
                    </w:sdtPr>
                    <w:sdtContent>
                      <w:r>
                        <w:rPr>
                          <w:color w:val="000000"/>
                          <w:szCs w:val="24"/>
                          <w:lang w:eastAsia="lt-LT"/>
                        </w:rPr>
                        <w:t>2</w:t>
                      </w:r>
                    </w:sdtContent>
                  </w:sdt>
                  <w:r>
                    <w:rPr>
                      <w:color w:val="000000"/>
                      <w:szCs w:val="24"/>
                      <w:lang w:eastAsia="lt-LT"/>
                    </w:rPr>
                    <w:t>. Bendrosios kompetencijos ir specializuotų teismų teisėjų atlyginimą sudaro:</w:t>
                  </w:r>
                </w:p>
                <w:sdt>
                  <w:sdtPr>
                    <w:alias w:val="3 str. 2 d. 1 p."/>
                    <w:tag w:val="part_ab6f4202bd40461c9619419f543a165e"/>
                    <w:lock w:val="sdtLocked"/>
                    <w:richText/>
                  </w:sdtPr>
                  <w:sdtContent>
                    <w:p>
                      <w:pPr>
                        <w:spacing w:line="380" w:lineRule="atLeast"/>
                        <w:ind w:firstLine="720"/>
                        <w:jc w:val="both"/>
                      </w:pPr>
                      <w:sdt>
                        <w:sdtPr>
                          <w:alias w:val="Numeris"/>
                          <w:tag w:val="nr_ab6f4202bd40461c9619419f543a165e"/>
                          <w:lock w:val="sdtLocked"/>
                          <w:richText/>
                        </w:sdtPr>
                        <w:sdtContent>
                          <w:r>
                            <w:rPr>
                              <w:color w:val="000000"/>
                              <w:szCs w:val="24"/>
                              <w:lang w:eastAsia="lt-LT"/>
                            </w:rPr>
                            <w:t>1</w:t>
                          </w:r>
                        </w:sdtContent>
                      </w:sdt>
                      <w:r>
                        <w:rPr>
                          <w:color w:val="000000"/>
                          <w:szCs w:val="24"/>
                          <w:lang w:eastAsia="lt-LT"/>
                        </w:rPr>
                        <w:t>) pareiginė alga;</w:t>
                      </w:r>
                    </w:p>
                  </w:sdtContent>
                </w:sdt>
                <w:sdt>
                  <w:sdtPr>
                    <w:alias w:val="3 str. 2 d. 2 p."/>
                    <w:tag w:val="part_bb76337affb1458a9ac52929533fe3b5"/>
                    <w:lock w:val="sdtLocked"/>
                    <w:richText/>
                  </w:sdtPr>
                  <w:sdtContent>
                    <w:p>
                      <w:pPr>
                        <w:spacing w:line="380" w:lineRule="atLeast"/>
                        <w:ind w:firstLine="720"/>
                        <w:jc w:val="both"/>
                      </w:pPr>
                      <w:sdt>
                        <w:sdtPr>
                          <w:alias w:val="Numeris"/>
                          <w:tag w:val="nr_bb76337affb1458a9ac52929533fe3b5"/>
                          <w:lock w:val="sdtLocked"/>
                          <w:richText/>
                        </w:sdtPr>
                        <w:sdtContent>
                          <w:r>
                            <w:rPr>
                              <w:color w:val="000000"/>
                              <w:szCs w:val="24"/>
                              <w:lang w:eastAsia="lt-LT"/>
                            </w:rPr>
                            <w:t>2</w:t>
                          </w:r>
                        </w:sdtContent>
                      </w:sdt>
                      <w:r>
                        <w:rPr>
                          <w:color w:val="000000"/>
                          <w:szCs w:val="24"/>
                          <w:lang w:eastAsia="lt-LT"/>
                        </w:rPr>
                        <w:t>) mokėjimas už darbą ir budėjimą poilsio ir švenčių dienomis ir pavadavimą.</w:t>
                      </w:r>
                    </w:p>
                  </w:sdtContent>
                </w:sdt>
              </w:sdtContent>
            </w:sdt>
            <w:sdt>
              <w:sdtPr>
                <w:alias w:val="3 str. 3 d."/>
                <w:tag w:val="part_6c622e7691cd4558adc8bd370a819722"/>
                <w:lock w:val="sdtLocked"/>
                <w:richText/>
              </w:sdtPr>
              <w:sdtContent>
                <w:p>
                  <w:pPr>
                    <w:spacing w:line="380" w:lineRule="atLeast"/>
                    <w:ind w:firstLine="720"/>
                    <w:jc w:val="both"/>
                  </w:pPr>
                  <w:sdt>
                    <w:sdtPr>
                      <w:alias w:val="Numeris"/>
                      <w:tag w:val="nr_6c622e7691cd4558adc8bd370a819722"/>
                      <w:lock w:val="sdtLocked"/>
                      <w:richText/>
                    </w:sdtPr>
                    <w:sdtContent>
                      <w:r>
                        <w:rPr>
                          <w:color w:val="000000"/>
                          <w:szCs w:val="24"/>
                          <w:lang w:eastAsia="lt-LT"/>
                        </w:rPr>
                        <w:t>3</w:t>
                      </w:r>
                    </w:sdtContent>
                  </w:sdt>
                  <w:r>
                    <w:rPr>
                      <w:color w:val="000000"/>
                      <w:szCs w:val="24"/>
                      <w:lang w:eastAsia="lt-LT"/>
                    </w:rPr>
                    <w:t>. Konstitucinio Teismo, bendrosios kompetencijos ir specializuotų teismų teisėjų pareiginė alga apskaičiuojama šio įstatymo priede nustatytą atitinkamos pareiginės algos koeficientą padauginus iš Lietuvos Respublikos pareiginės algos (atlyginimo) bazinio dydžio nustatymo ir asignavimų darbo užmokesčiui perskaičiavimo įstatyme nustatyto</w:t>
                  </w:r>
                  <w:r>
                    <w:rPr>
                      <w:color w:val="000000"/>
                      <w:szCs w:val="24"/>
                    </w:rPr>
                    <w:t xml:space="preserve"> pareiginės algos (atlyginimo) </w:t>
                  </w:r>
                  <w:r>
                    <w:rPr>
                      <w:color w:val="000000"/>
                      <w:szCs w:val="24"/>
                      <w:lang w:eastAsia="lt-LT"/>
                    </w:rPr>
                    <w:t>bazinio dydžio.</w:t>
                  </w:r>
                </w:p>
              </w:sdtContent>
            </w:sdt>
            <w:sdt>
              <w:sdtPr>
                <w:alias w:val="3 str. 4 d."/>
                <w:tag w:val="part_746b5e1a6cbe47a2bd89e3b438696be7"/>
                <w:lock w:val="sdtLocked"/>
                <w:richText/>
              </w:sdtPr>
              <w:sdtContent>
                <w:p>
                  <w:pPr>
                    <w:spacing w:line="380" w:lineRule="atLeast"/>
                    <w:ind w:firstLine="720"/>
                    <w:jc w:val="both"/>
                  </w:pPr>
                  <w:sdt>
                    <w:sdtPr>
                      <w:alias w:val="Numeris"/>
                      <w:tag w:val="nr_746b5e1a6cbe47a2bd89e3b438696be7"/>
                      <w:lock w:val="sdtLocked"/>
                      <w:richText/>
                    </w:sdtPr>
                    <w:sdtContent>
                      <w:r>
                        <w:rPr>
                          <w:color w:val="000000"/>
                          <w:szCs w:val="24"/>
                          <w:lang w:eastAsia="lt-LT"/>
                        </w:rPr>
                        <w:t>4</w:t>
                      </w:r>
                    </w:sdtContent>
                  </w:sdt>
                  <w:r>
                    <w:rPr>
                      <w:color w:val="000000"/>
                      <w:szCs w:val="24"/>
                      <w:lang w:eastAsia="lt-LT"/>
                    </w:rPr>
                    <w:t>. Konstitucinio Teismo, bendrosios kompetencijos ir specializuotų teismų teisėjų pareiginė alga indeksuojama Pareiginės algos (atlyginimo) bazinio dydžio nustatymo ir asignavimų darbo užmokesčiui perskaičiavimo įstatymo nustatyta tvarka.</w:t>
                  </w:r>
                </w:p>
              </w:sdtContent>
            </w:sdt>
            <w:sdt>
              <w:sdtPr>
                <w:alias w:val="3 str. 5 d."/>
                <w:tag w:val="part_0a0a2cf656f44315b16fbbf42a9b5e34"/>
                <w:lock w:val="sdtLocked"/>
                <w:richText/>
              </w:sdtPr>
              <w:sdtContent>
                <w:p>
                  <w:pPr>
                    <w:spacing w:line="380" w:lineRule="atLeast"/>
                    <w:ind w:firstLine="720"/>
                    <w:jc w:val="both"/>
                  </w:pPr>
                  <w:sdt>
                    <w:sdtPr>
                      <w:alias w:val="Numeris"/>
                      <w:tag w:val="nr_0a0a2cf656f44315b16fbbf42a9b5e34"/>
                      <w:lock w:val="sdtLocked"/>
                      <w:richText/>
                    </w:sdtPr>
                    <w:sdtContent>
                      <w:r>
                        <w:rPr>
                          <w:color w:val="000000"/>
                          <w:szCs w:val="24"/>
                          <w:lang w:eastAsia="lt-LT"/>
                        </w:rPr>
                        <w:t>5</w:t>
                      </w:r>
                    </w:sdtContent>
                  </w:sdt>
                  <w:r>
                    <w:rPr>
                      <w:color w:val="000000"/>
                      <w:szCs w:val="24"/>
                      <w:lang w:eastAsia="lt-LT"/>
                    </w:rPr>
                    <w:t>. Duomenys apie teisėjų atlyginimą yra vieši. Šie duomenys teikiami Lietuvos Respublikos teisės gauti informaciją ir duomenų pakartotinio naudojimo įstatymo nustatyta tvarka.</w:t>
                  </w:r>
                </w:p>
                <w:p>
                  <w:pPr>
                    <w:ind w:firstLine="720"/>
                    <w:jc w:val="both"/>
                  </w:pPr>
                </w:p>
              </w:sdtContent>
            </w:sdt>
          </w:sdtContent>
        </w:sdt>
        <w:sdt>
          <w:sdtPr>
            <w:alias w:val="4 str."/>
            <w:tag w:val="part_16d529b0e1a049d2bfe1dbb89e041ab8"/>
            <w:lock w:val="sdtLocked"/>
            <w:richText/>
          </w:sdtPr>
          <w:sdtContent>
            <w:p>
              <w:pPr>
                <w:spacing w:line="380" w:lineRule="atLeast"/>
                <w:ind w:left="2127" w:hanging="1407"/>
                <w:jc w:val="both"/>
              </w:pPr>
              <w:sdt>
                <w:sdtPr>
                  <w:alias w:val="Numeris"/>
                  <w:tag w:val="nr_16d529b0e1a049d2bfe1dbb89e041ab8"/>
                  <w:lock w:val="sdtLocked"/>
                  <w:richText/>
                </w:sdtPr>
                <w:sdtContent>
                  <w:r>
                    <w:rPr>
                      <w:b/>
                      <w:bCs/>
                      <w:color w:val="000000"/>
                      <w:szCs w:val="24"/>
                      <w:lang w:eastAsia="lt-LT"/>
                    </w:rPr>
                    <w:t>4</w:t>
                  </w:r>
                </w:sdtContent>
              </w:sdt>
              <w:r>
                <w:rPr>
                  <w:b/>
                  <w:bCs/>
                  <w:color w:val="000000"/>
                  <w:szCs w:val="24"/>
                  <w:lang w:eastAsia="lt-LT"/>
                </w:rPr>
                <w:t xml:space="preserve"> straipsnis. </w:t>
              </w:r>
              <w:sdt>
                <w:sdtPr>
                  <w:alias w:val="Pavadinimas"/>
                  <w:tag w:val="title_16d529b0e1a049d2bfe1dbb89e041ab8"/>
                  <w:lock w:val="sdtLocked"/>
                  <w:richText/>
                </w:sdtPr>
                <w:sdtContent>
                  <w:r>
                    <w:rPr>
                      <w:b/>
                      <w:bCs/>
                      <w:color w:val="000000"/>
                      <w:szCs w:val="24"/>
                      <w:lang w:eastAsia="lt-LT"/>
                    </w:rPr>
                    <w:t>Mokėjimas už Konstitucinio Teismo, bendrosios kompetencijos ir specializuotų teismų teisėjų darbą poilsio ir švenčių dienomis ir pavadavimą bei bendrosios kompetencijos ir specializuotų teismų teisėjų budėjimą</w:t>
                  </w:r>
                </w:sdtContent>
              </w:sdt>
            </w:p>
            <w:sdt>
              <w:sdtPr>
                <w:alias w:val="4 str. 1 d."/>
                <w:tag w:val="part_61f3fc38fc4a4cffb7d7cb5e9611f246"/>
                <w:lock w:val="sdtLocked"/>
                <w:richText/>
              </w:sdtPr>
              <w:sdtContent>
                <w:p>
                  <w:pPr>
                    <w:spacing w:line="380" w:lineRule="atLeast"/>
                    <w:ind w:firstLine="720"/>
                    <w:jc w:val="both"/>
                  </w:pPr>
                  <w:sdt>
                    <w:sdtPr>
                      <w:alias w:val="Numeris"/>
                      <w:tag w:val="nr_61f3fc38fc4a4cffb7d7cb5e9611f246"/>
                      <w:lock w:val="sdtLocked"/>
                      <w:richText/>
                    </w:sdtPr>
                    <w:sdtContent>
                      <w:r>
                        <w:rPr>
                          <w:color w:val="000000"/>
                          <w:szCs w:val="24"/>
                          <w:lang w:eastAsia="lt-LT"/>
                        </w:rPr>
                        <w:t>1</w:t>
                      </w:r>
                    </w:sdtContent>
                  </w:sdt>
                  <w:r>
                    <w:rPr>
                      <w:color w:val="000000"/>
                      <w:szCs w:val="24"/>
                      <w:lang w:eastAsia="lt-LT"/>
                    </w:rPr>
                    <w:t xml:space="preserve">. Konstitucinio Teismo teisėjams už darbą poilsio ir švenčių dienomis mokama, kai jie </w:t>
                  </w:r>
                  <w:r>
                    <w:rPr>
                      <w:iCs/>
                      <w:color w:val="000000"/>
                    </w:rPr>
                    <w:t xml:space="preserve">atlieka Lietuvos Respublikos Konstitucinio Teismo įstatyme nustatytas funkcijas, kurių iš anksto negalima suplanuoti ir numatyti ir kurių negalima atidėti kitai darbo dienai </w:t>
                  </w:r>
                  <w:r>
                    <w:rPr>
                      <w:color w:val="000000"/>
                      <w:szCs w:val="24"/>
                      <w:lang w:eastAsia="lt-LT"/>
                    </w:rPr>
                    <w:t>(toliau – neatidėliotini veiksmai)</w:t>
                  </w:r>
                  <w:r>
                    <w:rPr>
                      <w:iCs/>
                      <w:color w:val="000000"/>
                    </w:rPr>
                    <w:t>.</w:t>
                  </w:r>
                </w:p>
              </w:sdtContent>
            </w:sdt>
            <w:sdt>
              <w:sdtPr>
                <w:alias w:val="4 str. 2 d."/>
                <w:tag w:val="part_a8ef4bd846514c48adc565f3d773493c"/>
                <w:lock w:val="sdtLocked"/>
                <w:richText/>
              </w:sdtPr>
              <w:sdtContent>
                <w:p>
                  <w:pPr>
                    <w:spacing w:line="380" w:lineRule="atLeast"/>
                    <w:ind w:firstLine="720"/>
                    <w:jc w:val="both"/>
                  </w:pPr>
                  <w:sdt>
                    <w:sdtPr>
                      <w:alias w:val="Numeris"/>
                      <w:tag w:val="nr_a8ef4bd846514c48adc565f3d773493c"/>
                      <w:lock w:val="sdtLocked"/>
                      <w:richText/>
                    </w:sdtPr>
                    <w:sdtContent>
                      <w:r>
                        <w:rPr>
                          <w:color w:val="000000"/>
                          <w:szCs w:val="24"/>
                          <w:lang w:eastAsia="lt-LT"/>
                        </w:rPr>
                        <w:t>2</w:t>
                      </w:r>
                    </w:sdtContent>
                  </w:sdt>
                  <w:r>
                    <w:rPr>
                      <w:color w:val="000000"/>
                      <w:szCs w:val="24"/>
                      <w:lang w:eastAsia="lt-LT"/>
                    </w:rPr>
                    <w:t>. Bendrosios kompetencijos ir specializuotų teismų teisėjams už darbą poilsio ir švenčių dienomis mokama, kai jie atlieka Lietuvos Respublikos baudžiamojo proceso kodekse, Lietuvos Respublikos civilinio proceso kodekse ir kituose įstatymuose nustatytus neatidėliotinus veiksmus.</w:t>
                  </w:r>
                </w:p>
              </w:sdtContent>
            </w:sdt>
            <w:sdt>
              <w:sdtPr>
                <w:alias w:val="4 str. 3 d."/>
                <w:tag w:val="part_cc2a372af25a47e0a3a68e360aa830bf"/>
                <w:lock w:val="sdtLocked"/>
                <w:richText/>
              </w:sdtPr>
              <w:sdtContent>
                <w:p>
                  <w:pPr>
                    <w:spacing w:line="380" w:lineRule="atLeast"/>
                    <w:ind w:firstLine="720"/>
                    <w:jc w:val="both"/>
                  </w:pPr>
                  <w:sdt>
                    <w:sdtPr>
                      <w:alias w:val="Numeris"/>
                      <w:tag w:val="nr_cc2a372af25a47e0a3a68e360aa830bf"/>
                      <w:lock w:val="sdtLocked"/>
                      <w:richText/>
                    </w:sdtPr>
                    <w:sdtContent>
                      <w:r>
                        <w:rPr>
                          <w:color w:val="000000"/>
                          <w:szCs w:val="24"/>
                          <w:lang w:eastAsia="lt-LT"/>
                        </w:rPr>
                        <w:t>3</w:t>
                      </w:r>
                    </w:sdtContent>
                  </w:sdt>
                  <w:r>
                    <w:rPr>
                      <w:color w:val="000000"/>
                      <w:szCs w:val="24"/>
                      <w:lang w:eastAsia="lt-LT"/>
                    </w:rPr>
                    <w:t>. Bendrosios kompetencijos ir specializuotų teismų teisėjams už budėjimą poilsio ir švenčių dienomis mokama, kai pagal bendrosios kompetencijos ar specializuoto teismo pirmininko ar jo įgalioto bendrosios kompetencijos ar specializuoto teismo teisėjo patvirtintą bendrosios kompetencijos ar specializuoto teismo teisėjų budėjimo grafiką bendrosios kompetencijos ar specializuoto teismo teisėjas turi būti nurodytoje vietoje (bendrosios kompetencijos ar specializuotame teisme arba namuose) poilsio ir švenčių dienomis, kad prireikus galėtų atlikti neatidėliotinus veiksmus.</w:t>
                  </w:r>
                </w:p>
              </w:sdtContent>
            </w:sdt>
            <w:sdt>
              <w:sdtPr>
                <w:alias w:val="4 str. 4 d."/>
                <w:tag w:val="part_f74e7baeaef441a7b552b30fc2bcb53b"/>
                <w:lock w:val="sdtLocked"/>
                <w:richText/>
              </w:sdtPr>
              <w:sdtContent>
                <w:p>
                  <w:pPr>
                    <w:spacing w:line="380" w:lineRule="atLeast"/>
                    <w:ind w:firstLine="720"/>
                    <w:jc w:val="both"/>
                  </w:pPr>
                  <w:sdt>
                    <w:sdtPr>
                      <w:alias w:val="Numeris"/>
                      <w:tag w:val="nr_f74e7baeaef441a7b552b30fc2bcb53b"/>
                      <w:lock w:val="sdtLocked"/>
                      <w:richText/>
                    </w:sdtPr>
                    <w:sdtContent>
                      <w:r>
                        <w:rPr>
                          <w:color w:val="000000"/>
                          <w:szCs w:val="24"/>
                          <w:lang w:eastAsia="lt-LT"/>
                        </w:rPr>
                        <w:t>4</w:t>
                      </w:r>
                    </w:sdtContent>
                  </w:sdt>
                  <w:r>
                    <w:rPr>
                      <w:color w:val="000000"/>
                      <w:szCs w:val="24"/>
                      <w:lang w:eastAsia="lt-LT"/>
                    </w:rPr>
                    <w:t>. Bendrosios kompetencijos ar specializuoto teismo teisėjui jo pasirinkimu už darbą ir budėjimą bendrosios kompetencijos ar specializuotame teisme poilsio ir švenčių dienomis mokamas dvigubo bendrosios kompetencijos ar specializuoto teismo teisėjo pareiginės algos dydžio atlygis arba jam artimiausią mėnesį suteikiamas dvigubos trukmės poilsio laikas, arba šis poilsio laikas pridedamas prie kasmetinių atostogų. Konstitucinio Teismo teisėjui jo pasirinkimu už darbą Konstituciniame Teisme poilsio ir švenčių dienomis mokamas dvigubo Konstitucinio Teismo teisėjo pareiginės algos dydžio atlygis arba jam artimiausią mėnesį suteikiamas dvigubos trukmės poilsio laikas, arba šis poilsio laikas pridedamas prie kasmetinių atostogų. Už suteiktą poilsio laiką Konstitucinio Teismo, bendrosios kompetencijos ar specializuoto teismo teisėjui mokamas jo pareiginės algos dydžio atlygis.</w:t>
                  </w:r>
                </w:p>
              </w:sdtContent>
            </w:sdt>
            <w:sdt>
              <w:sdtPr>
                <w:alias w:val="4 str. 5 d."/>
                <w:tag w:val="part_58464d05f3e849be9e25816eac5001d4"/>
                <w:lock w:val="sdtLocked"/>
                <w:richText/>
              </w:sdtPr>
              <w:sdtContent>
                <w:p>
                  <w:pPr>
                    <w:spacing w:line="380" w:lineRule="atLeast"/>
                    <w:ind w:firstLine="720"/>
                    <w:jc w:val="both"/>
                  </w:pPr>
                  <w:sdt>
                    <w:sdtPr>
                      <w:alias w:val="Numeris"/>
                      <w:tag w:val="nr_58464d05f3e849be9e25816eac5001d4"/>
                      <w:lock w:val="sdtLocked"/>
                      <w:richText/>
                    </w:sdtPr>
                    <w:sdtContent>
                      <w:r>
                        <w:rPr>
                          <w:color w:val="000000"/>
                          <w:szCs w:val="24"/>
                          <w:lang w:eastAsia="lt-LT"/>
                        </w:rPr>
                        <w:t>5</w:t>
                      </w:r>
                    </w:sdtContent>
                  </w:sdt>
                  <w:r>
                    <w:rPr>
                      <w:color w:val="000000"/>
                      <w:szCs w:val="24"/>
                      <w:lang w:eastAsia="lt-LT"/>
                    </w:rPr>
                    <w:t>. Bendrosios kompetencijos ar specializuoto teismo teisėjui už budėjimą poilsio ir švenčių dienomis namuose mokamas 50 procentų jo pareiginės algos dydžio atlygis proporcingai budėtam laikui. Už darbą atvykus į bendrosios kompetencijos ar specializuotą teismą atlikti neatidėliotinų veiksmų poilsio ir švenčių dienomis mokama šio straipsnio 4 dalyje nustatyta tvarka.</w:t>
                  </w:r>
                </w:p>
              </w:sdtContent>
            </w:sdt>
            <w:sdt>
              <w:sdtPr>
                <w:alias w:val="4 str. 6 d."/>
                <w:tag w:val="part_082058a9066a40fcb019365465c90f05"/>
                <w:lock w:val="sdtLocked"/>
                <w:richText/>
              </w:sdtPr>
              <w:sdtContent>
                <w:p>
                  <w:pPr>
                    <w:spacing w:line="380" w:lineRule="atLeast"/>
                    <w:ind w:firstLine="720"/>
                    <w:jc w:val="both"/>
                  </w:pPr>
                  <w:sdt>
                    <w:sdtPr>
                      <w:alias w:val="Numeris"/>
                      <w:tag w:val="nr_082058a9066a40fcb019365465c90f05"/>
                      <w:lock w:val="sdtLocked"/>
                      <w:richText/>
                    </w:sdtPr>
                    <w:sdtContent>
                      <w:r>
                        <w:rPr>
                          <w:color w:val="000000"/>
                          <w:szCs w:val="24"/>
                          <w:lang w:eastAsia="lt-LT"/>
                        </w:rPr>
                        <w:t>6</w:t>
                      </w:r>
                    </w:sdtContent>
                  </w:sdt>
                  <w:r>
                    <w:rPr>
                      <w:color w:val="000000"/>
                      <w:szCs w:val="24"/>
                      <w:lang w:eastAsia="lt-LT"/>
                    </w:rPr>
                    <w:t>. Konstitucinio Teismo teisėjui už darbą poilsio ir švenčių dienomis, bendrosios kompetencijos ir specializuotų teismų teisėjams už darbą ir budėjimą poilsio ir švenčių dienomis mokama pagal darbo laiko apskaitos žiniaraščiuose žymimą laiką. Budėjimo namuose laikas į darbo laiką neįskaičiuojamas, išskyrus laiką, per kurį, atvykus į bendrosios kompetencijos ar specializuotą teismą, faktiškai atliekami neatidėliotini veiksmai.</w:t>
                  </w:r>
                </w:p>
              </w:sdtContent>
            </w:sdt>
            <w:sdt>
              <w:sdtPr>
                <w:alias w:val="4 str. 7 d."/>
                <w:tag w:val="part_a3cdcd29dc084e0687f45f75feccc8e2"/>
                <w:lock w:val="sdtLocked"/>
                <w:richText/>
              </w:sdtPr>
              <w:sdtContent>
                <w:p>
                  <w:pPr>
                    <w:spacing w:line="380" w:lineRule="atLeast"/>
                    <w:ind w:firstLine="720"/>
                    <w:jc w:val="both"/>
                  </w:pPr>
                  <w:sdt>
                    <w:sdtPr>
                      <w:alias w:val="Numeris"/>
                      <w:tag w:val="nr_a3cdcd29dc084e0687f45f75feccc8e2"/>
                      <w:lock w:val="sdtLocked"/>
                      <w:richText/>
                    </w:sdtPr>
                    <w:sdtContent>
                      <w:r>
                        <w:rPr>
                          <w:color w:val="000000"/>
                          <w:szCs w:val="24"/>
                          <w:lang w:eastAsia="lt-LT"/>
                        </w:rPr>
                        <w:t>7</w:t>
                      </w:r>
                    </w:sdtContent>
                  </w:sdt>
                  <w:r>
                    <w:rPr>
                      <w:color w:val="000000"/>
                      <w:szCs w:val="24"/>
                      <w:lang w:eastAsia="lt-LT"/>
                    </w:rPr>
                    <w:t xml:space="preserve">. Kai Konstitucinio Teismo įstatymo nustatyta tvarka Konstitucinio Teismo pirmininko pareigas laikinai eina </w:t>
                  </w:r>
                  <w:r>
                    <w:rPr>
                      <w:color w:val="000000"/>
                    </w:rPr>
                    <w:t>Konstitucinio Teismo pirmininko paskirtas šio teismo teisėjas, o kai Konstitucinio Teismo pirmininko ar jo paskirto eiti šias pareigas teisėjo nėra, – vyriausias pagal amžių Konstitucinio Teismo teisėjas</w:t>
                  </w:r>
                  <w:r>
                    <w:rPr>
                      <w:color w:val="000000"/>
                      <w:szCs w:val="24"/>
                      <w:lang w:eastAsia="lt-LT"/>
                    </w:rPr>
                    <w:t xml:space="preserve"> arba Aukščiausiojo Teismo, Apeliacinio teismo ar apygardos teismo pirmininką Lietuvos Respublikos teismų įstatymo nustatyta tvarka pavaduoja didesnį šiame teisme teisėjo darbo stažą turintis skyriaus pirmininkas, jiems mokama atitinkamai Konstitucinio Teismo, Aukščiausiojo Teismo, Apeliacinio teismo ar apygardos teismo pirmininko pareiginė alga. Kai bendrosios kompetencijos ar specializuoto teismo pirmininką, pirmininko pavaduotoją ar skyriaus pirmininką Teismų įstatymo nustatyta tvarka pavaduoja didžiausią darbo stažą šiame teisme turintis bendrosios kompetencijos ar specializuoto teismo teisėjas, jam mokama atitinkamai bendrosios kompetencijos ar specializuoto teismo pirmininko, pirmininko pavaduotojo ar skyriaus pirmininko pareiginė alga.</w:t>
                  </w:r>
                </w:p>
              </w:sdtContent>
            </w:sdt>
            <w:sdt>
              <w:sdtPr>
                <w:alias w:val="4 str. 8 d."/>
                <w:tag w:val="part_2efb6586be48463bbd5430c26b634072"/>
                <w:lock w:val="sdtLocked"/>
                <w:richText/>
              </w:sdtPr>
              <w:sdtContent>
                <w:p>
                  <w:pPr>
                    <w:spacing w:line="380" w:lineRule="atLeast"/>
                    <w:ind w:firstLine="720"/>
                    <w:jc w:val="both"/>
                  </w:pPr>
                  <w:sdt>
                    <w:sdtPr>
                      <w:alias w:val="Numeris"/>
                      <w:tag w:val="nr_2efb6586be48463bbd5430c26b634072"/>
                      <w:lock w:val="sdtLocked"/>
                      <w:richText/>
                    </w:sdtPr>
                    <w:sdtContent>
                      <w:r>
                        <w:rPr>
                          <w:color w:val="000000"/>
                          <w:szCs w:val="24"/>
                          <w:lang w:eastAsia="lt-LT"/>
                        </w:rPr>
                        <w:t>8</w:t>
                      </w:r>
                    </w:sdtContent>
                  </w:sdt>
                  <w:r>
                    <w:rPr>
                      <w:color w:val="000000"/>
                      <w:szCs w:val="24"/>
                      <w:lang w:eastAsia="lt-LT"/>
                    </w:rPr>
                    <w:t>. Mokėjimo už bendrosios kompetencijos ir specializuotų teismų teisėjų darbą ir budėjimą poilsio ir švenčių dienomis ir pavadavimą tvarką nustato Teisėjų taryba.</w:t>
                  </w:r>
                </w:p>
                <w:p>
                  <w:pPr>
                    <w:ind w:firstLine="720"/>
                  </w:pPr>
                </w:p>
              </w:sdtContent>
            </w:sdt>
          </w:sdtContent>
        </w:sdt>
        <w:sdt>
          <w:sdtPr>
            <w:alias w:val="signatura"/>
            <w:tag w:val="part_d213ee0fd943451db654915067b09afe"/>
            <w:lock w:val="sdtLocked"/>
            <w:richText/>
          </w:sdtPr>
          <w:sdtContent>
            <w:p>
              <w:pPr>
                <w:ind w:firstLine="567"/>
                <w:jc w:val="both"/>
                <w:rPr>
                  <w:i/>
                  <w:iCs/>
                </w:rPr>
              </w:pPr>
              <w:r>
                <w:rPr>
                  <w:i/>
                  <w:iCs/>
                </w:rPr>
                <w:t>Skelbiu šį Lietuvos Respublikos Seimo priimtą įstatymą.</w:t>
              </w:r>
            </w:p>
            <w:p>
              <w:pPr>
                <w:ind w:firstLine="567"/>
                <w:jc w:val="both"/>
                <w:rPr>
                  <w:iCs/>
                </w:rPr>
              </w:pPr>
            </w:p>
            <w:p>
              <w:pPr>
                <w:ind w:firstLine="567"/>
                <w:jc w:val="both"/>
                <w:rPr>
                  <w:iCs/>
                </w:rPr>
              </w:pPr>
            </w:p>
            <w:p>
              <w:pPr>
                <w:ind w:firstLine="567"/>
                <w:jc w:val="both"/>
                <w:rPr>
                  <w:iCs/>
                </w:rPr>
              </w:pPr>
            </w:p>
            <w:p>
              <w:pPr>
                <w:tabs>
                  <w:tab w:val="right" w:pos="9071"/>
                </w:tabs>
                <w:jc w:val="both"/>
              </w:pPr>
              <w:r>
                <w:t xml:space="preserve">RESPUBLIKOS PREZIDENTAS </w:t>
                <w:tab/>
                <w:t>VALDAS ADAMKUS</w:t>
              </w:r>
            </w:p>
            <w:p>
              <w:pPr>
                <w:jc w:val="center"/>
              </w:pPr>
            </w:p>
            <w:p>
              <w:pPr>
                <w:jc w:val="center"/>
              </w:pPr>
            </w:p>
          </w:sdtContent>
        </w:sdt>
        <w:p/>
      </w:sdtContent>
    </w:sdt>
    <w:sdt>
      <w:sdtPr>
        <w:alias w:val="pr."/>
        <w:tag w:val="part_5747ef07930a45a7a1dd8decebb467cf"/>
        <w:lock w:val="sdtLocked"/>
        <w:richText/>
      </w:sdtPr>
      <w:sdtContent>
        <w:p>
          <w:pPr>
            <w:ind w:firstLine="6237"/>
          </w:pPr>
          <w:r>
            <w:rPr>
              <w:color w:val="000000"/>
              <w:szCs w:val="24"/>
              <w:lang w:eastAsia="lt-LT"/>
            </w:rPr>
            <w:t>Lietuvos Respublikos</w:t>
          </w:r>
        </w:p>
        <w:p>
          <w:pPr>
            <w:ind w:firstLine="6237"/>
            <w:rPr>
              <w:color w:val="000000"/>
              <w:szCs w:val="24"/>
              <w:lang w:eastAsia="lt-LT"/>
            </w:rPr>
          </w:pPr>
          <w:r>
            <w:rPr>
              <w:color w:val="000000"/>
              <w:szCs w:val="24"/>
              <w:lang w:eastAsia="lt-LT"/>
            </w:rPr>
            <w:t>teisėjų atlyginimų įstatymo</w:t>
          </w:r>
        </w:p>
        <w:p>
          <w:pPr>
            <w:ind w:firstLine="6237"/>
            <w:rPr>
              <w:color w:val="000000"/>
              <w:szCs w:val="24"/>
              <w:lang w:eastAsia="lt-LT"/>
            </w:rPr>
          </w:pPr>
          <w:r>
            <w:rPr>
              <w:color w:val="000000"/>
              <w:szCs w:val="24"/>
              <w:lang w:eastAsia="lt-LT"/>
            </w:rPr>
            <w:t>priedas</w:t>
          </w:r>
        </w:p>
        <w:p>
          <w:pPr>
            <w:ind w:firstLine="720"/>
            <w:rPr>
              <w:color w:val="000000"/>
              <w:szCs w:val="24"/>
              <w:lang w:eastAsia="lt-LT"/>
            </w:rPr>
          </w:pPr>
        </w:p>
        <w:p>
          <w:pPr>
            <w:spacing w:line="380" w:lineRule="atLeast"/>
            <w:jc w:val="center"/>
          </w:pPr>
          <w:sdt>
            <w:sdtPr>
              <w:alias w:val="Pavadinimas"/>
              <w:tag w:val="title_5747ef07930a45a7a1dd8decebb467cf"/>
              <w:lock w:val="sdtLocked"/>
              <w:richText/>
            </w:sdtPr>
            <w:sdtContent>
              <w:r>
                <w:rPr>
                  <w:b/>
                  <w:bCs/>
                  <w:szCs w:val="24"/>
                  <w:lang w:eastAsia="lt-LT"/>
                </w:rPr>
                <w:t>LIETUVOS RESPUBLIKOS KONSTITUCINIO TEISMO IR BENDROSIOS KOMPETENCIJOS IR SPECIALIZUOTŲ TEISMŲ TEISĖJŲ PAREIGINĖS ALGOS</w:t>
              </w:r>
              <w:r>
                <w:rPr>
                  <w:b/>
                  <w:szCs w:val="24"/>
                  <w:lang w:eastAsia="lt-LT"/>
                </w:rPr>
                <w:t xml:space="preserve"> KOEFICIENTAI</w:t>
              </w:r>
            </w:sdtContent>
          </w:sdt>
        </w:p>
        <w:p>
          <w:pPr>
            <w:rPr>
              <w:color w:val="000000"/>
              <w:szCs w:val="24"/>
              <w:lang w:eastAsia="lt-LT"/>
            </w:rPr>
          </w:pPr>
        </w:p>
        <w:sdt>
          <w:sdtPr>
            <w:alias w:val="skyrius"/>
            <w:tag w:val="part_812d396710c74954a0e4324e07249150"/>
            <w:lock w:val="sdtLocked"/>
            <w:richText/>
          </w:sdtPr>
          <w:sdtContent>
            <w:p>
              <w:pPr>
                <w:spacing w:line="380" w:lineRule="atLeast"/>
                <w:jc w:val="center"/>
              </w:pPr>
              <w:sdt>
                <w:sdtPr>
                  <w:alias w:val="Numeris"/>
                  <w:tag w:val="nr_812d396710c74954a0e4324e07249150"/>
                  <w:lock w:val="sdtLocked"/>
                  <w:richText/>
                </w:sdtPr>
                <w:sdtContent>
                  <w:r>
                    <w:rPr>
                      <w:b/>
                      <w:bCs/>
                      <w:szCs w:val="24"/>
                      <w:lang w:eastAsia="lt-LT"/>
                    </w:rPr>
                    <w:t>I</w:t>
                  </w:r>
                </w:sdtContent>
              </w:sdt>
              <w:r>
                <w:rPr>
                  <w:b/>
                  <w:bCs/>
                  <w:szCs w:val="24"/>
                  <w:lang w:eastAsia="lt-LT"/>
                </w:rPr>
                <w:t xml:space="preserve"> SKYRIUS</w:t>
              </w:r>
            </w:p>
            <w:p>
              <w:pPr>
                <w:spacing w:line="380" w:lineRule="atLeast"/>
                <w:jc w:val="center"/>
              </w:pPr>
              <w:sdt>
                <w:sdtPr>
                  <w:alias w:val="Pavadinimas"/>
                  <w:tag w:val="title_812d396710c74954a0e4324e07249150"/>
                  <w:lock w:val="sdtLocked"/>
                  <w:richText/>
                </w:sdtPr>
                <w:sdtContent>
                  <w:r>
                    <w:rPr>
                      <w:b/>
                      <w:bCs/>
                      <w:szCs w:val="24"/>
                      <w:lang w:eastAsia="lt-LT"/>
                    </w:rPr>
                    <w:t xml:space="preserve">LIETUVOS RESPUBLIKOS KONSTITUCINIO TEISMO TEISĖJŲ PAREIGINĖS ALGOS </w:t>
                  </w:r>
                  <w:r>
                    <w:rPr>
                      <w:b/>
                      <w:szCs w:val="24"/>
                      <w:lang w:eastAsia="lt-LT"/>
                    </w:rPr>
                    <w:t>KOEFICIENTAI</w:t>
                  </w:r>
                </w:sdtContent>
              </w:sdt>
            </w:p>
            <w:p>
              <w:pPr>
                <w:ind w:firstLine="7564"/>
              </w:pPr>
            </w:p>
            <w:tbl>
              <w:tblPr>
                <w:tblW w:w="924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 w:type="dxa"/>
                  <w:right w:w="10" w:type="dxa"/>
                </w:tblCellMar>
                <w:tblLook w:val="0000" w:firstRow="0" w:lastRow="0" w:firstColumn="0" w:lastColumn="0" w:noHBand="0" w:noVBand="0"/>
              </w:tblPr>
              <w:tblGrid>
                <w:gridCol w:w="699"/>
                <w:gridCol w:w="5425"/>
                <w:gridCol w:w="3119"/>
              </w:tblGrid>
              <w:tr>
                <w:tc>
                  <w:tcPr>
                    <w:tcW w:w="699" w:type="dxa"/>
                    <w:shd w:val="clear" w:color="auto" w:fill="auto"/>
                    <w:tcMar>
                      <w:top w:w="0" w:type="dxa"/>
                      <w:left w:w="108" w:type="dxa"/>
                      <w:bottom w:w="0" w:type="dxa"/>
                      <w:right w:w="108" w:type="dxa"/>
                    </w:tcMar>
                    <w:vAlign w:val="center"/>
                  </w:tcPr>
                  <w:p>
                    <w:pPr>
                      <w:jc w:val="center"/>
                      <w:rPr>
                        <w:szCs w:val="24"/>
                        <w:lang w:eastAsia="lt-LT"/>
                      </w:rPr>
                    </w:pPr>
                    <w:r>
                      <w:rPr>
                        <w:szCs w:val="24"/>
                        <w:lang w:eastAsia="lt-LT"/>
                      </w:rPr>
                      <w:t>Eil. Nr.</w:t>
                    </w:r>
                  </w:p>
                </w:tc>
                <w:tc>
                  <w:tcPr>
                    <w:tcW w:w="5425" w:type="dxa"/>
                    <w:shd w:val="clear" w:color="auto" w:fill="auto"/>
                    <w:tcMar>
                      <w:top w:w="0" w:type="dxa"/>
                      <w:left w:w="108" w:type="dxa"/>
                      <w:bottom w:w="0" w:type="dxa"/>
                      <w:right w:w="108" w:type="dxa"/>
                    </w:tcMar>
                    <w:vAlign w:val="center"/>
                  </w:tcPr>
                  <w:p>
                    <w:pPr>
                      <w:jc w:val="center"/>
                      <w:rPr>
                        <w:szCs w:val="24"/>
                        <w:lang w:eastAsia="lt-LT"/>
                      </w:rPr>
                    </w:pPr>
                    <w:r>
                      <w:rPr>
                        <w:szCs w:val="24"/>
                        <w:lang w:eastAsia="lt-LT"/>
                      </w:rPr>
                      <w:t>Pareigybė</w:t>
                    </w:r>
                  </w:p>
                </w:tc>
                <w:tc>
                  <w:tcPr>
                    <w:tcW w:w="3119" w:type="dxa"/>
                    <w:shd w:val="clear" w:color="auto" w:fill="auto"/>
                    <w:tcMar>
                      <w:top w:w="0" w:type="dxa"/>
                      <w:left w:w="108" w:type="dxa"/>
                      <w:bottom w:w="0" w:type="dxa"/>
                      <w:right w:w="108" w:type="dxa"/>
                    </w:tcMar>
                    <w:vAlign w:val="center"/>
                  </w:tcPr>
                  <w:p>
                    <w:pPr>
                      <w:jc w:val="center"/>
                      <w:rPr>
                        <w:szCs w:val="24"/>
                        <w:lang w:eastAsia="lt-LT"/>
                      </w:rPr>
                    </w:pPr>
                    <w:r>
                      <w:rPr>
                        <w:szCs w:val="24"/>
                        <w:lang w:eastAsia="lt-LT"/>
                      </w:rPr>
                      <w:t>Pareiginės algos koeficientas (</w:t>
                    </w:r>
                    <w:r>
                      <w:rPr>
                        <w:szCs w:val="24"/>
                      </w:rPr>
                      <w:t>b</w:t>
                    </w:r>
                    <w:r>
                      <w:rPr>
                        <w:color w:val="000000"/>
                        <w:szCs w:val="24"/>
                        <w:lang w:eastAsia="lt-LT"/>
                      </w:rPr>
                      <w:t>aziniais dydžiais)</w:t>
                    </w:r>
                    <w:r>
                      <w:rPr>
                        <w:szCs w:val="24"/>
                        <w:lang w:eastAsia="lt-LT"/>
                      </w:rPr>
                      <w:t xml:space="preserve"> </w:t>
                    </w:r>
                  </w:p>
                </w:tc>
              </w:tr>
              <w:tr>
                <w:tc>
                  <w:tcPr>
                    <w:tcW w:w="699" w:type="dxa"/>
                    <w:shd w:val="clear" w:color="auto" w:fill="auto"/>
                    <w:tcMar>
                      <w:top w:w="0" w:type="dxa"/>
                      <w:left w:w="108" w:type="dxa"/>
                      <w:bottom w:w="0" w:type="dxa"/>
                      <w:right w:w="108" w:type="dxa"/>
                    </w:tcMar>
                  </w:tcPr>
                  <w:p>
                    <w:pPr>
                      <w:jc w:val="center"/>
                      <w:rPr>
                        <w:szCs w:val="24"/>
                        <w:lang w:eastAsia="lt-LT"/>
                      </w:rPr>
                    </w:pPr>
                    <w:r>
                      <w:rPr>
                        <w:szCs w:val="24"/>
                        <w:lang w:eastAsia="lt-LT"/>
                      </w:rPr>
                      <w:t>1.</w:t>
                    </w:r>
                  </w:p>
                </w:tc>
                <w:tc>
                  <w:tcPr>
                    <w:tcW w:w="5425" w:type="dxa"/>
                    <w:shd w:val="clear" w:color="auto" w:fill="auto"/>
                    <w:tcMar>
                      <w:top w:w="0" w:type="dxa"/>
                      <w:left w:w="108" w:type="dxa"/>
                      <w:bottom w:w="0" w:type="dxa"/>
                      <w:right w:w="108" w:type="dxa"/>
                    </w:tcMar>
                  </w:tcPr>
                  <w:p>
                    <w:pPr>
                      <w:rPr>
                        <w:szCs w:val="24"/>
                        <w:lang w:eastAsia="lt-LT"/>
                      </w:rPr>
                    </w:pPr>
                    <w:r>
                      <w:rPr>
                        <w:szCs w:val="24"/>
                        <w:lang w:eastAsia="lt-LT"/>
                      </w:rPr>
                      <w:t>Konstitucinio Teismo pirmininkas</w:t>
                    </w:r>
                  </w:p>
                  <w:p>
                    <w:pPr>
                      <w:rPr>
                        <w:szCs w:val="24"/>
                        <w:lang w:eastAsia="lt-LT"/>
                      </w:rPr>
                    </w:pPr>
                    <w:r>
                      <w:rPr>
                        <w:szCs w:val="24"/>
                        <w:lang w:eastAsia="lt-LT"/>
                      </w:rPr>
                      <w:t>(ar pirmininką pavaduojantis Konstitucinio Teismo teisėjas)</w:t>
                    </w:r>
                  </w:p>
                </w:tc>
                <w:tc>
                  <w:tcPr>
                    <w:tcW w:w="3119" w:type="dxa"/>
                    <w:shd w:val="clear" w:color="auto" w:fill="auto"/>
                    <w:tcMar>
                      <w:top w:w="0" w:type="dxa"/>
                      <w:left w:w="108" w:type="dxa"/>
                      <w:bottom w:w="0" w:type="dxa"/>
                      <w:right w:w="108" w:type="dxa"/>
                    </w:tcMar>
                    <w:vAlign w:val="center"/>
                  </w:tcPr>
                  <w:p>
                    <w:pPr>
                      <w:jc w:val="center"/>
                      <w:rPr>
                        <w:szCs w:val="24"/>
                        <w:lang w:eastAsia="lt-LT"/>
                      </w:rPr>
                    </w:pPr>
                    <w:r>
                      <w:rPr>
                        <w:szCs w:val="24"/>
                        <w:lang w:eastAsia="lt-LT"/>
                      </w:rPr>
                      <w:t>4,9</w:t>
                    </w:r>
                  </w:p>
                </w:tc>
              </w:tr>
              <w:tr>
                <w:tc>
                  <w:tcPr>
                    <w:tcW w:w="699" w:type="dxa"/>
                    <w:shd w:val="clear" w:color="auto" w:fill="auto"/>
                    <w:tcMar>
                      <w:top w:w="0" w:type="dxa"/>
                      <w:left w:w="108" w:type="dxa"/>
                      <w:bottom w:w="0" w:type="dxa"/>
                      <w:right w:w="108" w:type="dxa"/>
                    </w:tcMar>
                  </w:tcPr>
                  <w:p>
                    <w:pPr>
                      <w:jc w:val="center"/>
                      <w:rPr>
                        <w:szCs w:val="24"/>
                        <w:lang w:eastAsia="lt-LT"/>
                      </w:rPr>
                    </w:pPr>
                    <w:r>
                      <w:rPr>
                        <w:szCs w:val="24"/>
                        <w:lang w:eastAsia="lt-LT"/>
                      </w:rPr>
                      <w:t>2.</w:t>
                    </w:r>
                  </w:p>
                </w:tc>
                <w:tc>
                  <w:tcPr>
                    <w:tcW w:w="5425" w:type="dxa"/>
                    <w:shd w:val="clear" w:color="auto" w:fill="auto"/>
                    <w:tcMar>
                      <w:top w:w="0" w:type="dxa"/>
                      <w:left w:w="108" w:type="dxa"/>
                      <w:bottom w:w="0" w:type="dxa"/>
                      <w:right w:w="108" w:type="dxa"/>
                    </w:tcMar>
                  </w:tcPr>
                  <w:p>
                    <w:pPr>
                      <w:rPr>
                        <w:szCs w:val="24"/>
                        <w:lang w:eastAsia="lt-LT"/>
                      </w:rPr>
                    </w:pPr>
                    <w:r>
                      <w:rPr>
                        <w:szCs w:val="24"/>
                        <w:lang w:eastAsia="lt-LT"/>
                      </w:rPr>
                      <w:t>Konstitucinio Teismo teisėjas</w:t>
                    </w:r>
                  </w:p>
                </w:tc>
                <w:tc>
                  <w:tcPr>
                    <w:tcW w:w="3119" w:type="dxa"/>
                    <w:shd w:val="clear" w:color="auto" w:fill="auto"/>
                    <w:tcMar>
                      <w:top w:w="0" w:type="dxa"/>
                      <w:left w:w="108" w:type="dxa"/>
                      <w:bottom w:w="0" w:type="dxa"/>
                      <w:right w:w="108" w:type="dxa"/>
                    </w:tcMar>
                    <w:vAlign w:val="center"/>
                  </w:tcPr>
                  <w:p>
                    <w:pPr>
                      <w:jc w:val="center"/>
                      <w:rPr>
                        <w:szCs w:val="24"/>
                        <w:lang w:eastAsia="lt-LT"/>
                      </w:rPr>
                    </w:pPr>
                    <w:r>
                      <w:rPr>
                        <w:szCs w:val="24"/>
                        <w:lang w:eastAsia="lt-LT"/>
                      </w:rPr>
                      <w:t>4,4</w:t>
                    </w:r>
                  </w:p>
                </w:tc>
              </w:tr>
            </w:tbl>
            <w:p>
              <w:pPr>
                <w:spacing w:line="360" w:lineRule="auto"/>
              </w:pPr>
            </w:p>
          </w:sdtContent>
        </w:sdt>
        <w:sdt>
          <w:sdtPr>
            <w:alias w:val="skyrius"/>
            <w:tag w:val="part_ebd708b33c444e9d826b45fc5bf8b2c8"/>
            <w:lock w:val="sdtLocked"/>
            <w:richText/>
          </w:sdtPr>
          <w:sdtContent>
            <w:p>
              <w:pPr>
                <w:spacing w:line="380" w:lineRule="atLeast"/>
                <w:jc w:val="center"/>
              </w:pPr>
              <w:sdt>
                <w:sdtPr>
                  <w:alias w:val="Numeris"/>
                  <w:tag w:val="nr_ebd708b33c444e9d826b45fc5bf8b2c8"/>
                  <w:lock w:val="sdtLocked"/>
                  <w:richText/>
                </w:sdtPr>
                <w:sdtContent>
                  <w:r>
                    <w:rPr>
                      <w:b/>
                      <w:bCs/>
                      <w:szCs w:val="24"/>
                      <w:lang w:eastAsia="lt-LT"/>
                    </w:rPr>
                    <w:t>II</w:t>
                  </w:r>
                </w:sdtContent>
              </w:sdt>
              <w:r>
                <w:rPr>
                  <w:b/>
                  <w:bCs/>
                  <w:szCs w:val="24"/>
                  <w:lang w:eastAsia="lt-LT"/>
                </w:rPr>
                <w:t xml:space="preserve"> SKYRIUS</w:t>
              </w:r>
            </w:p>
            <w:p>
              <w:pPr>
                <w:spacing w:line="380" w:lineRule="atLeast"/>
                <w:jc w:val="center"/>
              </w:pPr>
              <w:sdt>
                <w:sdtPr>
                  <w:alias w:val="Pavadinimas"/>
                  <w:tag w:val="title_ebd708b33c444e9d826b45fc5bf8b2c8"/>
                  <w:lock w:val="sdtLocked"/>
                  <w:richText/>
                </w:sdtPr>
                <w:sdtContent>
                  <w:r>
                    <w:rPr>
                      <w:b/>
                      <w:bCs/>
                      <w:szCs w:val="24"/>
                      <w:lang w:eastAsia="lt-LT"/>
                    </w:rPr>
                    <w:t>BENDROSIOS KOMPETENCIJOS IR SPECIALIZUOTŲ TEISMŲ TEISĖJŲ PAREIGINĖS ALGOS</w:t>
                  </w:r>
                  <w:r>
                    <w:rPr>
                      <w:b/>
                      <w:szCs w:val="24"/>
                      <w:lang w:eastAsia="lt-LT"/>
                    </w:rPr>
                    <w:t xml:space="preserve"> KOEFICIENTAI</w:t>
                  </w:r>
                </w:sdtContent>
              </w:sdt>
            </w:p>
            <w:p>
              <w:pPr>
                <w:jc w:val="center"/>
                <w:rPr>
                  <w:b/>
                  <w:bCs/>
                  <w:szCs w:val="24"/>
                  <w:lang w:eastAsia="lt-LT"/>
                </w:rPr>
              </w:pPr>
            </w:p>
            <w:p>
              <w:pPr>
                <w:ind w:firstLine="7564"/>
              </w:pPr>
            </w:p>
            <w:tbl>
              <w:tblPr>
                <w:tblW w:w="9238" w:type="dxa"/>
                <w:tblInd w:w="108" w:type="dxa"/>
                <w:tblLayout w:type="fixed"/>
                <w:tblCellMar>
                  <w:left w:w="10" w:type="dxa"/>
                  <w:right w:w="10" w:type="dxa"/>
                </w:tblCellMar>
                <w:tblLook w:val="0000" w:firstRow="0" w:lastRow="0" w:firstColumn="0" w:lastColumn="0" w:noHBand="0" w:noVBand="0"/>
              </w:tblPr>
              <w:tblGrid>
                <w:gridCol w:w="709"/>
                <w:gridCol w:w="2297"/>
                <w:gridCol w:w="1843"/>
                <w:gridCol w:w="1701"/>
                <w:gridCol w:w="1701"/>
                <w:gridCol w:w="987"/>
              </w:tblGrid>
              <w:tr>
                <w:trPr>
                  <w:cantSplit/>
                  <w:trHeight w:val="377"/>
                  <w:tblHeader/>
                </w:trPr>
                <w:tc>
                  <w:tcPr>
                    <w:tcW w:w="709" w:type="dxa"/>
                    <w:vMerge w:val="restart"/>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jc w:val="center"/>
                      <w:rPr>
                        <w:szCs w:val="24"/>
                        <w:lang w:eastAsia="lt-LT"/>
                      </w:rPr>
                    </w:pPr>
                    <w:r>
                      <w:rPr>
                        <w:szCs w:val="24"/>
                        <w:lang w:eastAsia="lt-LT"/>
                      </w:rPr>
                      <w:t>Eil.</w:t>
                    </w:r>
                  </w:p>
                  <w:p>
                    <w:pPr>
                      <w:jc w:val="center"/>
                      <w:rPr>
                        <w:szCs w:val="24"/>
                        <w:lang w:eastAsia="lt-LT"/>
                      </w:rPr>
                    </w:pPr>
                    <w:r>
                      <w:rPr>
                        <w:szCs w:val="24"/>
                        <w:lang w:eastAsia="lt-LT"/>
                      </w:rPr>
                      <w:t>Nr.</w:t>
                    </w:r>
                  </w:p>
                </w:tc>
                <w:tc>
                  <w:tcPr>
                    <w:tcW w:w="2297" w:type="dxa"/>
                    <w:vMerge w:val="restart"/>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jc w:val="center"/>
                      <w:rPr>
                        <w:szCs w:val="24"/>
                        <w:lang w:eastAsia="lt-LT"/>
                      </w:rPr>
                    </w:pPr>
                    <w:r>
                      <w:rPr>
                        <w:szCs w:val="24"/>
                        <w:lang w:eastAsia="lt-LT"/>
                      </w:rPr>
                      <w:t>Teismo pavadinimas</w:t>
                    </w:r>
                  </w:p>
                </w:tc>
                <w:tc>
                  <w:tcPr>
                    <w:tcW w:w="6232" w:type="dxa"/>
                    <w:gridSpan w:val="4"/>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jc w:val="center"/>
                      <w:rPr>
                        <w:szCs w:val="24"/>
                        <w:lang w:eastAsia="lt-LT"/>
                      </w:rPr>
                    </w:pPr>
                    <w:r>
                      <w:rPr>
                        <w:szCs w:val="24"/>
                        <w:lang w:eastAsia="lt-LT"/>
                      </w:rPr>
                      <w:t xml:space="preserve">Pareiginės algos koeficientas </w:t>
                    </w:r>
                    <w:r>
                      <w:rPr>
                        <w:color w:val="000000"/>
                        <w:szCs w:val="24"/>
                        <w:lang w:eastAsia="lt-LT"/>
                      </w:rPr>
                      <w:t>(</w:t>
                    </w:r>
                    <w:r>
                      <w:rPr>
                        <w:szCs w:val="24"/>
                      </w:rPr>
                      <w:t>b</w:t>
                    </w:r>
                    <w:r>
                      <w:rPr>
                        <w:color w:val="000000"/>
                        <w:szCs w:val="24"/>
                        <w:lang w:eastAsia="lt-LT"/>
                      </w:rPr>
                      <w:t>aziniais dydžiais)</w:t>
                    </w:r>
                  </w:p>
                </w:tc>
              </w:tr>
              <w:tr>
                <w:trPr>
                  <w:cantSplit/>
                  <w:tblHeader/>
                </w:trPr>
                <w:tc>
                  <w:tcPr>
                    <w:tcW w:w="709"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rPr>
                        <w:szCs w:val="24"/>
                        <w:lang w:eastAsia="lt-LT"/>
                      </w:rPr>
                    </w:pPr>
                  </w:p>
                </w:tc>
                <w:tc>
                  <w:tcPr>
                    <w:tcW w:w="2297"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rPr>
                        <w:szCs w:val="24"/>
                        <w:lang w:eastAsia="lt-LT"/>
                      </w:rPr>
                    </w:pPr>
                  </w:p>
                </w:tc>
                <w:tc>
                  <w:tcPr>
                    <w:tcW w:w="184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jc w:val="center"/>
                      <w:rPr>
                        <w:szCs w:val="24"/>
                        <w:lang w:eastAsia="lt-LT"/>
                      </w:rPr>
                    </w:pPr>
                    <w:r>
                      <w:rPr>
                        <w:szCs w:val="24"/>
                        <w:lang w:eastAsia="lt-LT"/>
                      </w:rPr>
                      <w:t xml:space="preserve">pirmininko ar pirmininką pavaduojančio teisėjo </w:t>
                    </w:r>
                  </w:p>
                  <w:p>
                    <w:pPr>
                      <w:jc w:val="center"/>
                      <w:rPr>
                        <w:szCs w:val="24"/>
                        <w:lang w:eastAsia="lt-LT"/>
                      </w:rPr>
                    </w:pPr>
                    <w:r>
                      <w:rPr>
                        <w:szCs w:val="24"/>
                        <w:lang w:eastAsia="lt-LT"/>
                      </w:rPr>
                      <w:t>(kai nėra pirmininko pavaduotojo pareigybės)</w:t>
                    </w:r>
                  </w:p>
                </w:tc>
                <w:tc>
                  <w:tcPr>
                    <w:tcW w:w="170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jc w:val="center"/>
                      <w:rPr>
                        <w:szCs w:val="24"/>
                        <w:lang w:eastAsia="lt-LT"/>
                      </w:rPr>
                    </w:pPr>
                    <w:r>
                      <w:rPr>
                        <w:szCs w:val="24"/>
                        <w:lang w:eastAsia="lt-LT"/>
                      </w:rPr>
                      <w:t>pirmininko pavaduotojo ar jį pavaduojančio teisėjo</w:t>
                    </w:r>
                  </w:p>
                  <w:p>
                    <w:pPr>
                      <w:jc w:val="center"/>
                      <w:rPr>
                        <w:szCs w:val="24"/>
                        <w:lang w:eastAsia="lt-LT"/>
                      </w:rPr>
                    </w:pPr>
                  </w:p>
                </w:tc>
                <w:tc>
                  <w:tcPr>
                    <w:tcW w:w="170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jc w:val="center"/>
                      <w:rPr>
                        <w:szCs w:val="24"/>
                        <w:lang w:eastAsia="lt-LT"/>
                      </w:rPr>
                    </w:pPr>
                    <w:r>
                      <w:rPr>
                        <w:szCs w:val="24"/>
                        <w:lang w:eastAsia="lt-LT"/>
                      </w:rPr>
                      <w:t>skyriaus pirmininko</w:t>
                    </w:r>
                  </w:p>
                  <w:p>
                    <w:pPr>
                      <w:jc w:val="center"/>
                      <w:rPr>
                        <w:szCs w:val="24"/>
                        <w:lang w:eastAsia="lt-LT"/>
                      </w:rPr>
                    </w:pPr>
                    <w:r>
                      <w:rPr>
                        <w:szCs w:val="24"/>
                        <w:lang w:eastAsia="lt-LT"/>
                      </w:rPr>
                      <w:t>ar jį pavaduojančio teisėjo</w:t>
                    </w:r>
                  </w:p>
                  <w:p>
                    <w:pPr>
                      <w:jc w:val="center"/>
                      <w:rPr>
                        <w:szCs w:val="24"/>
                        <w:lang w:eastAsia="lt-LT"/>
                      </w:rPr>
                    </w:pPr>
                  </w:p>
                </w:tc>
                <w:tc>
                  <w:tcPr>
                    <w:tcW w:w="98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jc w:val="center"/>
                      <w:rPr>
                        <w:szCs w:val="24"/>
                        <w:lang w:eastAsia="lt-LT"/>
                      </w:rPr>
                    </w:pPr>
                    <w:r>
                      <w:rPr>
                        <w:szCs w:val="24"/>
                        <w:lang w:eastAsia="lt-LT"/>
                      </w:rPr>
                      <w:t>teisėjo</w:t>
                    </w:r>
                  </w:p>
                </w:tc>
              </w:tr>
              <w:tr>
                <w:tc>
                  <w:tcPr>
                    <w:tcW w:w="70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jc w:val="center"/>
                      <w:rPr>
                        <w:szCs w:val="24"/>
                        <w:lang w:eastAsia="lt-LT"/>
                      </w:rPr>
                    </w:pPr>
                    <w:r>
                      <w:rPr>
                        <w:szCs w:val="24"/>
                        <w:lang w:eastAsia="lt-LT"/>
                      </w:rPr>
                      <w:t>1.</w:t>
                    </w:r>
                  </w:p>
                </w:tc>
                <w:tc>
                  <w:tcPr>
                    <w:tcW w:w="229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rPr>
                        <w:szCs w:val="24"/>
                        <w:lang w:eastAsia="lt-LT"/>
                      </w:rPr>
                    </w:pPr>
                    <w:r>
                      <w:rPr>
                        <w:szCs w:val="24"/>
                        <w:lang w:eastAsia="lt-LT"/>
                      </w:rPr>
                      <w:t>Lietuvos Aukščiausiasis Teismas</w:t>
                    </w:r>
                  </w:p>
                </w:tc>
                <w:tc>
                  <w:tcPr>
                    <w:tcW w:w="184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jc w:val="center"/>
                      <w:rPr>
                        <w:szCs w:val="24"/>
                        <w:lang w:eastAsia="lt-LT"/>
                      </w:rPr>
                    </w:pPr>
                    <w:r>
                      <w:rPr>
                        <w:szCs w:val="24"/>
                        <w:lang w:eastAsia="lt-LT"/>
                      </w:rPr>
                      <w:t>4,9</w:t>
                    </w:r>
                  </w:p>
                </w:tc>
                <w:tc>
                  <w:tcPr>
                    <w:tcW w:w="170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jc w:val="center"/>
                      <w:rPr>
                        <w:szCs w:val="24"/>
                        <w:lang w:eastAsia="lt-LT"/>
                      </w:rPr>
                    </w:pPr>
                    <w:r>
                      <w:rPr>
                        <w:szCs w:val="24"/>
                        <w:lang w:eastAsia="lt-LT"/>
                      </w:rPr>
                      <w:t>–</w:t>
                    </w:r>
                  </w:p>
                </w:tc>
                <w:tc>
                  <w:tcPr>
                    <w:tcW w:w="170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jc w:val="center"/>
                      <w:rPr>
                        <w:szCs w:val="24"/>
                        <w:lang w:eastAsia="lt-LT"/>
                      </w:rPr>
                    </w:pPr>
                    <w:r>
                      <w:rPr>
                        <w:szCs w:val="24"/>
                        <w:lang w:eastAsia="lt-LT"/>
                      </w:rPr>
                      <w:t>4,4</w:t>
                    </w:r>
                  </w:p>
                </w:tc>
                <w:tc>
                  <w:tcPr>
                    <w:tcW w:w="98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jc w:val="center"/>
                      <w:rPr>
                        <w:szCs w:val="24"/>
                        <w:lang w:eastAsia="lt-LT"/>
                      </w:rPr>
                    </w:pPr>
                    <w:r>
                      <w:rPr>
                        <w:szCs w:val="24"/>
                        <w:lang w:eastAsia="lt-LT"/>
                      </w:rPr>
                      <w:t>4,1</w:t>
                    </w:r>
                  </w:p>
                </w:tc>
              </w:tr>
              <w:tr>
                <w:tc>
                  <w:tcPr>
                    <w:tcW w:w="70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jc w:val="center"/>
                      <w:rPr>
                        <w:szCs w:val="24"/>
                        <w:lang w:eastAsia="lt-LT"/>
                      </w:rPr>
                    </w:pPr>
                    <w:r>
                      <w:rPr>
                        <w:szCs w:val="24"/>
                        <w:lang w:eastAsia="lt-LT"/>
                      </w:rPr>
                      <w:t>2.</w:t>
                    </w:r>
                  </w:p>
                </w:tc>
                <w:tc>
                  <w:tcPr>
                    <w:tcW w:w="229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rPr>
                        <w:szCs w:val="24"/>
                        <w:lang w:eastAsia="lt-LT"/>
                      </w:rPr>
                    </w:pPr>
                    <w:r>
                      <w:rPr>
                        <w:szCs w:val="24"/>
                        <w:lang w:eastAsia="lt-LT"/>
                      </w:rPr>
                      <w:t>Lietuvos vyriausiasis administracinis teismas</w:t>
                    </w:r>
                  </w:p>
                </w:tc>
                <w:tc>
                  <w:tcPr>
                    <w:tcW w:w="184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jc w:val="center"/>
                      <w:rPr>
                        <w:szCs w:val="24"/>
                        <w:lang w:eastAsia="lt-LT"/>
                      </w:rPr>
                    </w:pPr>
                    <w:r>
                      <w:rPr>
                        <w:szCs w:val="24"/>
                        <w:lang w:eastAsia="lt-LT"/>
                      </w:rPr>
                      <w:t>4,7</w:t>
                    </w:r>
                  </w:p>
                </w:tc>
                <w:tc>
                  <w:tcPr>
                    <w:tcW w:w="170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jc w:val="center"/>
                      <w:rPr>
                        <w:szCs w:val="24"/>
                        <w:lang w:eastAsia="lt-LT"/>
                      </w:rPr>
                    </w:pPr>
                    <w:r>
                      <w:rPr>
                        <w:szCs w:val="24"/>
                        <w:lang w:eastAsia="lt-LT"/>
                      </w:rPr>
                      <w:t>4,2</w:t>
                    </w:r>
                  </w:p>
                </w:tc>
                <w:tc>
                  <w:tcPr>
                    <w:tcW w:w="170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jc w:val="center"/>
                      <w:rPr>
                        <w:szCs w:val="24"/>
                        <w:lang w:eastAsia="lt-LT"/>
                      </w:rPr>
                    </w:pPr>
                    <w:r>
                      <w:rPr>
                        <w:szCs w:val="24"/>
                        <w:lang w:eastAsia="lt-LT"/>
                      </w:rPr>
                      <w:t>–</w:t>
                    </w:r>
                  </w:p>
                </w:tc>
                <w:tc>
                  <w:tcPr>
                    <w:tcW w:w="98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jc w:val="center"/>
                      <w:rPr>
                        <w:szCs w:val="24"/>
                        <w:lang w:eastAsia="lt-LT"/>
                      </w:rPr>
                    </w:pPr>
                    <w:r>
                      <w:rPr>
                        <w:szCs w:val="24"/>
                        <w:lang w:eastAsia="lt-LT"/>
                      </w:rPr>
                      <w:t>4,0</w:t>
                    </w:r>
                  </w:p>
                </w:tc>
              </w:tr>
              <w:tr>
                <w:tc>
                  <w:tcPr>
                    <w:tcW w:w="70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jc w:val="center"/>
                      <w:rPr>
                        <w:szCs w:val="24"/>
                        <w:lang w:eastAsia="lt-LT"/>
                      </w:rPr>
                    </w:pPr>
                    <w:r>
                      <w:rPr>
                        <w:szCs w:val="24"/>
                        <w:lang w:eastAsia="lt-LT"/>
                      </w:rPr>
                      <w:t>3.</w:t>
                    </w:r>
                  </w:p>
                </w:tc>
                <w:tc>
                  <w:tcPr>
                    <w:tcW w:w="229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rPr>
                        <w:szCs w:val="24"/>
                        <w:lang w:eastAsia="lt-LT"/>
                      </w:rPr>
                    </w:pPr>
                    <w:r>
                      <w:rPr>
                        <w:szCs w:val="24"/>
                        <w:lang w:eastAsia="lt-LT"/>
                      </w:rPr>
                      <w:t>Lietuvos apeliacinis teismas</w:t>
                    </w:r>
                  </w:p>
                </w:tc>
                <w:tc>
                  <w:tcPr>
                    <w:tcW w:w="184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jc w:val="center"/>
                      <w:rPr>
                        <w:szCs w:val="24"/>
                        <w:lang w:eastAsia="lt-LT"/>
                      </w:rPr>
                    </w:pPr>
                    <w:r>
                      <w:rPr>
                        <w:szCs w:val="24"/>
                        <w:lang w:eastAsia="lt-LT"/>
                      </w:rPr>
                      <w:t>4,5</w:t>
                    </w:r>
                  </w:p>
                </w:tc>
                <w:tc>
                  <w:tcPr>
                    <w:tcW w:w="170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jc w:val="center"/>
                      <w:rPr>
                        <w:szCs w:val="24"/>
                        <w:lang w:eastAsia="lt-LT"/>
                      </w:rPr>
                    </w:pPr>
                    <w:r>
                      <w:rPr>
                        <w:szCs w:val="24"/>
                        <w:lang w:eastAsia="lt-LT"/>
                      </w:rPr>
                      <w:t>–</w:t>
                    </w:r>
                  </w:p>
                </w:tc>
                <w:tc>
                  <w:tcPr>
                    <w:tcW w:w="170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jc w:val="center"/>
                      <w:rPr>
                        <w:szCs w:val="24"/>
                        <w:lang w:eastAsia="lt-LT"/>
                      </w:rPr>
                    </w:pPr>
                    <w:r>
                      <w:rPr>
                        <w:szCs w:val="24"/>
                        <w:lang w:eastAsia="lt-LT"/>
                      </w:rPr>
                      <w:t>4,1</w:t>
                    </w:r>
                  </w:p>
                </w:tc>
                <w:tc>
                  <w:tcPr>
                    <w:tcW w:w="98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jc w:val="center"/>
                      <w:rPr>
                        <w:szCs w:val="24"/>
                        <w:lang w:eastAsia="lt-LT"/>
                      </w:rPr>
                    </w:pPr>
                    <w:r>
                      <w:rPr>
                        <w:szCs w:val="24"/>
                        <w:lang w:eastAsia="lt-LT"/>
                      </w:rPr>
                      <w:t>3,8</w:t>
                    </w:r>
                  </w:p>
                </w:tc>
              </w:tr>
              <w:tr>
                <w:tc>
                  <w:tcPr>
                    <w:tcW w:w="70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jc w:val="center"/>
                      <w:rPr>
                        <w:szCs w:val="24"/>
                        <w:lang w:eastAsia="lt-LT"/>
                      </w:rPr>
                    </w:pPr>
                    <w:r>
                      <w:rPr>
                        <w:szCs w:val="24"/>
                        <w:lang w:eastAsia="lt-LT"/>
                      </w:rPr>
                      <w:t>4.</w:t>
                    </w:r>
                  </w:p>
                </w:tc>
                <w:tc>
                  <w:tcPr>
                    <w:tcW w:w="229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rPr>
                        <w:szCs w:val="24"/>
                        <w:lang w:eastAsia="lt-LT"/>
                      </w:rPr>
                    </w:pPr>
                    <w:r>
                      <w:rPr>
                        <w:szCs w:val="24"/>
                        <w:lang w:eastAsia="lt-LT"/>
                      </w:rPr>
                      <w:t>Apygardos teismas</w:t>
                    </w:r>
                  </w:p>
                </w:tc>
                <w:tc>
                  <w:tcPr>
                    <w:tcW w:w="184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jc w:val="center"/>
                      <w:rPr>
                        <w:szCs w:val="24"/>
                        <w:lang w:eastAsia="lt-LT"/>
                      </w:rPr>
                    </w:pPr>
                    <w:r>
                      <w:rPr>
                        <w:szCs w:val="24"/>
                        <w:lang w:eastAsia="lt-LT"/>
                      </w:rPr>
                      <w:t>4,2</w:t>
                    </w:r>
                  </w:p>
                </w:tc>
                <w:tc>
                  <w:tcPr>
                    <w:tcW w:w="170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jc w:val="center"/>
                      <w:rPr>
                        <w:szCs w:val="24"/>
                        <w:lang w:eastAsia="lt-LT"/>
                      </w:rPr>
                    </w:pPr>
                    <w:r>
                      <w:rPr>
                        <w:szCs w:val="24"/>
                        <w:lang w:eastAsia="lt-LT"/>
                      </w:rPr>
                      <w:t>–</w:t>
                    </w:r>
                  </w:p>
                </w:tc>
                <w:tc>
                  <w:tcPr>
                    <w:tcW w:w="170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jc w:val="center"/>
                      <w:rPr>
                        <w:szCs w:val="24"/>
                        <w:lang w:eastAsia="lt-LT"/>
                      </w:rPr>
                    </w:pPr>
                    <w:r>
                      <w:rPr>
                        <w:szCs w:val="24"/>
                        <w:lang w:eastAsia="lt-LT"/>
                      </w:rPr>
                      <w:t>3,8</w:t>
                    </w:r>
                  </w:p>
                </w:tc>
                <w:tc>
                  <w:tcPr>
                    <w:tcW w:w="98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jc w:val="center"/>
                      <w:rPr>
                        <w:szCs w:val="24"/>
                        <w:lang w:eastAsia="lt-LT"/>
                      </w:rPr>
                    </w:pPr>
                    <w:r>
                      <w:rPr>
                        <w:szCs w:val="24"/>
                        <w:lang w:eastAsia="lt-LT"/>
                      </w:rPr>
                      <w:t>3,6</w:t>
                    </w:r>
                  </w:p>
                </w:tc>
              </w:tr>
              <w:tr>
                <w:tc>
                  <w:tcPr>
                    <w:tcW w:w="70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jc w:val="center"/>
                      <w:rPr>
                        <w:szCs w:val="24"/>
                        <w:lang w:eastAsia="lt-LT"/>
                      </w:rPr>
                    </w:pPr>
                    <w:r>
                      <w:rPr>
                        <w:szCs w:val="24"/>
                        <w:lang w:eastAsia="lt-LT"/>
                      </w:rPr>
                      <w:t>5.</w:t>
                    </w:r>
                  </w:p>
                </w:tc>
                <w:tc>
                  <w:tcPr>
                    <w:tcW w:w="229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rPr>
                        <w:szCs w:val="24"/>
                        <w:lang w:eastAsia="lt-LT"/>
                      </w:rPr>
                    </w:pPr>
                    <w:r>
                      <w:rPr>
                        <w:szCs w:val="24"/>
                        <w:lang w:eastAsia="lt-LT"/>
                      </w:rPr>
                      <w:t>Apygardos administracinis teismas</w:t>
                    </w:r>
                  </w:p>
                </w:tc>
                <w:tc>
                  <w:tcPr>
                    <w:tcW w:w="184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jc w:val="center"/>
                      <w:rPr>
                        <w:szCs w:val="24"/>
                        <w:lang w:eastAsia="lt-LT"/>
                      </w:rPr>
                    </w:pPr>
                    <w:r>
                      <w:rPr>
                        <w:szCs w:val="24"/>
                        <w:lang w:eastAsia="lt-LT"/>
                      </w:rPr>
                      <w:t>4,2</w:t>
                    </w:r>
                  </w:p>
                </w:tc>
                <w:tc>
                  <w:tcPr>
                    <w:tcW w:w="170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jc w:val="center"/>
                      <w:rPr>
                        <w:szCs w:val="24"/>
                        <w:lang w:eastAsia="lt-LT"/>
                      </w:rPr>
                    </w:pPr>
                    <w:r>
                      <w:rPr>
                        <w:szCs w:val="24"/>
                        <w:lang w:eastAsia="lt-LT"/>
                      </w:rPr>
                      <w:t>3,8</w:t>
                    </w:r>
                  </w:p>
                </w:tc>
                <w:tc>
                  <w:tcPr>
                    <w:tcW w:w="170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jc w:val="center"/>
                      <w:rPr>
                        <w:szCs w:val="24"/>
                        <w:lang w:eastAsia="lt-LT"/>
                      </w:rPr>
                    </w:pPr>
                    <w:r>
                      <w:rPr>
                        <w:szCs w:val="24"/>
                        <w:lang w:eastAsia="lt-LT"/>
                      </w:rPr>
                      <w:t>–</w:t>
                    </w:r>
                  </w:p>
                </w:tc>
                <w:tc>
                  <w:tcPr>
                    <w:tcW w:w="98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jc w:val="center"/>
                      <w:rPr>
                        <w:szCs w:val="24"/>
                        <w:lang w:eastAsia="lt-LT"/>
                      </w:rPr>
                    </w:pPr>
                    <w:r>
                      <w:rPr>
                        <w:szCs w:val="24"/>
                        <w:lang w:eastAsia="lt-LT"/>
                      </w:rPr>
                      <w:t>3,6</w:t>
                    </w:r>
                  </w:p>
                </w:tc>
              </w:tr>
              <w:tr>
                <w:tc>
                  <w:tcPr>
                    <w:tcW w:w="70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jc w:val="center"/>
                      <w:rPr>
                        <w:szCs w:val="24"/>
                        <w:lang w:eastAsia="lt-LT"/>
                      </w:rPr>
                    </w:pPr>
                    <w:r>
                      <w:rPr>
                        <w:szCs w:val="24"/>
                        <w:lang w:eastAsia="lt-LT"/>
                      </w:rPr>
                      <w:t>6.</w:t>
                    </w:r>
                  </w:p>
                </w:tc>
                <w:tc>
                  <w:tcPr>
                    <w:tcW w:w="229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rPr>
                        <w:szCs w:val="24"/>
                        <w:lang w:eastAsia="lt-LT"/>
                      </w:rPr>
                    </w:pPr>
                    <w:r>
                      <w:rPr>
                        <w:szCs w:val="24"/>
                        <w:lang w:eastAsia="lt-LT"/>
                      </w:rPr>
                      <w:t>Apylinkės teismas</w:t>
                    </w:r>
                  </w:p>
                </w:tc>
                <w:tc>
                  <w:tcPr>
                    <w:tcW w:w="184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jc w:val="center"/>
                      <w:rPr>
                        <w:szCs w:val="24"/>
                        <w:lang w:eastAsia="lt-LT"/>
                      </w:rPr>
                    </w:pPr>
                    <w:r>
                      <w:rPr>
                        <w:szCs w:val="24"/>
                        <w:lang w:eastAsia="lt-LT"/>
                      </w:rPr>
                      <w:t>4,1</w:t>
                    </w:r>
                  </w:p>
                </w:tc>
                <w:tc>
                  <w:tcPr>
                    <w:tcW w:w="170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jc w:val="center"/>
                      <w:rPr>
                        <w:szCs w:val="24"/>
                        <w:lang w:eastAsia="lt-LT"/>
                      </w:rPr>
                    </w:pPr>
                    <w:r>
                      <w:rPr>
                        <w:szCs w:val="24"/>
                        <w:lang w:eastAsia="lt-LT"/>
                      </w:rPr>
                      <w:t>3,6</w:t>
                    </w:r>
                  </w:p>
                </w:tc>
                <w:tc>
                  <w:tcPr>
                    <w:tcW w:w="170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jc w:val="center"/>
                      <w:rPr>
                        <w:szCs w:val="24"/>
                        <w:lang w:eastAsia="lt-LT"/>
                      </w:rPr>
                    </w:pPr>
                    <w:r>
                      <w:rPr>
                        <w:szCs w:val="24"/>
                        <w:lang w:eastAsia="lt-LT"/>
                      </w:rPr>
                      <w:t>–</w:t>
                    </w:r>
                  </w:p>
                </w:tc>
                <w:tc>
                  <w:tcPr>
                    <w:tcW w:w="98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jc w:val="center"/>
                      <w:rPr>
                        <w:szCs w:val="24"/>
                        <w:lang w:eastAsia="lt-LT"/>
                      </w:rPr>
                    </w:pPr>
                    <w:r>
                      <w:rPr>
                        <w:szCs w:val="24"/>
                        <w:lang w:eastAsia="lt-LT"/>
                      </w:rPr>
                      <w:t>3,5</w:t>
                    </w:r>
                  </w:p>
                </w:tc>
              </w:tr>
            </w:tbl>
            <w:p>
              <w:pPr>
                <w:jc w:val="center"/>
              </w:pPr>
              <w:r>
                <w:t>_____________________“.</w:t>
              </w:r>
            </w:p>
            <w:p>
              <w:pPr>
                <w:tabs>
                  <w:tab w:val="left" w:pos="709"/>
                </w:tabs>
                <w:spacing w:line="380" w:lineRule="atLeast"/>
                <w:ind w:firstLine="720"/>
                <w:jc w:val="both"/>
              </w:pP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ADEA1CA46D8E">
            <w:r w:rsidRPr="00532B9F">
              <w:rPr>
                <w:rFonts w:ascii="Times New Roman" w:eastAsia="MS Mincho" w:hAnsi="Times New Roman"/>
                <w:sz w:val="20"/>
                <w:iCs/>
                <w:color w:val="0000FF" w:themeColor="hyperlink"/>
                <w:u w:val="single"/>
              </w:rPr>
              <w:t>XI-83</w:t>
            </w:r>
          </w:fldSimple>
          <w:r>
            <w:rPr>
              <w:rFonts w:ascii="Times New Roman" w:eastAsia="MS Mincho" w:hAnsi="Times New Roman"/>
              <w:sz w:val="20"/>
              <w:iCs/>
            </w:rPr>
            <w:t>,
2008-12-19,
Žin., 2008, Nr.
149-6009 (2008-12-30), i. k. 1081010ISTA000XI-83                </w:t>
          </w:r>
        </w:p>
        <w:p>
          <w:pPr>
            <w:jc w:val="both"/>
            <w:rPr>
              <w:rFonts w:ascii="Times New Roman" w:hAnsi="Times New Roman"/>
            </w:rPr>
          </w:pPr>
          <w:r>
            <w:rPr>
              <w:rFonts w:ascii="Times New Roman" w:hAnsi="Times New Roman"/>
              <w:sz w:val="20"/>
            </w:rPr>
            <w:t>Lietuvos Respublikos teisėjų atlyginimų įstatymo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467B48ECFF5F">
            <w:r w:rsidRPr="00532B9F">
              <w:rPr>
                <w:rFonts w:ascii="Times New Roman" w:eastAsia="MS Mincho" w:hAnsi="Times New Roman"/>
                <w:sz w:val="20"/>
                <w:iCs/>
                <w:color w:val="0000FF" w:themeColor="hyperlink"/>
                <w:u w:val="single"/>
              </w:rPr>
              <w:t>XI-235</w:t>
            </w:r>
          </w:fldSimple>
          <w:r>
            <w:rPr>
              <w:rFonts w:ascii="Times New Roman" w:eastAsia="MS Mincho" w:hAnsi="Times New Roman"/>
              <w:sz w:val="20"/>
              <w:iCs/>
            </w:rPr>
            <w:t>,
2009-04-28,
Žin., 2009, Nr.
49-1940 (2009-04-30), i. k. 1091010ISTA00XI-235                </w:t>
          </w:r>
        </w:p>
        <w:p>
          <w:pPr>
            <w:jc w:val="both"/>
            <w:rPr>
              <w:rFonts w:ascii="Times New Roman" w:hAnsi="Times New Roman"/>
            </w:rPr>
          </w:pPr>
          <w:r>
            <w:rPr>
              <w:rFonts w:ascii="Times New Roman" w:hAnsi="Times New Roman"/>
              <w:sz w:val="20"/>
            </w:rPr>
            <w:t>Lietuvos Respublikos teisėjų atlyginimų įstatymo priedėlio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339B71379DA7">
            <w:r w:rsidRPr="00532B9F">
              <w:rPr>
                <w:rFonts w:ascii="Times New Roman" w:eastAsia="MS Mincho" w:hAnsi="Times New Roman"/>
                <w:sz w:val="20"/>
                <w:iCs/>
                <w:color w:val="0000FF" w:themeColor="hyperlink"/>
                <w:u w:val="single"/>
              </w:rPr>
              <w:t>XI-362</w:t>
            </w:r>
          </w:fldSimple>
          <w:r>
            <w:rPr>
              <w:rFonts w:ascii="Times New Roman" w:eastAsia="MS Mincho" w:hAnsi="Times New Roman"/>
              <w:sz w:val="20"/>
              <w:iCs/>
            </w:rPr>
            <w:t>,
2009-07-17,
Žin., 2009, Nr.
91-3917 (2009-07-31), i. k. 1091010ISTA00XI-362                </w:t>
          </w:r>
        </w:p>
        <w:p>
          <w:pPr>
            <w:jc w:val="both"/>
            <w:rPr>
              <w:rFonts w:ascii="Times New Roman" w:hAnsi="Times New Roman"/>
            </w:rPr>
          </w:pPr>
          <w:r>
            <w:rPr>
              <w:rFonts w:ascii="Times New Roman" w:hAnsi="Times New Roman"/>
              <w:sz w:val="20"/>
            </w:rPr>
            <w:t>Lietuvos Respublikos teisėjų atlyginimų įstatymo priedėlio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ED0789436480">
            <w:r w:rsidRPr="00532B9F">
              <w:rPr>
                <w:rFonts w:ascii="Times New Roman" w:eastAsia="MS Mincho" w:hAnsi="Times New Roman"/>
                <w:sz w:val="20"/>
                <w:iCs/>
                <w:color w:val="0000FF" w:themeColor="hyperlink"/>
                <w:u w:val="single"/>
              </w:rPr>
              <w:t>XI-952</w:t>
            </w:r>
          </w:fldSimple>
          <w:r>
            <w:rPr>
              <w:rFonts w:ascii="Times New Roman" w:eastAsia="MS Mincho" w:hAnsi="Times New Roman"/>
              <w:sz w:val="20"/>
              <w:iCs/>
            </w:rPr>
            <w:t>,
2010-06-30,
Žin., 2010, Nr.
82-4306 (2010-07-13), i. k. 1101010ISTA00XI-952                </w:t>
          </w:r>
        </w:p>
        <w:p>
          <w:pPr>
            <w:jc w:val="both"/>
            <w:rPr>
              <w:rFonts w:ascii="Times New Roman" w:hAnsi="Times New Roman"/>
            </w:rPr>
          </w:pPr>
          <w:r>
            <w:rPr>
              <w:rFonts w:ascii="Times New Roman" w:hAnsi="Times New Roman"/>
              <w:sz w:val="20"/>
            </w:rPr>
            <w:t>Lietuvos Respublikos teisėjų atlyginimų įstatymo priedėlio pakeitimo įstatymo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663E3B5C1B34">
            <w:r w:rsidRPr="00532B9F">
              <w:rPr>
                <w:rFonts w:ascii="Times New Roman" w:eastAsia="MS Mincho" w:hAnsi="Times New Roman"/>
                <w:sz w:val="20"/>
                <w:iCs/>
                <w:color w:val="0000FF" w:themeColor="hyperlink"/>
                <w:u w:val="single"/>
              </w:rPr>
              <w:t>XI-953</w:t>
            </w:r>
          </w:fldSimple>
          <w:r>
            <w:rPr>
              <w:rFonts w:ascii="Times New Roman" w:eastAsia="MS Mincho" w:hAnsi="Times New Roman"/>
              <w:sz w:val="20"/>
              <w:iCs/>
            </w:rPr>
            <w:t>,
2010-06-30,
Žin., 2010, Nr.
82-4307 (2010-07-13), i. k. 1101010ISTA00XI-953                </w:t>
          </w:r>
        </w:p>
        <w:p>
          <w:pPr>
            <w:jc w:val="both"/>
            <w:rPr>
              <w:rFonts w:ascii="Times New Roman" w:hAnsi="Times New Roman"/>
            </w:rPr>
          </w:pPr>
          <w:r>
            <w:rPr>
              <w:rFonts w:ascii="Times New Roman" w:hAnsi="Times New Roman"/>
              <w:sz w:val="20"/>
            </w:rPr>
            <w:t>Lietuvos Respublikos teisėjų atlyginimų įstatymo priedėlio pakeitimo įstatymo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Konstitucinis Teismas, Nutarimas
                </w:t>
          </w:r>
        </w:p>
        <w:p>
          <w:pPr>
            <w:jc w:val="both"/>
            <w:rPr>
              <w:rFonts w:ascii="Times New Roman" w:hAnsi="Times New Roman"/>
            </w:rPr>
          </w:pPr>
          <w:r>
            <w:rPr>
              <w:rFonts w:ascii="Times New Roman" w:hAnsi="Times New Roman"/>
              <w:sz w:val="20"/>
            </w:rPr>
            <w:t xml:space="preserve">2011-02-14,
Žin., 2011, Nr.
20-967 (2011-02-17), i. k. 1111000NUTARG111145                </w:t>
          </w:r>
        </w:p>
        <w:p>
          <w:pPr>
            <w:jc w:val="both"/>
            <w:rPr>
              <w:rFonts w:ascii="Times New Roman" w:hAnsi="Times New Roman"/>
            </w:rPr>
          </w:pPr>
          <w:r>
            <w:rPr>
              <w:rFonts w:ascii="Times New Roman" w:hAnsi="Times New Roman"/>
              <w:sz w:val="20"/>
            </w:rPr>
            <w:t>Dėl Lietuvos Respublikos teisėjų atlyginimų įstatymo (2008 m. lapkričio 6 d. redakcija) 4 straipsnio 2 dalies 2 punkto, 5 straipsnio 1 dalies, 6 straipsnio 1 dalies atitikties Lietuvos Respublikos Konstitucijai</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6CDBB3AC5706">
            <w:r w:rsidRPr="00532B9F">
              <w:rPr>
                <w:rFonts w:ascii="Times New Roman" w:eastAsia="MS Mincho" w:hAnsi="Times New Roman"/>
                <w:sz w:val="20"/>
                <w:iCs/>
                <w:color w:val="0000FF" w:themeColor="hyperlink"/>
                <w:u w:val="single"/>
              </w:rPr>
              <w:t>XI-1728</w:t>
            </w:r>
          </w:fldSimple>
          <w:r>
            <w:rPr>
              <w:rFonts w:ascii="Times New Roman" w:eastAsia="MS Mincho" w:hAnsi="Times New Roman"/>
              <w:sz w:val="20"/>
              <w:iCs/>
            </w:rPr>
            <w:t>,
2011-11-22,
Žin., 2011, Nr.
150-7043 (2011-12-08), i. k. 1111010ISTA0XI-1728                </w:t>
          </w:r>
        </w:p>
        <w:p>
          <w:pPr>
            <w:jc w:val="both"/>
            <w:rPr>
              <w:rFonts w:ascii="Times New Roman" w:hAnsi="Times New Roman"/>
            </w:rPr>
          </w:pPr>
          <w:r>
            <w:rPr>
              <w:rFonts w:ascii="Times New Roman" w:hAnsi="Times New Roman"/>
              <w:sz w:val="20"/>
            </w:rPr>
            <w:t>Lietuvos Respublikos teisėjų atlyginimų įstatymo priedėlio pakeitimo įstatymo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4A16E438E6D9">
            <w:r w:rsidRPr="00532B9F">
              <w:rPr>
                <w:rFonts w:ascii="Times New Roman" w:eastAsia="MS Mincho" w:hAnsi="Times New Roman"/>
                <w:sz w:val="20"/>
                <w:iCs/>
                <w:color w:val="0000FF" w:themeColor="hyperlink"/>
                <w:u w:val="single"/>
              </w:rPr>
              <w:t>XI-1729</w:t>
            </w:r>
          </w:fldSimple>
          <w:r>
            <w:rPr>
              <w:rFonts w:ascii="Times New Roman" w:eastAsia="MS Mincho" w:hAnsi="Times New Roman"/>
              <w:sz w:val="20"/>
              <w:iCs/>
            </w:rPr>
            <w:t>,
2011-11-22,
Žin., 2011, Nr.
150-7044 (2011-12-08), i. k. 1111010ISTA0XI-1729                </w:t>
          </w:r>
        </w:p>
        <w:p>
          <w:pPr>
            <w:jc w:val="both"/>
            <w:rPr>
              <w:rFonts w:ascii="Times New Roman" w:hAnsi="Times New Roman"/>
            </w:rPr>
          </w:pPr>
          <w:r>
            <w:rPr>
              <w:rFonts w:ascii="Times New Roman" w:hAnsi="Times New Roman"/>
              <w:sz w:val="20"/>
            </w:rPr>
            <w:t>Lietuvos Respublikos teisėjų atlyginimų įstatymo priedėlio pakeitimo įstatymo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3C6F2C1607DD">
            <w:r w:rsidRPr="00532B9F">
              <w:rPr>
                <w:rFonts w:ascii="Times New Roman" w:eastAsia="MS Mincho" w:hAnsi="Times New Roman"/>
                <w:sz w:val="20"/>
                <w:iCs/>
                <w:color w:val="0000FF" w:themeColor="hyperlink"/>
                <w:u w:val="single"/>
              </w:rPr>
              <w:t>XII-112</w:t>
            </w:r>
          </w:fldSimple>
          <w:r>
            <w:rPr>
              <w:rFonts w:ascii="Times New Roman" w:eastAsia="MS Mincho" w:hAnsi="Times New Roman"/>
              <w:sz w:val="20"/>
              <w:iCs/>
            </w:rPr>
            <w:t>,
2012-12-20,
Žin., 2012, Nr.
155-7990 (2012-12-31), i. k. 1121010ISTA0XII-112                </w:t>
          </w:r>
        </w:p>
        <w:p>
          <w:pPr>
            <w:jc w:val="both"/>
            <w:rPr>
              <w:rFonts w:ascii="Times New Roman" w:hAnsi="Times New Roman"/>
            </w:rPr>
          </w:pPr>
          <w:r>
            <w:rPr>
              <w:rFonts w:ascii="Times New Roman" w:hAnsi="Times New Roman"/>
              <w:sz w:val="20"/>
            </w:rPr>
            <w:t>Lietuvos Respublikos teisėjų atlyginimų įstatymo priedėlio pakeitimo įstatymo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3A6E606CD5AC">
            <w:r w:rsidRPr="00532B9F">
              <w:rPr>
                <w:rFonts w:ascii="Times New Roman" w:eastAsia="MS Mincho" w:hAnsi="Times New Roman"/>
                <w:sz w:val="20"/>
                <w:iCs/>
                <w:color w:val="0000FF" w:themeColor="hyperlink"/>
                <w:u w:val="single"/>
              </w:rPr>
              <w:t>XII-113</w:t>
            </w:r>
          </w:fldSimple>
          <w:r>
            <w:rPr>
              <w:rFonts w:ascii="Times New Roman" w:eastAsia="MS Mincho" w:hAnsi="Times New Roman"/>
              <w:sz w:val="20"/>
              <w:iCs/>
            </w:rPr>
            <w:t>,
2012-12-20,
Žin., 2012, Nr.
155-7991 (2012-12-31), i. k. 1121010ISTA0XII-113                </w:t>
          </w:r>
        </w:p>
        <w:p>
          <w:pPr>
            <w:jc w:val="both"/>
            <w:rPr>
              <w:rFonts w:ascii="Times New Roman" w:hAnsi="Times New Roman"/>
            </w:rPr>
          </w:pPr>
          <w:r>
            <w:rPr>
              <w:rFonts w:ascii="Times New Roman" w:hAnsi="Times New Roman"/>
              <w:sz w:val="20"/>
            </w:rPr>
            <w:t>Lietuvos Respublikos teisėjų atlyginimų įstatymo priedėlio pakeitimo įstatymo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F21A2BDD9A79">
            <w:r w:rsidRPr="00532B9F">
              <w:rPr>
                <w:rFonts w:ascii="Times New Roman" w:eastAsia="MS Mincho" w:hAnsi="Times New Roman"/>
                <w:sz w:val="20"/>
                <w:iCs/>
                <w:color w:val="0000FF" w:themeColor="hyperlink"/>
                <w:u w:val="single"/>
              </w:rPr>
              <w:t>XII-518</w:t>
            </w:r>
          </w:fldSimple>
          <w:r>
            <w:rPr>
              <w:rFonts w:ascii="Times New Roman" w:eastAsia="MS Mincho" w:hAnsi="Times New Roman"/>
              <w:sz w:val="20"/>
              <w:iCs/>
            </w:rPr>
            <w:t>,
2013-09-19,
Žin., 2013, Nr.
102-5027 (2013-09-28), i. k. 1131010ISTA0XII-518                </w:t>
          </w:r>
        </w:p>
        <w:p>
          <w:pPr>
            <w:jc w:val="both"/>
            <w:rPr>
              <w:rFonts w:ascii="Times New Roman" w:hAnsi="Times New Roman"/>
            </w:rPr>
          </w:pPr>
          <w:r>
            <w:rPr>
              <w:rFonts w:ascii="Times New Roman" w:hAnsi="Times New Roman"/>
              <w:sz w:val="20"/>
            </w:rPr>
            <w:t>Lietuvos Respublikos teisėjų atlyginimų įstatymo priedėlio pakeitimo įstatymo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601B563A9B43">
            <w:r w:rsidRPr="00532B9F">
              <w:rPr>
                <w:rFonts w:ascii="Times New Roman" w:eastAsia="MS Mincho" w:hAnsi="Times New Roman"/>
                <w:sz w:val="20"/>
                <w:iCs/>
                <w:color w:val="0000FF" w:themeColor="hyperlink"/>
                <w:u w:val="single"/>
              </w:rPr>
              <w:t>XII-519</w:t>
            </w:r>
          </w:fldSimple>
          <w:r>
            <w:rPr>
              <w:rFonts w:ascii="Times New Roman" w:eastAsia="MS Mincho" w:hAnsi="Times New Roman"/>
              <w:sz w:val="20"/>
              <w:iCs/>
            </w:rPr>
            <w:t>,
2013-09-19,
Žin., 2013, Nr.
102-5028 (2013-09-28), i. k. 1131010ISTA0XII-519                </w:t>
          </w:r>
        </w:p>
        <w:p>
          <w:pPr>
            <w:jc w:val="both"/>
            <w:rPr>
              <w:rFonts w:ascii="Times New Roman" w:hAnsi="Times New Roman"/>
            </w:rPr>
          </w:pPr>
          <w:r>
            <w:rPr>
              <w:rFonts w:ascii="Times New Roman" w:hAnsi="Times New Roman"/>
              <w:sz w:val="20"/>
            </w:rPr>
            <w:t>Lietuvos Respublikos teisėjų atlyginimų įstatymo priedėlio pakeitimo įstatymo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b1ec720fc8011e8a969c20aa4d38bd4">
            <w:r w:rsidRPr="00532B9F">
              <w:rPr>
                <w:rFonts w:ascii="Times New Roman" w:eastAsia="MS Mincho" w:hAnsi="Times New Roman"/>
                <w:sz w:val="20"/>
                <w:iCs/>
                <w:color w:val="0000FF" w:themeColor="hyperlink"/>
                <w:u w:val="single"/>
              </w:rPr>
              <w:t>XIII-1689</w:t>
            </w:r>
          </w:fldSimple>
          <w:r>
            <w:rPr>
              <w:rFonts w:ascii="Times New Roman" w:eastAsia="MS Mincho" w:hAnsi="Times New Roman"/>
              <w:sz w:val="20"/>
              <w:iCs/>
            </w:rPr>
            <w:t>,
2018-12-04,
paskelbta TAR 2018-12-10, i. k. 2018-20188                </w:t>
          </w:r>
        </w:p>
        <w:p>
          <w:pPr>
            <w:jc w:val="both"/>
            <w:rPr>
              <w:rFonts w:ascii="Times New Roman" w:hAnsi="Times New Roman"/>
            </w:rPr>
          </w:pPr>
          <w:r>
            <w:rPr>
              <w:rFonts w:ascii="Times New Roman" w:hAnsi="Times New Roman"/>
              <w:sz w:val="20"/>
            </w:rPr>
            <w:t>Lietuvos Respublikos teisėjų atlyginimų įstatymo Nr. X-1771 priedėlio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fcf21e0eac311eb9f09e7df20500045">
            <w:r w:rsidRPr="00532B9F">
              <w:rPr>
                <w:rFonts w:ascii="Times New Roman" w:eastAsia="MS Mincho" w:hAnsi="Times New Roman"/>
                <w:sz w:val="20"/>
                <w:iCs/>
                <w:color w:val="0000FF" w:themeColor="hyperlink"/>
                <w:u w:val="single"/>
              </w:rPr>
              <w:t>XIV-509</w:t>
            </w:r>
          </w:fldSimple>
          <w:r>
            <w:rPr>
              <w:rFonts w:ascii="Times New Roman" w:eastAsia="MS Mincho" w:hAnsi="Times New Roman"/>
              <w:sz w:val="20"/>
              <w:iCs/>
            </w:rPr>
            <w:t>,
2021-07-13,
paskelbta TAR 2021-07-22, i. k. 2021-16270                </w:t>
          </w:r>
        </w:p>
        <w:p>
          <w:pPr>
            <w:jc w:val="both"/>
            <w:rPr>
              <w:rFonts w:ascii="Times New Roman" w:hAnsi="Times New Roman"/>
            </w:rPr>
          </w:pPr>
          <w:r>
            <w:rPr>
              <w:rFonts w:ascii="Times New Roman" w:hAnsi="Times New Roman"/>
              <w:sz w:val="20"/>
            </w:rPr>
            <w:t>Lietuvos Respublikos teisėjų atlyginimų įstatymo Nr. X-1771 4 straipsnio pakeitimo ir Įstatymo papildymo 5-1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add1a0540711ec862fdcbc8b3e3e05">
            <w:r w:rsidRPr="00532B9F">
              <w:rPr>
                <w:rFonts w:ascii="Times New Roman" w:eastAsia="MS Mincho" w:hAnsi="Times New Roman"/>
                <w:sz w:val="20"/>
                <w:iCs/>
                <w:color w:val="0000FF" w:themeColor="hyperlink"/>
                <w:u w:val="single"/>
              </w:rPr>
              <w:t>XIV-708</w:t>
            </w:r>
          </w:fldSimple>
          <w:r>
            <w:rPr>
              <w:rFonts w:ascii="Times New Roman" w:eastAsia="MS Mincho" w:hAnsi="Times New Roman"/>
              <w:sz w:val="20"/>
              <w:iCs/>
            </w:rPr>
            <w:t>,
2021-11-25,
paskelbta TAR 2021-12-03, i. k. 2021-25134                </w:t>
          </w:r>
        </w:p>
        <w:p>
          <w:pPr>
            <w:jc w:val="both"/>
            <w:rPr>
              <w:rFonts w:ascii="Times New Roman" w:hAnsi="Times New Roman"/>
            </w:rPr>
          </w:pPr>
          <w:r>
            <w:rPr>
              <w:rFonts w:ascii="Times New Roman" w:hAnsi="Times New Roman"/>
              <w:sz w:val="20"/>
            </w:rPr>
            <w:t>Lietuvos Respublikos teisėjų atlyginimų įstatymo Nr. X-1771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001fbf006ca11ee9978886e85107ab2">
            <w:r w:rsidRPr="00532B9F">
              <w:rPr>
                <w:rFonts w:ascii="Times New Roman" w:eastAsia="MS Mincho" w:hAnsi="Times New Roman"/>
                <w:sz w:val="20"/>
                <w:iCs/>
                <w:color w:val="0000FF" w:themeColor="hyperlink"/>
                <w:u w:val="single"/>
              </w:rPr>
              <w:t>XIV-2015</w:t>
            </w:r>
          </w:fldSimple>
          <w:r>
            <w:rPr>
              <w:rFonts w:ascii="Times New Roman" w:eastAsia="MS Mincho" w:hAnsi="Times New Roman"/>
              <w:sz w:val="20"/>
              <w:iCs/>
            </w:rPr>
            <w:t>,
2023-05-25,
paskelbta TAR 2023-06-09, i. k. 2023-11594                </w:t>
          </w:r>
        </w:p>
        <w:p>
          <w:pPr>
            <w:jc w:val="both"/>
            <w:rPr>
              <w:rFonts w:ascii="Times New Roman" w:hAnsi="Times New Roman"/>
            </w:rPr>
          </w:pPr>
          <w:r>
            <w:rPr>
              <w:rFonts w:ascii="Times New Roman" w:hAnsi="Times New Roman"/>
              <w:sz w:val="20"/>
            </w:rPr>
            <w:t>Lietuvos Respublikos teisėjų darbo apmokėjimo įstatymo Nr. X-1771 pakeitimo įstatymas</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1134" w:bottom="1134" w:left="1701" w:header="567" w:footer="284"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imesLT">
    <w:altName w:val="Times New Roman"/>
    <w:charset w:val="BA"/>
    <w:family w:val="roman"/>
    <w:pitch w:val="variable"/>
    <w:sig w:usb0="E0002AFF" w:usb1="C0007841"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pStyle w:val="Antrats"/>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pStyle w:val="Antrats"/>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pStyle w:val="Antrats"/>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pStyle w:val="Antrats"/>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pStyle w:val="Antrats"/>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pStyle w:val="Antrats"/>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pStyle w:val="Antrats"/>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w:t>
    </w:r>
    <w:r>
      <w:fldChar w:fldCharType="end"/>
    </w:r>
  </w:p>
  <w:p>
    <w:pPr>
      <w:pStyle w:val="Antrat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pStyle w:val="Antrat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 xml:space="preserve">PAGE   \* </w:instrText>
    </w:r>
    <w:r>
      <w:instrText>MERGEFORMAT</w:instrText>
    </w:r>
    <w:r>
      <w:fldChar w:fldCharType="separate"/>
    </w:r>
    <w:r>
      <w:t>2</w:t>
    </w:r>
    <w:r>
      <w:fldChar w:fldCharType="end"/>
    </w:r>
  </w:p>
  <w:p>
    <w:pPr>
      <w:pStyle w:val="Antrats"/>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oofState w:spelling="clean" w:grammar="clean"/>
  <w:defaultTabStop w:val="1296"/>
  <w:hyphenationZone w:val="396"/>
  <w:doNotHyphenateCaps/>
  <w:drawingGridHorizontalSpacing w:val="120"/>
  <w:displayHorizontalDrawingGridEvery w:val="2"/>
  <w:displayVertic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B63B6"/>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7B479FC7-1E57-4206-ACFF-1279E82926DE}"/>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 w:type="paragraph" w:styleId="Sraopastraipa">
    <w:name w:val="List Paragraph"/>
    <w:basedOn w:val="prastasis"/>
    <w:pPr>
      <w:ind w:left="720"/>
      <w:contextualSpacing/>
    </w:p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settings" Target="settings.xml"/>
  <Relationship Id="rId11" Type="http://schemas.openxmlformats.org/officeDocument/2006/relationships/styles" Target="styles.xml"/>
  <Relationship Id="rId12" Type="http://schemas.openxmlformats.org/officeDocument/2006/relationships/theme" Target="theme/theme1.xml"/>
  <Relationship Id="rId13" Type="http://schemas.openxmlformats.org/officeDocument/2006/relationships/webSettings" Target="webSettings.xml"/>
  <Relationship Id="rId14"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footer" Target="footer3.xml"/>
  <Relationship Id="rId6" Type="http://schemas.openxmlformats.org/officeDocument/2006/relationships/footnotes" Target="foot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header" Target="header3.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10.xml.rels><?xml version="1.0" encoding="UTF-8"?>

<Relationships xmlns="http://schemas.openxmlformats.org/package/2006/relationships">
  <Relationship Id="rId1" Type="http://schemas.microsoft.com/office/2006/relationships/activeXControlBinary" Target="activeX10.bin"/>
</Relationships>

</file>

<file path=word/activeX/_rels/activeX11.xml.rels><?xml version="1.0" encoding="UTF-8"?>

<Relationships xmlns="http://schemas.openxmlformats.org/package/2006/relationships">
  <Relationship Id="rId1" Type="http://schemas.microsoft.com/office/2006/relationships/activeXControlBinary" Target="activeX11.bin"/>
</Relationships>

</file>

<file path=word/activeX/_rels/activeX12.xml.rels><?xml version="1.0" encoding="UTF-8"?>

<Relationships xmlns="http://schemas.openxmlformats.org/package/2006/relationships">
  <Relationship Id="rId1" Type="http://schemas.microsoft.com/office/2006/relationships/activeXControlBinary" Target="activeX12.bin"/>
</Relationships>

</file>

<file path=word/activeX/_rels/activeX13.xml.rels><?xml version="1.0" encoding="UTF-8"?>

<Relationships xmlns="http://schemas.openxmlformats.org/package/2006/relationships">
  <Relationship Id="rId1" Type="http://schemas.microsoft.com/office/2006/relationships/activeXControlBinary" Target="activeX13.bin"/>
</Relationships>

</file>

<file path=word/activeX/_rels/activeX14.xml.rels><?xml version="1.0" encoding="UTF-8"?>

<Relationships xmlns="http://schemas.openxmlformats.org/package/2006/relationships">
  <Relationship Id="rId1" Type="http://schemas.microsoft.com/office/2006/relationships/activeXControlBinary" Target="activeX14.bin"/>
</Relationships>

</file>

<file path=word/activeX/_rels/activeX15.xml.rels><?xml version="1.0" encoding="UTF-8"?>

<Relationships xmlns="http://schemas.openxmlformats.org/package/2006/relationships">
  <Relationship Id="rId1" Type="http://schemas.microsoft.com/office/2006/relationships/activeXControlBinary" Target="activeX15.bin"/>
</Relationships>

</file>

<file path=word/activeX/_rels/activeX16.xml.rels><?xml version="1.0" encoding="UTF-8"?>

<Relationships xmlns="http://schemas.openxmlformats.org/package/2006/relationships">
  <Relationship Id="rId1" Type="http://schemas.microsoft.com/office/2006/relationships/activeXControlBinary" Target="activeX16.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_rels/activeX4.xml.rels><?xml version="1.0" encoding="UTF-8"?>

<Relationships xmlns="http://schemas.openxmlformats.org/package/2006/relationships">
  <Relationship Id="rId1" Type="http://schemas.microsoft.com/office/2006/relationships/activeXControlBinary" Target="activeX4.bin"/>
</Relationships>

</file>

<file path=word/activeX/_rels/activeX5.xml.rels><?xml version="1.0" encoding="UTF-8"?>

<Relationships xmlns="http://schemas.openxmlformats.org/package/2006/relationships">
  <Relationship Id="rId1" Type="http://schemas.microsoft.com/office/2006/relationships/activeXControlBinary" Target="activeX5.bin"/>
</Relationships>

</file>

<file path=word/activeX/_rels/activeX6.xml.rels><?xml version="1.0" encoding="UTF-8"?>

<Relationships xmlns="http://schemas.openxmlformats.org/package/2006/relationships">
  <Relationship Id="rId1" Type="http://schemas.microsoft.com/office/2006/relationships/activeXControlBinary" Target="activeX6.bin"/>
</Relationships>

</file>

<file path=word/activeX/_rels/activeX7.xml.rels><?xml version="1.0" encoding="UTF-8"?>

<Relationships xmlns="http://schemas.openxmlformats.org/package/2006/relationships">
  <Relationship Id="rId1" Type="http://schemas.microsoft.com/office/2006/relationships/activeXControlBinary" Target="activeX7.bin"/>
</Relationships>

</file>

<file path=word/activeX/_rels/activeX8.xml.rels><?xml version="1.0" encoding="UTF-8"?>

<Relationships xmlns="http://schemas.openxmlformats.org/package/2006/relationships">
  <Relationship Id="rId1" Type="http://schemas.microsoft.com/office/2006/relationships/activeXControlBinary" Target="activeX8.bin"/>
</Relationships>

</file>

<file path=word/activeX/_rels/activeX9.xml.rels><?xml version="1.0" encoding="UTF-8"?>

<Relationships xmlns="http://schemas.openxmlformats.org/package/2006/relationships">
  <Relationship Id="rId1" Type="http://schemas.microsoft.com/office/2006/relationships/activeXControlBinary" Target="activeX9.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10.xml><?xml version="1.0" encoding="utf-8"?>
<ax:ocx xmlns:ax="http://schemas.microsoft.com/office/2006/activeX" xmlns:r="http://schemas.openxmlformats.org/officeDocument/2006/relationships" ax:classid="{868FBE40-B964-453C-BEA2-77F32F2C294F}" ax:persistence="persistStorage" r:id="rId1"/>
</file>

<file path=word/activeX/activeX11.xml><?xml version="1.0" encoding="utf-8"?>
<ax:ocx xmlns:ax="http://schemas.microsoft.com/office/2006/activeX" xmlns:r="http://schemas.openxmlformats.org/officeDocument/2006/relationships" ax:classid="{868FBE40-B964-453C-BEA2-77F32F2C294F}" ax:persistence="persistStorage" r:id="rId1"/>
</file>

<file path=word/activeX/activeX12.xml><?xml version="1.0" encoding="utf-8"?>
<ax:ocx xmlns:ax="http://schemas.microsoft.com/office/2006/activeX" xmlns:r="http://schemas.openxmlformats.org/officeDocument/2006/relationships" ax:classid="{868FBE40-B964-453C-BEA2-77F32F2C294F}" ax:persistence="persistStorage" r:id="rId1"/>
</file>

<file path=word/activeX/activeX13.xml><?xml version="1.0" encoding="utf-8"?>
<ax:ocx xmlns:ax="http://schemas.microsoft.com/office/2006/activeX" xmlns:r="http://schemas.openxmlformats.org/officeDocument/2006/relationships" ax:classid="{868FBE40-B964-453C-BEA2-77F32F2C294F}" ax:persistence="persistStorage" r:id="rId1"/>
</file>

<file path=word/activeX/activeX14.xml><?xml version="1.0" encoding="utf-8"?>
<ax:ocx xmlns:ax="http://schemas.microsoft.com/office/2006/activeX" xmlns:r="http://schemas.openxmlformats.org/officeDocument/2006/relationships" ax:classid="{868FBE40-B964-453C-BEA2-77F32F2C294F}" ax:persistence="persistStorage" r:id="rId1"/>
</file>

<file path=word/activeX/activeX15.xml><?xml version="1.0" encoding="utf-8"?>
<ax:ocx xmlns:ax="http://schemas.microsoft.com/office/2006/activeX" xmlns:r="http://schemas.openxmlformats.org/officeDocument/2006/relationships" ax:classid="{868FBE40-B964-453C-BEA2-77F32F2C294F}" ax:persistence="persistStorage" r:id="rId1"/>
</file>

<file path=word/activeX/activeX16.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activeX/activeX5.xml><?xml version="1.0" encoding="utf-8"?>
<ax:ocx xmlns:ax="http://schemas.microsoft.com/office/2006/activeX" xmlns:r="http://schemas.openxmlformats.org/officeDocument/2006/relationships" ax:classid="{868FBE40-B964-453C-BEA2-77F32F2C294F}" ax:persistence="persistStorage" r:id="rId1"/>
</file>

<file path=word/activeX/activeX6.xml><?xml version="1.0" encoding="utf-8"?>
<ax:ocx xmlns:ax="http://schemas.microsoft.com/office/2006/activeX" xmlns:r="http://schemas.openxmlformats.org/officeDocument/2006/relationships" ax:classid="{868FBE40-B964-453C-BEA2-77F32F2C294F}" ax:persistence="persistStorage" r:id="rId1"/>
</file>

<file path=word/activeX/activeX7.xml><?xml version="1.0" encoding="utf-8"?>
<ax:ocx xmlns:ax="http://schemas.microsoft.com/office/2006/activeX" xmlns:r="http://schemas.openxmlformats.org/officeDocument/2006/relationships" ax:classid="{868FBE40-B964-453C-BEA2-77F32F2C294F}" ax:persistence="persistStorage" r:id="rId1"/>
</file>

<file path=word/activeX/activeX8.xml><?xml version="1.0" encoding="utf-8"?>
<ax:ocx xmlns:ax="http://schemas.microsoft.com/office/2006/activeX" xmlns:r="http://schemas.openxmlformats.org/officeDocument/2006/relationships" ax:classid="{868FBE40-B964-453C-BEA2-77F32F2C294F}" ax:persistence="persistStorage" r:id="rId1"/>
</file>

<file path=word/activeX/activeX9.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ff5b439ebcce4d908efcabeac6bf71e4" PartId="69aadef12e2245a095cedfb3c4dd3e60">
    <Part Type="straipsnis" Nr="1" Abbr="1 str." Title="Įstatymo paskirtis" DocPartId="9fcee350a6f24bfd8b356ad446157741" PartId="74bf0e07a1864d23a611f0e9a53fe6bd">
      <Part Type="strDalis" Nr="1" Abbr="1 str. 1 d." DocPartId="cbbefeb6bef049538af913b49ec190c6" PartId="91a1ae68b5f344fa987dbb2b2001c9c2"/>
    </Part>
    <Part Type="straipsnis" Nr="2" Abbr="2 str." Title="Įstatymo taikymas" DocPartId="1549822376404fbe8ab16534954153c2" PartId="a34a3b3d2d44461d824b91dd3ee0d673">
      <Part Type="strDalis" Nr="1" Abbr="2 str. 1 d." DocPartId="a5a93e2a0a2a4a70b540e7e812264183" PartId="3bea57d442ab455fbd2818314f316a10">
        <Part Type="strPunktas" Nr="1" Abbr="2 str. 1 d. 1 p." DocPartId="8ff078b90a7b44a38770eab5218a39aa" PartId="f34139f18f5943a5b0a3d42617f06fbb"/>
        <Part Type="strPunktas" Nr="2" Abbr="2 str. 1 d. 2 p." DocPartId="46ef13aaf04d4b93a78a160daac5a53e" PartId="4d9dbfa6cd1b4437b20938cae69b79e9"/>
      </Part>
    </Part>
    <Part Type="straipsnis" Nr="3" Abbr="3 str." Title="Teisėjų atlyginimas" DocPartId="c29e255bebc94f2eb569b67af29b930d" PartId="ebff9ab3c1a84d8a9f8c291464445872">
      <Part Type="strDalis" Nr="1" Abbr="3 str. 1 d." DocPartId="b494761fc4074581b12117f2b050c206" PartId="75d766c3ebd84693a827ab16d9b053db">
        <Part Type="strPunktas" Nr="1" Abbr="3 str. 1 d. 1 p." DocPartId="4db063bb59294985a4c9494afa0e15b9" PartId="0ac899bdd8b34488801c01ba39cee8c3"/>
        <Part Type="strPunktas" Nr="2" Abbr="3 str. 1 d. 2 p." DocPartId="30598f74516647c1aa6060b990c52b0d" PartId="55101592c2e14d74a216b278d965083c"/>
      </Part>
      <Part Type="strDalis" Nr="2" Abbr="3 str. 2 d." DocPartId="026a92f3f60d4076b71c9a8d5f2cdcd1" PartId="4755b960bf3d45b79a7c281683396007">
        <Part Type="strPunktas" Nr="1" Abbr="3 str. 2 d. 1 p." DocPartId="a85f1fc2fcab490da9d024b176ed8869" PartId="ab6f4202bd40461c9619419f543a165e"/>
        <Part Type="strPunktas" Nr="2" Abbr="3 str. 2 d. 2 p." DocPartId="6b9524166dec45be89bc435df999869f" PartId="bb76337affb1458a9ac52929533fe3b5"/>
      </Part>
      <Part Type="strDalis" Nr="3" Abbr="3 str. 3 d." DocPartId="a96f5746a6e845e3968c20418fc5f4e3" PartId="6c622e7691cd4558adc8bd370a819722"/>
      <Part Type="strDalis" Nr="4" Abbr="3 str. 4 d." DocPartId="561c6968d1984e66a5d9d58fe5d89bae" PartId="746b5e1a6cbe47a2bd89e3b438696be7"/>
      <Part Type="strDalis" Nr="5" Abbr="3 str. 5 d." DocPartId="dc93ed146e1c4964bfd3dbd638ca7c3d" PartId="0a0a2cf656f44315b16fbbf42a9b5e34"/>
    </Part>
    <Part Type="straipsnis" Nr="4" Abbr="4 str." Title="Mokėjimas už Konstitucinio Teismo, bendrosios kompetencijos ir specializuotų teismų teisėjų darbą poilsio ir švenčių dienomis ir pavadavimą bei bendrosios kompetencijos ir specializuotų teismų teisėjų budėjimą" DocPartId="51b48cbb199840d4bf70665aede95122" PartId="16d529b0e1a049d2bfe1dbb89e041ab8">
      <Part Type="strDalis" Nr="1" Abbr="4 str. 1 d." DocPartId="e1cfa1f11d0b4ca29b0dd6c751353559" PartId="61f3fc38fc4a4cffb7d7cb5e9611f246"/>
      <Part Type="strDalis" Nr="2" Abbr="4 str. 2 d." DocPartId="9f3dbd480d7344e3b75f6484046a1717" PartId="a8ef4bd846514c48adc565f3d773493c"/>
      <Part Type="strDalis" Nr="3" Abbr="4 str. 3 d." DocPartId="b353381b13084f7dab71294a28a2dc81" PartId="cc2a372af25a47e0a3a68e360aa830bf"/>
      <Part Type="strDalis" Nr="4" Abbr="4 str. 4 d." DocPartId="46792f1491fc424da811cbd8b9aad68c" PartId="f74e7baeaef441a7b552b30fc2bcb53b"/>
      <Part Type="strDalis" Nr="5" Abbr="4 str. 5 d." DocPartId="4da467e25b644959a02e7587e1503e54" PartId="58464d05f3e849be9e25816eac5001d4"/>
      <Part Type="strDalis" Nr="6" Abbr="4 str. 6 d." DocPartId="15bde928082945888b0fbd73fcd84a1a" PartId="082058a9066a40fcb019365465c90f05"/>
      <Part Type="strDalis" Nr="7" Abbr="4 str. 7 d." DocPartId="15ab39246d284e259727686d76eac9b1" PartId="a3cdcd29dc084e0687f45f75feccc8e2"/>
      <Part Type="strDalis" Nr="8" Abbr="4 str. 8 d." DocPartId="c6b34fa4f34d4238be8ad90439b9e748" PartId="2efb6586be48463bbd5430c26b634072"/>
    </Part>
    <Part Type="signatura" DocPartId="295f3f1513d04aa98dbf1246d7576915" PartId="d213ee0fd943451db654915067b09afe"/>
  </Part>
  <Part Type="priedas" Abbr="pr." Title="LIETUVOS RESPUBLIKOS KONSTITUCINIO TEISMO IR BENDROSIOS KOMPETENCIJOS IR SPECIALIZUOTŲ TEISMŲ TEISĖJŲ PAREIGINĖS ALGOS KOEFICIENTAI" DocPartId="416f3f5d0f2749629ca9eec3d65d3a33" PartId="5747ef07930a45a7a1dd8decebb467cf">
    <Part Type="skyrius" Nr="1" Title="LIETUVOS RESPUBLIKOS KONSTITUCINIO TEISMO TEISĖJŲ PAREIGINĖS ALGOS KOEFICIENTAI" DocPartId="0881e8ae128c4bc0ae810f21555cceb2" PartId="812d396710c74954a0e4324e07249150"/>
    <Part Type="skyrius" Nr="2" Title="BENDROSIOS KOMPETENCIJOS IR SPECIALIZUOTŲ TEISMŲ TEISĖJŲ PAREIGINĖS ALGOS KOEFICIENTAI" DocPartId="62c0e1ccaaa64a92b7237d3389bbac27" PartId="ebd708b33c444e9d826b45fc5bf8b2c8"/>
  </Part>
</Parts>
</file>

<file path=customXml/itemProps1.xml><?xml version="1.0" encoding="utf-8"?>
<ds:datastoreItem xmlns:ds="http://schemas.openxmlformats.org/officeDocument/2006/customXml" ds:itemID="{B8198E70-427A-4982-9BC1-DA74DD8C7088}">
  <ds:schemaRefs>
    <ds:schemaRef ds:uri="http://lrs.lt/TAIS/DocParts"/>
  </ds:schemaRefs>
</ds:datastoreItem>
</file>

<file path=docProps/app.xml><?xml version="1.0" encoding="utf-8"?>
<Properties xmlns="http://schemas.openxmlformats.org/officeDocument/2006/extended-properties">
  <Template>Normal.dotm</Template>
  <TotalTime>18</TotalTime>
  <Pages>10</Pages>
  <Words>10895</Words>
  <Characters>6211</Characters>
  <Application>Microsoft Office Word</Application>
  <DocSecurity>0</DocSecurity>
  <Lines>51</Lines>
  <Paragraphs>34</Paragraphs>
  <ScaleCrop>false</ScaleCrop>
  <Company/>
  <LinksUpToDate>false</LinksUpToDate>
  <CharactersWithSpaces>17072</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2015-08-28T20:06:00Z</dcterms:created>
  <dc:creator>Rima</dc:creator>
  <lastModifiedBy>TAMALIŪNIENĖ Vilija</lastModifiedBy>
  <dcterms:modified xsi:type="dcterms:W3CDTF">2025-05-24T12:51:00Z</dcterms:modified>
  <revision>37</revision>
  <dc:title>LIETUVOS RESPUBLIKOS TEISĖJŲ ATLYGINIMŲ ĮSTATYMAS</dc:title>
</coreProperties>
</file>