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345b9021a2e45249c8363ec487cda01"/>
        <w:lock w:val="sdtLocked"/>
        <w:richText/>
      </w:sdtPr>
      <w:sdtContent>
        <w:p>
          <w:pPr>
            <w:jc w:val="both"/>
            <w:rPr>
              <w:rFonts w:ascii="Times New Roman" w:hAnsi="Times New Roman"/>
            </w:rPr>
          </w:pPr>
          <w:r>
            <w:rPr>
              <w:rFonts w:ascii="Times New Roman" w:hAnsi="Times New Roman"/>
              <w:b/>
              <w:i/>
            </w:rPr>
            <w:t>Suvestinė redakcija nuo 2022-01-01 iki 2023-06-30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AB0DC76B69A0">
            <w:r w:rsidRPr="00532B9F">
              <w:rPr>
                <w:rFonts w:ascii="Times New Roman" w:eastAsia="MS Mincho" w:hAnsi="Times New Roman"/>
                <w:sz w:val="20"/>
                <w:i/>
                <w:iCs/>
                <w:color w:val="0000FF" w:themeColor="hyperlink"/>
                <w:u w:val="single"/>
              </w:rPr>
              <w:t>131-5022</w:t>
            </w:r>
          </w:fldSimple>
          <w:r>
            <w:rPr>
              <w:rFonts w:ascii="Times New Roman" w:eastAsia="MS Mincho" w:hAnsi="Times New Roman"/>
              <w:sz w:val="20"/>
              <w:i/>
              <w:iCs/>
            </w:rPr>
            <w:t>, i. k. 1081010ISTA00X-1771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2022-01-01:</w:t>
          </w:r>
        </w:p>
        <w:p>
          <w:pPr>
            <w:rPr>
              <w:rFonts w:ascii="Times New Roman" w:hAnsi="Times New Roman"/>
              <w:sz w:val="20"/>
              <w:i/>
            </w:rPr>
          </w:pPr>
          <w:r>
            <w:rPr>
              <w:rFonts w:ascii="Times New Roman" w:hAnsi="Times New Roman"/>
              <w:sz w:val="20"/>
              <w:i/>
            </w:rPr>
            <w:t xml:space="preserve">Nr. </w:t>
          </w:r>
          <w:fldSimple w:instr="HYPERLINK https://www.e-tar.lt/portal/legalAct.html?documentId=64add1a0540711ec862fdcbc8b3e3e05">
            <w:r w:rsidRPr="00532B9F">
              <w:rPr>
                <w:rFonts w:ascii="Times New Roman" w:eastAsia="MS Mincho" w:hAnsi="Times New Roman"/>
                <w:sz w:val="20"/>
                <w:i/>
                <w:iCs/>
                <w:color w:val="0000FF" w:themeColor="hyperlink"/>
                <w:u w:val="single"/>
              </w:rPr>
              <w:t>XIV-708</w:t>
            </w:r>
          </w:fldSimple>
          <w:r>
            <w:rPr>
              <w:rFonts w:ascii="Times New Roman" w:eastAsia="MS Mincho" w:hAnsi="Times New Roman"/>
              <w:sz w:val="20"/>
              <w:i/>
              <w:iCs/>
            </w:rPr>
            <w:t>,
2021-11-25,
paskelbta TAR 2021-12-03, i. k. 2021-25134                </w:t>
          </w:r>
        </w:p>
        <w:p>
          <w:pPr>
            <w:rPr>
              <w:rFonts w:ascii="Times New Roman" w:hAnsi="Times New Roman"/>
              <w:sz w:val="22"/>
            </w:rPr>
          </w:pPr>
        </w:p>
        <w:p>
          <w:pPr>
            <w:jc w:val="center"/>
            <w:rPr>
              <w:b/>
              <w:bCs/>
              <w:caps/>
              <w:szCs w:val="24"/>
              <w:lang w:eastAsia="lt-LT"/>
            </w:rPr>
          </w:pPr>
          <w:r>
            <w:rPr>
              <w:b/>
              <w:bCs/>
              <w:caps/>
              <w:szCs w:val="24"/>
              <w:lang w:eastAsia="lt-LT"/>
            </w:rPr>
            <w:t xml:space="preserve">LIETUVOS RESPUBLIKOS </w:t>
          </w:r>
        </w:p>
        <w:p>
          <w:pPr>
            <w:jc w:val="center"/>
            <w:rPr>
              <w:b/>
              <w:bCs/>
              <w:caps/>
              <w:szCs w:val="24"/>
              <w:lang w:eastAsia="lt-LT"/>
            </w:rPr>
          </w:pPr>
          <w:r>
            <w:rPr>
              <w:b/>
              <w:bCs/>
              <w:caps/>
              <w:szCs w:val="24"/>
              <w:lang w:eastAsia="lt-LT"/>
            </w:rPr>
            <w:t>TEISĖJŲ DARBO APMOKĖJIMO</w:t>
            <w:br/>
            <w:t>ĮSTATYMAS</w:t>
          </w:r>
        </w:p>
        <w:p>
          <w:pPr>
            <w:jc w:val="center"/>
            <w:rPr>
              <w:szCs w:val="24"/>
              <w:lang w:eastAsia="lt-LT"/>
            </w:rPr>
          </w:pPr>
        </w:p>
        <w:p>
          <w:pPr>
            <w:jc w:val="center"/>
          </w:pPr>
          <w:r>
            <w:t>2008 m. lapkričio 6 d. Nr. X-1771</w:t>
          </w:r>
        </w:p>
        <w:p>
          <w:pPr>
            <w:jc w:val="center"/>
          </w:pPr>
          <w:r>
            <w:t>Vilnius</w:t>
          </w:r>
        </w:p>
        <w:p>
          <w:pPr>
            <w:jc w:val="center"/>
            <w:rPr>
              <w:szCs w:val="24"/>
              <w:lang w:eastAsia="lt-LT"/>
            </w:rPr>
          </w:pPr>
        </w:p>
        <w:sdt>
          <w:sdtPr>
            <w:alias w:val="1 str."/>
            <w:tag w:val="part_03ec66ff330c498fb87abadacc74ed82"/>
            <w:lock w:val="sdtLocked"/>
            <w:richText/>
          </w:sdtPr>
          <w:sdtContent>
            <w:p>
              <w:pPr>
                <w:spacing w:line="360" w:lineRule="auto"/>
                <w:ind w:firstLine="720"/>
                <w:jc w:val="both"/>
                <w:rPr>
                  <w:color w:val="000000"/>
                  <w:szCs w:val="24"/>
                  <w:lang w:eastAsia="lt-LT"/>
                </w:rPr>
              </w:pPr>
              <w:sdt>
                <w:sdtPr>
                  <w:alias w:val="Numeris"/>
                  <w:tag w:val="nr_03ec66ff330c498fb87abadacc74ed82"/>
                  <w:lock w:val="sdtLocked"/>
                  <w:richText/>
                </w:sdtPr>
                <w:sdtContent>
                  <w:r>
                    <w:rPr>
                      <w:b/>
                      <w:bCs/>
                      <w:color w:val="000000"/>
                      <w:szCs w:val="24"/>
                      <w:lang w:eastAsia="lt-LT"/>
                    </w:rPr>
                    <w:t>1</w:t>
                  </w:r>
                </w:sdtContent>
              </w:sdt>
              <w:r>
                <w:rPr>
                  <w:color w:val="000000"/>
                  <w:szCs w:val="24"/>
                  <w:lang w:eastAsia="lt-LT"/>
                </w:rPr>
                <w:t xml:space="preserve"> </w:t>
              </w:r>
              <w:r>
                <w:rPr>
                  <w:b/>
                  <w:bCs/>
                  <w:color w:val="000000"/>
                  <w:szCs w:val="24"/>
                  <w:lang w:eastAsia="lt-LT"/>
                </w:rPr>
                <w:t xml:space="preserve">straipsnis. </w:t>
              </w:r>
              <w:sdt>
                <w:sdtPr>
                  <w:alias w:val="Pavadinimas"/>
                  <w:tag w:val="title_03ec66ff330c498fb87abadacc74ed82"/>
                  <w:lock w:val="sdtLocked"/>
                  <w:richText/>
                </w:sdtPr>
                <w:sdtContent>
                  <w:r>
                    <w:rPr>
                      <w:b/>
                      <w:bCs/>
                      <w:color w:val="000000"/>
                      <w:szCs w:val="24"/>
                      <w:lang w:eastAsia="lt-LT"/>
                    </w:rPr>
                    <w:t>Įstatymo paskirtis</w:t>
                  </w:r>
                </w:sdtContent>
              </w:sdt>
            </w:p>
            <w:sdt>
              <w:sdtPr>
                <w:alias w:val="1 str. 1 d."/>
                <w:tag w:val="part_6aaa7b7045f64ca18f414ba805696dfc"/>
                <w:lock w:val="sdtLocked"/>
                <w:richText/>
              </w:sdtPr>
              <w:sdtContent>
                <w:p>
                  <w:pPr>
                    <w:spacing w:line="360" w:lineRule="auto"/>
                    <w:ind w:firstLine="720"/>
                    <w:jc w:val="both"/>
                    <w:rPr>
                      <w:color w:val="000000"/>
                      <w:szCs w:val="24"/>
                      <w:lang w:eastAsia="lt-LT"/>
                    </w:rPr>
                  </w:pPr>
                  <w:r>
                    <w:rPr>
                      <w:color w:val="000000"/>
                      <w:szCs w:val="24"/>
                      <w:lang w:eastAsia="lt-LT"/>
                    </w:rPr>
                    <w:t>Šis įstatymas nustato Lietuvos Respublikos teisėjų atlyginimų dydžius ir jų darbo apmokėjimo sąlygas.</w:t>
                  </w:r>
                </w:p>
                <w:p>
                  <w:pPr>
                    <w:spacing w:line="360" w:lineRule="auto"/>
                    <w:ind w:firstLine="720"/>
                    <w:jc w:val="both"/>
                    <w:rPr>
                      <w:color w:val="000000"/>
                      <w:szCs w:val="24"/>
                      <w:lang w:eastAsia="lt-LT"/>
                    </w:rPr>
                  </w:pPr>
                </w:p>
              </w:sdtContent>
            </w:sdt>
          </w:sdtContent>
        </w:sdt>
        <w:sdt>
          <w:sdtPr>
            <w:alias w:val="2 str."/>
            <w:tag w:val="part_b2e6cb6c0b53451b9642ee7470a2ce0c"/>
            <w:lock w:val="sdtLocked"/>
            <w:richText/>
          </w:sdtPr>
          <w:sdtContent>
            <w:p>
              <w:pPr>
                <w:spacing w:line="360" w:lineRule="auto"/>
                <w:ind w:firstLine="720"/>
                <w:jc w:val="both"/>
                <w:rPr>
                  <w:color w:val="000000"/>
                  <w:szCs w:val="24"/>
                  <w:lang w:eastAsia="lt-LT"/>
                </w:rPr>
              </w:pPr>
              <w:sdt>
                <w:sdtPr>
                  <w:alias w:val="Numeris"/>
                  <w:tag w:val="nr_b2e6cb6c0b53451b9642ee7470a2ce0c"/>
                  <w:lock w:val="sdtLocked"/>
                  <w:richText/>
                </w:sdtPr>
                <w:sdtContent>
                  <w:r>
                    <w:rPr>
                      <w:b/>
                      <w:bCs/>
                      <w:color w:val="000000"/>
                      <w:szCs w:val="24"/>
                      <w:lang w:eastAsia="lt-LT"/>
                    </w:rPr>
                    <w:t>2</w:t>
                  </w:r>
                </w:sdtContent>
              </w:sdt>
              <w:r>
                <w:rPr>
                  <w:color w:val="000000"/>
                  <w:szCs w:val="24"/>
                  <w:lang w:eastAsia="lt-LT"/>
                </w:rPr>
                <w:t xml:space="preserve"> </w:t>
              </w:r>
              <w:r>
                <w:rPr>
                  <w:b/>
                  <w:bCs/>
                  <w:color w:val="000000"/>
                  <w:szCs w:val="24"/>
                  <w:lang w:eastAsia="lt-LT"/>
                </w:rPr>
                <w:t xml:space="preserve">straipsnis. </w:t>
              </w:r>
              <w:sdt>
                <w:sdtPr>
                  <w:alias w:val="Pavadinimas"/>
                  <w:tag w:val="title_b2e6cb6c0b53451b9642ee7470a2ce0c"/>
                  <w:lock w:val="sdtLocked"/>
                  <w:richText/>
                </w:sdtPr>
                <w:sdtContent>
                  <w:r>
                    <w:rPr>
                      <w:b/>
                      <w:bCs/>
                      <w:color w:val="000000"/>
                      <w:szCs w:val="24"/>
                      <w:lang w:eastAsia="lt-LT"/>
                    </w:rPr>
                    <w:t>Įstatymo taikymas</w:t>
                  </w:r>
                </w:sdtContent>
              </w:sdt>
            </w:p>
            <w:sdt>
              <w:sdtPr>
                <w:alias w:val="2 str. 1 d."/>
                <w:tag w:val="part_bd32876e2d3648419b82836f48daa8a8"/>
                <w:lock w:val="sdtLocked"/>
                <w:richText/>
              </w:sdtPr>
              <w:sdtContent>
                <w:p>
                  <w:pPr>
                    <w:spacing w:line="360" w:lineRule="auto"/>
                    <w:ind w:firstLine="720"/>
                    <w:jc w:val="both"/>
                    <w:rPr>
                      <w:color w:val="000000"/>
                      <w:szCs w:val="24"/>
                      <w:lang w:eastAsia="lt-LT"/>
                    </w:rPr>
                  </w:pPr>
                  <w:r>
                    <w:rPr>
                      <w:color w:val="000000"/>
                      <w:szCs w:val="24"/>
                      <w:lang w:eastAsia="lt-LT"/>
                    </w:rPr>
                    <w:t>Šiame įstatyme nustatyti atlyginimai taikomi šių teismų pirmininkams, pirmininkų pavaduotojams, skyrių pirmininkams ir teisėjams (toliau – teisėjai):</w:t>
                  </w:r>
                </w:p>
                <w:sdt>
                  <w:sdtPr>
                    <w:alias w:val="2 str. 1 d. 1 p."/>
                    <w:tag w:val="part_ccfc3e14fc0441f3afedc586c54ff1c0"/>
                    <w:lock w:val="sdtLocked"/>
                    <w:richText/>
                  </w:sdtPr>
                  <w:sdtContent>
                    <w:p>
                      <w:pPr>
                        <w:spacing w:line="360" w:lineRule="auto"/>
                        <w:ind w:firstLine="720"/>
                        <w:jc w:val="both"/>
                        <w:rPr>
                          <w:color w:val="000000"/>
                          <w:szCs w:val="24"/>
                          <w:lang w:eastAsia="lt-LT"/>
                        </w:rPr>
                      </w:pPr>
                      <w:sdt>
                        <w:sdtPr>
                          <w:alias w:val="Numeris"/>
                          <w:tag w:val="nr_ccfc3e14fc0441f3afedc586c54ff1c0"/>
                          <w:lock w:val="sdtLocked"/>
                          <w:richText/>
                        </w:sdtPr>
                        <w:sdtContent>
                          <w:r>
                            <w:rPr>
                              <w:color w:val="000000"/>
                              <w:szCs w:val="24"/>
                              <w:lang w:eastAsia="lt-LT"/>
                            </w:rPr>
                            <w:t>1</w:t>
                          </w:r>
                        </w:sdtContent>
                      </w:sdt>
                      <w:r>
                        <w:rPr>
                          <w:color w:val="000000"/>
                          <w:szCs w:val="24"/>
                          <w:lang w:eastAsia="lt-LT"/>
                        </w:rPr>
                        <w:t>) Lietuvos Respublikos Konstitucinio Teismo;</w:t>
                      </w:r>
                    </w:p>
                  </w:sdtContent>
                </w:sdt>
                <w:sdt>
                  <w:sdtPr>
                    <w:alias w:val="2 str. 1 d. 2 p."/>
                    <w:tag w:val="part_cddfe8c88b2f42b1b0f2ff372ce185ad"/>
                    <w:lock w:val="sdtLocked"/>
                    <w:richText/>
                  </w:sdtPr>
                  <w:sdtContent>
                    <w:p>
                      <w:pPr>
                        <w:spacing w:line="360" w:lineRule="auto"/>
                        <w:ind w:firstLine="720"/>
                        <w:jc w:val="both"/>
                        <w:rPr>
                          <w:color w:val="000000"/>
                          <w:szCs w:val="24"/>
                          <w:lang w:eastAsia="lt-LT"/>
                        </w:rPr>
                      </w:pPr>
                      <w:sdt>
                        <w:sdtPr>
                          <w:alias w:val="Numeris"/>
                          <w:tag w:val="nr_cddfe8c88b2f42b1b0f2ff372ce185ad"/>
                          <w:lock w:val="sdtLocked"/>
                          <w:richText/>
                        </w:sdtPr>
                        <w:sdtContent>
                          <w:r>
                            <w:rPr>
                              <w:color w:val="000000"/>
                              <w:szCs w:val="24"/>
                              <w:lang w:eastAsia="lt-LT"/>
                            </w:rPr>
                            <w:t>2</w:t>
                          </w:r>
                        </w:sdtContent>
                      </w:sdt>
                      <w:r>
                        <w:rPr>
                          <w:color w:val="000000"/>
                          <w:szCs w:val="24"/>
                          <w:lang w:eastAsia="lt-LT"/>
                        </w:rPr>
                        <w:t>) bendrosios kompetencijos ir specializuotų teismų: Lietuvos Aukščiausiojo Teismo, Lietuvos vyriausiojo administracinio teismo, Lietuvos apeliacinio teismo, apygardų teismų, apygardų administracinių teismų, apylinkių teismų.</w:t>
                      </w:r>
                    </w:p>
                    <w:p>
                      <w:pPr>
                        <w:spacing w:line="360" w:lineRule="auto"/>
                        <w:ind w:firstLine="720"/>
                        <w:jc w:val="both"/>
                        <w:rPr>
                          <w:bCs/>
                          <w:szCs w:val="24"/>
                          <w:lang w:eastAsia="lt-LT"/>
                        </w:rPr>
                      </w:pPr>
                    </w:p>
                  </w:sdtContent>
                </w:sdt>
              </w:sdtContent>
            </w:sdt>
          </w:sdtContent>
        </w:sdt>
        <w:sdt>
          <w:sdtPr>
            <w:alias w:val="3 str."/>
            <w:tag w:val="part_5bdad38a06424e6f86e449d811c8c20f"/>
            <w:lock w:val="sdtLocked"/>
            <w:richText/>
          </w:sdtPr>
          <w:sdtContent>
            <w:p>
              <w:pPr>
                <w:spacing w:line="360" w:lineRule="auto"/>
                <w:ind w:firstLine="720"/>
                <w:jc w:val="both"/>
                <w:rPr>
                  <w:b/>
                  <w:szCs w:val="24"/>
                  <w:lang w:eastAsia="lt-LT"/>
                </w:rPr>
              </w:pPr>
              <w:sdt>
                <w:sdtPr>
                  <w:alias w:val="Numeris"/>
                  <w:tag w:val="nr_5bdad38a06424e6f86e449d811c8c20f"/>
                  <w:lock w:val="sdtLocked"/>
                  <w:richText/>
                </w:sdtPr>
                <w:sdtContent>
                  <w:r>
                    <w:rPr>
                      <w:b/>
                      <w:bCs/>
                      <w:szCs w:val="24"/>
                      <w:lang w:eastAsia="lt-LT"/>
                    </w:rPr>
                    <w:t>3</w:t>
                  </w:r>
                </w:sdtContent>
              </w:sdt>
              <w:r>
                <w:rPr>
                  <w:b/>
                  <w:bCs/>
                  <w:szCs w:val="24"/>
                  <w:lang w:eastAsia="lt-LT"/>
                </w:rPr>
                <w:t xml:space="preserve"> straipsnis. </w:t>
              </w:r>
              <w:sdt>
                <w:sdtPr>
                  <w:alias w:val="Pavadinimas"/>
                  <w:tag w:val="title_5bdad38a06424e6f86e449d811c8c20f"/>
                  <w:lock w:val="sdtLocked"/>
                  <w:richText/>
                </w:sdtPr>
                <w:sdtContent>
                  <w:r>
                    <w:rPr>
                      <w:b/>
                      <w:bCs/>
                      <w:szCs w:val="24"/>
                      <w:lang w:eastAsia="lt-LT"/>
                    </w:rPr>
                    <w:t>Teisėjų atlyginimo ir pareiginės algos bazinis dydis</w:t>
                  </w:r>
                </w:sdtContent>
              </w:sdt>
            </w:p>
            <w:sdt>
              <w:sdtPr>
                <w:alias w:val="3 str. 1 d."/>
                <w:tag w:val="part_723f373245454f5f8daba8eccac628a5"/>
                <w:lock w:val="sdtLocked"/>
                <w:richText/>
              </w:sdtPr>
              <w:sdtContent>
                <w:p>
                  <w:pPr>
                    <w:spacing w:line="360" w:lineRule="auto"/>
                    <w:ind w:firstLine="720"/>
                    <w:jc w:val="both"/>
                    <w:rPr>
                      <w:spacing w:val="2"/>
                      <w:szCs w:val="24"/>
                      <w:lang w:eastAsia="lt-LT"/>
                    </w:rPr>
                  </w:pPr>
                  <w:r>
                    <w:rPr>
                      <w:szCs w:val="24"/>
                      <w:lang w:eastAsia="lt-LT"/>
                    </w:rPr>
                    <w:t xml:space="preserve">Teisėjų atlyginimams skaičiuoti taikomas Lietuvos Respublikos Seimo patvirtintas tam tikrų metų Lietuvos Respublikos valstybės politikų, teisėjų, valstybės pareigūnų, valstybės tarnautojų, valstybės ir savivaldybių biudžetinių įstaigų darbuotojų pareiginės algos (atlyginimo) bazinis dydis (toliau – bazinis dydis). </w:t>
                  </w:r>
                  <w:r>
                    <w:rPr>
                      <w:spacing w:val="2"/>
                      <w:szCs w:val="24"/>
                      <w:lang w:eastAsia="lt-LT"/>
                    </w:rPr>
                    <w:t xml:space="preserve">Ateinančių finansinių metų bazinis dydis, atsižvelgus į praėjusių metų vidutinę metinę infliaciją (skaičiuojant nacionalinį vartotojų kainų indeksą), minimaliosios mėnesinės algos dydį ir kitų vidutinio darbo užmokesčio viešajame sektoriuje dydžiui bei kitimui poveikį turinčių veiksnių įtaką, nustatomas nacionalinėje kolektyvinėje sutartyje. Nacionalinėje kolektyvinėje sutartyje sulygtą bazinį dydį tvirtina Seimas. Jeigu nacionalinė kolektyvinė sutartis nesudaryta arba nepakeista iki einamųjų metų birželio 1 dienos, ateinančių finansinių metų bazinį dydį </w:t>
                  </w:r>
                  <w:r>
                    <w:rPr>
                      <w:szCs w:val="24"/>
                      <w:lang w:eastAsia="lt-LT"/>
                    </w:rPr>
                    <w:t xml:space="preserve">Lietuvos Respublikos </w:t>
                  </w:r>
                  <w:r>
                    <w:rPr>
                      <w:spacing w:val="2"/>
                      <w:szCs w:val="24"/>
                      <w:lang w:eastAsia="lt-LT"/>
                    </w:rPr>
                    <w:t>Vyriausybės teikimu, įvertinęs šiame straipsnyje numatytas aplinkybes ir į jas atsižvelgęs, tvirtina Seimas. Tvirtinamas naujas bazinis dydis negali būti mažesnis už esamą bazinį dydį, išskyrus atvejus, kai Lietuvos Respublikos fiskalinės sutarties įgyvendinimo konstituciniame įstatyme nustatyta tvarka nustatomos ir paskelbiamos išskirtinės aplinkybės.</w:t>
                  </w:r>
                </w:p>
                <w:p>
                  <w:pPr>
                    <w:spacing w:line="360" w:lineRule="auto"/>
                    <w:ind w:firstLine="720"/>
                    <w:jc w:val="both"/>
                    <w:rPr>
                      <w:strike/>
                      <w:szCs w:val="24"/>
                      <w:lang w:eastAsia="lt-LT"/>
                    </w:rPr>
                  </w:pPr>
                </w:p>
              </w:sdtContent>
            </w:sdt>
          </w:sdtContent>
        </w:sdt>
        <w:sdt>
          <w:sdtPr>
            <w:alias w:val="4 str."/>
            <w:tag w:val="part_719ba1cdac38405aa57162279c22edb0"/>
            <w:lock w:val="sdtLocked"/>
            <w:richText/>
          </w:sdtPr>
          <w:sdtContent>
            <w:p>
              <w:pPr>
                <w:spacing w:line="360" w:lineRule="auto"/>
                <w:ind w:firstLine="720"/>
                <w:jc w:val="both"/>
                <w:rPr>
                  <w:color w:val="000000"/>
                  <w:szCs w:val="24"/>
                  <w:lang w:eastAsia="lt-LT"/>
                </w:rPr>
              </w:pPr>
              <w:sdt>
                <w:sdtPr>
                  <w:alias w:val="Numeris"/>
                  <w:tag w:val="nr_719ba1cdac38405aa57162279c22edb0"/>
                  <w:lock w:val="sdtLocked"/>
                  <w:richText/>
                </w:sdtPr>
                <w:sdtContent>
                  <w:r>
                    <w:rPr>
                      <w:b/>
                      <w:bCs/>
                      <w:color w:val="000000"/>
                      <w:szCs w:val="24"/>
                      <w:lang w:eastAsia="lt-LT"/>
                    </w:rPr>
                    <w:t>4</w:t>
                  </w:r>
                </w:sdtContent>
              </w:sdt>
              <w:r>
                <w:rPr>
                  <w:color w:val="000000"/>
                  <w:szCs w:val="24"/>
                  <w:lang w:eastAsia="lt-LT"/>
                </w:rPr>
                <w:t xml:space="preserve"> </w:t>
              </w:r>
              <w:r>
                <w:rPr>
                  <w:b/>
                  <w:bCs/>
                  <w:color w:val="000000"/>
                  <w:szCs w:val="24"/>
                  <w:lang w:eastAsia="lt-LT"/>
                </w:rPr>
                <w:t xml:space="preserve">straipsnis. </w:t>
              </w:r>
              <w:sdt>
                <w:sdtPr>
                  <w:alias w:val="Pavadinimas"/>
                  <w:tag w:val="title_719ba1cdac38405aa57162279c22edb0"/>
                  <w:lock w:val="sdtLocked"/>
                  <w:richText/>
                </w:sdtPr>
                <w:sdtContent>
                  <w:r>
                    <w:rPr>
                      <w:b/>
                      <w:bCs/>
                      <w:color w:val="000000"/>
                      <w:szCs w:val="24"/>
                      <w:lang w:eastAsia="lt-LT"/>
                    </w:rPr>
                    <w:t>Teisėjų atlyginimas</w:t>
                  </w:r>
                </w:sdtContent>
              </w:sdt>
            </w:p>
            <w:sdt>
              <w:sdtPr>
                <w:alias w:val="4 str. 1 d."/>
                <w:tag w:val="part_af1322a2de0d4ced9bd6b5f31a44dd41"/>
                <w:lock w:val="sdtLocked"/>
                <w:richText/>
              </w:sdtPr>
              <w:sdtContent>
                <w:p>
                  <w:pPr>
                    <w:spacing w:line="360" w:lineRule="auto"/>
                    <w:ind w:firstLine="720"/>
                    <w:jc w:val="both"/>
                    <w:rPr>
                      <w:color w:val="000000"/>
                      <w:szCs w:val="24"/>
                      <w:lang w:eastAsia="lt-LT"/>
                    </w:rPr>
                  </w:pPr>
                  <w:sdt>
                    <w:sdtPr>
                      <w:alias w:val="Numeris"/>
                      <w:tag w:val="nr_af1322a2de0d4ced9bd6b5f31a44dd41"/>
                      <w:lock w:val="sdtLocked"/>
                      <w:richText/>
                    </w:sdtPr>
                    <w:sdtContent>
                      <w:r>
                        <w:rPr>
                          <w:color w:val="000000"/>
                          <w:szCs w:val="24"/>
                          <w:lang w:eastAsia="lt-LT"/>
                        </w:rPr>
                        <w:t>1</w:t>
                      </w:r>
                    </w:sdtContent>
                  </w:sdt>
                  <w:r>
                    <w:rPr>
                      <w:color w:val="000000"/>
                      <w:szCs w:val="24"/>
                      <w:lang w:eastAsia="lt-LT"/>
                    </w:rPr>
                    <w:t>. Konstitucinio Teismo teisėjų atlyginimas apskaičiuojamas šio įstatymo priede nustatytą atlyginimo koeficientą padauginus iš bazinio dydžio.</w:t>
                  </w:r>
                </w:p>
              </w:sdtContent>
            </w:sdt>
            <w:sdt>
              <w:sdtPr>
                <w:alias w:val="4 str. 2 d."/>
                <w:tag w:val="part_b0fd32ecfae04942a8d81282257f62ac"/>
                <w:lock w:val="sdtLocked"/>
                <w:richText/>
              </w:sdtPr>
              <w:sdtContent>
                <w:p>
                  <w:pPr>
                    <w:spacing w:line="360" w:lineRule="auto"/>
                    <w:ind w:firstLine="720"/>
                    <w:jc w:val="both"/>
                    <w:rPr>
                      <w:color w:val="000000"/>
                      <w:szCs w:val="24"/>
                      <w:lang w:eastAsia="lt-LT"/>
                    </w:rPr>
                  </w:pPr>
                  <w:sdt>
                    <w:sdtPr>
                      <w:alias w:val="Numeris"/>
                      <w:tag w:val="nr_b0fd32ecfae04942a8d81282257f62ac"/>
                      <w:lock w:val="sdtLocked"/>
                      <w:richText/>
                    </w:sdtPr>
                    <w:sdtContent>
                      <w:r>
                        <w:rPr>
                          <w:color w:val="000000"/>
                          <w:szCs w:val="24"/>
                          <w:lang w:eastAsia="lt-LT"/>
                        </w:rPr>
                        <w:t>2</w:t>
                      </w:r>
                    </w:sdtContent>
                  </w:sdt>
                  <w:r>
                    <w:rPr>
                      <w:color w:val="000000"/>
                      <w:szCs w:val="24"/>
                      <w:lang w:eastAsia="lt-LT"/>
                    </w:rPr>
                    <w:t>. Bendrosios kompetencijos ir specializuotų teismų teisėjų atlyginimą sudaro:</w:t>
                  </w:r>
                </w:p>
                <w:sdt>
                  <w:sdtPr>
                    <w:alias w:val="4 str. 2 d. 1 p."/>
                    <w:tag w:val="part_6f9eb92b7b86406d82e73103b1eecf31"/>
                    <w:lock w:val="sdtLocked"/>
                    <w:richText/>
                  </w:sdtPr>
                  <w:sdtContent>
                    <w:p>
                      <w:pPr>
                        <w:spacing w:line="360" w:lineRule="auto"/>
                        <w:ind w:firstLine="720"/>
                        <w:jc w:val="both"/>
                        <w:rPr>
                          <w:color w:val="000000"/>
                          <w:szCs w:val="24"/>
                          <w:lang w:eastAsia="lt-LT"/>
                        </w:rPr>
                      </w:pPr>
                      <w:sdt>
                        <w:sdtPr>
                          <w:alias w:val="Numeris"/>
                          <w:tag w:val="nr_6f9eb92b7b86406d82e73103b1eecf31"/>
                          <w:lock w:val="sdtLocked"/>
                          <w:richText/>
                        </w:sdtPr>
                        <w:sdtContent>
                          <w:r>
                            <w:rPr>
                              <w:color w:val="000000"/>
                              <w:szCs w:val="24"/>
                              <w:lang w:eastAsia="lt-LT"/>
                            </w:rPr>
                            <w:t>1</w:t>
                          </w:r>
                        </w:sdtContent>
                      </w:sdt>
                      <w:r>
                        <w:rPr>
                          <w:color w:val="000000"/>
                          <w:szCs w:val="24"/>
                          <w:lang w:eastAsia="lt-LT"/>
                        </w:rPr>
                        <w:t>) pareiginė alga;</w:t>
                      </w:r>
                    </w:p>
                  </w:sdtContent>
                </w:sdt>
                <w:sdt>
                  <w:sdtPr>
                    <w:alias w:val="4 str. 2 d. 2 p."/>
                    <w:tag w:val="part_893bedfd0cb04e7ab9e05f9c8309dbc8"/>
                    <w:lock w:val="sdtLocked"/>
                    <w:richText/>
                  </w:sdtPr>
                  <w:sdtContent>
                    <w:p>
                      <w:pPr>
                        <w:spacing w:line="360" w:lineRule="auto"/>
                        <w:ind w:firstLine="720"/>
                        <w:jc w:val="both"/>
                        <w:rPr>
                          <w:szCs w:val="24"/>
                          <w:lang w:eastAsia="lt-LT"/>
                        </w:rPr>
                      </w:pPr>
                      <w:sdt>
                        <w:sdtPr>
                          <w:alias w:val="Numeris"/>
                          <w:tag w:val="nr_893bedfd0cb04e7ab9e05f9c8309dbc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priedas už tarnybos Lietuvos valstybei stažą;</w:t>
                      </w:r>
                    </w:p>
                  </w:sdtContent>
                </w:sdt>
                <w:sdt>
                  <w:sdtPr>
                    <w:alias w:val="4 str. 2 d. 3 p."/>
                    <w:tag w:val="part_4d33b1d8df824d42af94ab19de7acc2f"/>
                    <w:lock w:val="sdtLocked"/>
                    <w:richText/>
                  </w:sdtPr>
                  <w:sdtContent>
                    <w:p>
                      <w:pPr>
                        <w:spacing w:line="360" w:lineRule="auto"/>
                        <w:ind w:firstLine="720"/>
                        <w:jc w:val="both"/>
                        <w:rPr>
                          <w:bCs/>
                          <w:szCs w:val="24"/>
                          <w:lang w:eastAsia="lt-LT"/>
                        </w:rPr>
                      </w:pPr>
                      <w:sdt>
                        <w:sdtPr>
                          <w:alias w:val="Numeris"/>
                          <w:tag w:val="nr_4d33b1d8df824d42af94ab19de7acc2f"/>
                          <w:lock w:val="sdtLocked"/>
                          <w:richText/>
                        </w:sdtPr>
                        <w:sdtContent>
                          <w:r>
                            <w:rPr>
                              <w:bCs/>
                              <w:szCs w:val="24"/>
                              <w:lang w:eastAsia="lt-LT"/>
                            </w:rPr>
                            <w:t>3</w:t>
                          </w:r>
                        </w:sdtContent>
                      </w:sdt>
                      <w:r>
                        <w:rPr>
                          <w:bCs/>
                          <w:szCs w:val="24"/>
                          <w:lang w:eastAsia="lt-LT"/>
                        </w:rPr>
                        <w:t>) mokėjimas už darbą ir budėjimą poilsio ir švenčių dienomis, pavadavimą;</w:t>
                      </w:r>
                    </w:p>
                  </w:sdtContent>
                </w:sdt>
                <w:sdt>
                  <w:sdtPr>
                    <w:alias w:val="4 str. 2 d. 4 p."/>
                    <w:tag w:val="part_69fd3a074c1b4faa8f49511f0be6f1a4"/>
                    <w:lock w:val="sdtLocked"/>
                    <w:richText/>
                  </w:sdtPr>
                  <w:sdtContent>
                    <w:p>
                      <w:pPr>
                        <w:spacing w:line="360" w:lineRule="auto"/>
                        <w:ind w:firstLine="720"/>
                        <w:jc w:val="both"/>
                        <w:rPr>
                          <w:bCs/>
                          <w:szCs w:val="24"/>
                          <w:lang w:eastAsia="lt-LT"/>
                        </w:rPr>
                      </w:pPr>
                      <w:sdt>
                        <w:sdtPr>
                          <w:alias w:val="Numeris"/>
                          <w:tag w:val="nr_69fd3a074c1b4faa8f49511f0be6f1a4"/>
                          <w:lock w:val="sdtLocked"/>
                          <w:richText/>
                        </w:sdtPr>
                        <w:sdtContent>
                          <w:r>
                            <w:rPr>
                              <w:szCs w:val="24"/>
                              <w:lang w:eastAsia="lt-LT"/>
                            </w:rPr>
                            <w:t>4</w:t>
                          </w:r>
                        </w:sdtContent>
                      </w:sdt>
                      <w:r>
                        <w:rPr>
                          <w:szCs w:val="24"/>
                          <w:lang w:eastAsia="lt-LT"/>
                        </w:rPr>
                        <w:t xml:space="preserve">) </w:t>
                      </w:r>
                      <w:r>
                        <w:rPr>
                          <w:bCs/>
                          <w:szCs w:val="24"/>
                          <w:lang w:eastAsia="lt-LT"/>
                        </w:rPr>
                        <w:t xml:space="preserve">priemoka už </w:t>
                      </w:r>
                      <w:r>
                        <w:rPr>
                          <w:szCs w:val="24"/>
                          <w:lang w:eastAsia="lt-LT"/>
                        </w:rPr>
                        <w:t>padidėjusį darbo krūvį</w:t>
                      </w:r>
                      <w:r>
                        <w:rPr>
                          <w:bCs/>
                          <w:szCs w:val="24"/>
                          <w:lang w:eastAsia="lt-LT"/>
                        </w:rPr>
                        <w:t xml:space="preserve">. </w:t>
                      </w:r>
                    </w:p>
                  </w:sdtContent>
                </w:sdt>
              </w:sdtContent>
            </w:sdt>
            <w:sdt>
              <w:sdtPr>
                <w:alias w:val="4 str. 3 d."/>
                <w:tag w:val="part_d7dc53a010c249feb928cdf40dc508d8"/>
                <w:lock w:val="sdtLocked"/>
                <w:richText/>
              </w:sdtPr>
              <w:sdtContent>
                <w:p>
                  <w:pPr>
                    <w:spacing w:line="360" w:lineRule="auto"/>
                    <w:ind w:firstLine="720"/>
                    <w:jc w:val="both"/>
                    <w:rPr>
                      <w:color w:val="000000"/>
                      <w:szCs w:val="24"/>
                      <w:lang w:eastAsia="lt-LT"/>
                    </w:rPr>
                  </w:pPr>
                  <w:sdt>
                    <w:sdtPr>
                      <w:alias w:val="Numeris"/>
                      <w:tag w:val="nr_d7dc53a010c249feb928cdf40dc508d8"/>
                      <w:lock w:val="sdtLocked"/>
                      <w:richText/>
                    </w:sdtPr>
                    <w:sdtContent>
                      <w:r>
                        <w:rPr>
                          <w:color w:val="000000"/>
                          <w:szCs w:val="24"/>
                          <w:lang w:eastAsia="lt-LT"/>
                        </w:rPr>
                        <w:t>3</w:t>
                      </w:r>
                    </w:sdtContent>
                  </w:sdt>
                  <w:r>
                    <w:rPr>
                      <w:color w:val="000000"/>
                      <w:szCs w:val="24"/>
                      <w:lang w:eastAsia="lt-LT"/>
                    </w:rPr>
                    <w:t xml:space="preserve">. Bendrosios kompetencijos ir specializuotų teismų teisėjų pareiginė alga apskaičiuojama  šio įstatymo priede nustatytą pareiginės algos koeficientą padauginus iš bazinio dydžio.</w:t>
                  </w:r>
                </w:p>
              </w:sdtContent>
            </w:sdt>
            <w:sdt>
              <w:sdtPr>
                <w:alias w:val="4 str. 4 d."/>
                <w:tag w:val="part_47e139ea62c7424eb790ca5f87aa280f"/>
                <w:lock w:val="sdtLocked"/>
                <w:richText/>
              </w:sdtPr>
              <w:sdtContent>
                <w:p>
                  <w:pPr>
                    <w:spacing w:line="360" w:lineRule="auto"/>
                    <w:ind w:firstLine="720"/>
                    <w:jc w:val="both"/>
                    <w:rPr>
                      <w:color w:val="000000"/>
                      <w:szCs w:val="24"/>
                      <w:lang w:eastAsia="lt-LT"/>
                    </w:rPr>
                  </w:pPr>
                  <w:sdt>
                    <w:sdtPr>
                      <w:alias w:val="Numeris"/>
                      <w:tag w:val="nr_47e139ea62c7424eb790ca5f87aa280f"/>
                      <w:lock w:val="sdtLocked"/>
                      <w:richText/>
                    </w:sdtPr>
                    <w:sdtContent>
                      <w:r>
                        <w:rPr>
                          <w:color w:val="000000"/>
                          <w:szCs w:val="24"/>
                          <w:lang w:eastAsia="lt-LT"/>
                        </w:rPr>
                        <w:t>4</w:t>
                      </w:r>
                    </w:sdtContent>
                  </w:sdt>
                  <w:r>
                    <w:rPr>
                      <w:color w:val="000000"/>
                      <w:szCs w:val="24"/>
                      <w:lang w:eastAsia="lt-LT"/>
                    </w:rPr>
                    <w:t>. Duomenys apie teisėjų atlyginimus yra vieši. Jie teikiami Lietuvos Respublikos teisės gauti informaciją ir duomenų pakartotinio naudojimo įstatymo nustatyta tvarka.</w:t>
                  </w:r>
                </w:p>
                <w:p>
                  <w:pPr>
                    <w:spacing w:line="360" w:lineRule="auto"/>
                    <w:ind w:firstLine="720"/>
                    <w:jc w:val="both"/>
                    <w:rPr>
                      <w:strike/>
                      <w:szCs w:val="24"/>
                      <w:lang w:eastAsia="lt-LT"/>
                    </w:rPr>
                  </w:pPr>
                </w:p>
              </w:sdtContent>
            </w:sdt>
          </w:sdtContent>
        </w:sdt>
        <w:sdt>
          <w:sdtPr>
            <w:alias w:val="5 str."/>
            <w:tag w:val="part_c60ff2c14cac4985ad5e12bcb70a9295"/>
            <w:lock w:val="sdtLocked"/>
            <w:richText/>
          </w:sdtPr>
          <w:sdtContent>
            <w:p>
              <w:pPr>
                <w:spacing w:line="360" w:lineRule="auto"/>
                <w:ind w:firstLine="720"/>
                <w:jc w:val="both"/>
                <w:rPr>
                  <w:b/>
                  <w:szCs w:val="24"/>
                  <w:lang w:eastAsia="lt-LT"/>
                </w:rPr>
              </w:pPr>
              <w:sdt>
                <w:sdtPr>
                  <w:alias w:val="Numeris"/>
                  <w:tag w:val="nr_c60ff2c14cac4985ad5e12bcb70a9295"/>
                  <w:lock w:val="sdtLocked"/>
                  <w:richText/>
                </w:sdtPr>
                <w:sdtContent>
                  <w:r>
                    <w:rPr>
                      <w:b/>
                      <w:bCs/>
                      <w:szCs w:val="24"/>
                      <w:lang w:eastAsia="lt-LT"/>
                    </w:rPr>
                    <w:t>5</w:t>
                  </w:r>
                </w:sdtContent>
              </w:sdt>
              <w:r>
                <w:rPr>
                  <w:b/>
                  <w:szCs w:val="24"/>
                  <w:lang w:eastAsia="lt-LT"/>
                </w:rPr>
                <w:t xml:space="preserve"> </w:t>
              </w:r>
              <w:r>
                <w:rPr>
                  <w:b/>
                  <w:bCs/>
                  <w:szCs w:val="24"/>
                  <w:lang w:eastAsia="lt-LT"/>
                </w:rPr>
                <w:t xml:space="preserve">straipsnis. </w:t>
              </w:r>
              <w:sdt>
                <w:sdtPr>
                  <w:alias w:val="Pavadinimas"/>
                  <w:tag w:val="title_c60ff2c14cac4985ad5e12bcb70a9295"/>
                  <w:lock w:val="sdtLocked"/>
                  <w:richText/>
                </w:sdtPr>
                <w:sdtContent>
                  <w:r>
                    <w:rPr>
                      <w:b/>
                      <w:bCs/>
                      <w:szCs w:val="24"/>
                      <w:lang w:eastAsia="lt-LT"/>
                    </w:rPr>
                    <w:t xml:space="preserve">Priedas už </w:t>
                  </w:r>
                  <w:r>
                    <w:rPr>
                      <w:b/>
                      <w:szCs w:val="24"/>
                      <w:lang w:eastAsia="lt-LT"/>
                    </w:rPr>
                    <w:t xml:space="preserve">tarnybos </w:t>
                  </w:r>
                  <w:r>
                    <w:rPr>
                      <w:b/>
                      <w:bCs/>
                      <w:szCs w:val="24"/>
                      <w:lang w:eastAsia="lt-LT"/>
                    </w:rPr>
                    <w:t xml:space="preserve">Lietuvos valstybei </w:t>
                  </w:r>
                  <w:r>
                    <w:rPr>
                      <w:b/>
                      <w:szCs w:val="24"/>
                      <w:lang w:eastAsia="lt-LT"/>
                    </w:rPr>
                    <w:t>stažą</w:t>
                  </w:r>
                </w:sdtContent>
              </w:sdt>
            </w:p>
            <w:sdt>
              <w:sdtPr>
                <w:alias w:val="5 str. 1 d."/>
                <w:tag w:val="part_87e39936f70344cdbdccad6cbf6ed6f7"/>
                <w:lock w:val="sdtLocked"/>
                <w:richText/>
              </w:sdtPr>
              <w:sdtContent>
                <w:p>
                  <w:pPr>
                    <w:spacing w:line="360" w:lineRule="auto"/>
                    <w:ind w:firstLine="720"/>
                    <w:jc w:val="both"/>
                    <w:rPr>
                      <w:szCs w:val="24"/>
                      <w:lang w:eastAsia="lt-LT"/>
                    </w:rPr>
                  </w:pPr>
                  <w:sdt>
                    <w:sdtPr>
                      <w:alias w:val="Numeris"/>
                      <w:tag w:val="nr_87e39936f70344cdbdccad6cbf6ed6f7"/>
                      <w:lock w:val="sdtLocked"/>
                      <w:richText/>
                    </w:sdtPr>
                    <w:sdtContent>
                      <w:r>
                        <w:rPr>
                          <w:szCs w:val="24"/>
                          <w:lang w:eastAsia="lt-LT"/>
                        </w:rPr>
                        <w:t>1</w:t>
                      </w:r>
                    </w:sdtContent>
                  </w:sdt>
                  <w:r>
                    <w:rPr>
                      <w:szCs w:val="24"/>
                      <w:lang w:eastAsia="lt-LT"/>
                    </w:rPr>
                    <w:t xml:space="preserve">. Bendrosios kompetencijos ir specializuotų teismų teisėjams mokamas priedas už tarnybos Lietuvos valstybei stažą, nurodytą Lietuvos Respublikos valstybės tarnybos įstatymo 47 straipsnio 1 ir 2 dalyse. </w:t>
                  </w:r>
                  <w:r>
                    <w:rPr>
                      <w:color w:val="000000"/>
                      <w:szCs w:val="24"/>
                      <w:lang w:eastAsia="lt-LT"/>
                    </w:rPr>
                    <w:t>Tarnybos Lietuvos valstybei stažo</w:t>
                  </w:r>
                  <w:r>
                    <w:rPr>
                      <w:szCs w:val="24"/>
                      <w:lang w:eastAsia="lt-LT"/>
                    </w:rPr>
                    <w:t xml:space="preserve"> skaičiavimo tvarką nustato Vyriausybė.</w:t>
                  </w:r>
                </w:p>
              </w:sdtContent>
            </w:sdt>
            <w:sdt>
              <w:sdtPr>
                <w:alias w:val="5 str. 2 d."/>
                <w:tag w:val="part_f6cb667250cc4785ae5eb0846971f73b"/>
                <w:lock w:val="sdtLocked"/>
                <w:richText/>
              </w:sdtPr>
              <w:sdtContent>
                <w:p>
                  <w:pPr>
                    <w:spacing w:line="360" w:lineRule="auto"/>
                    <w:ind w:firstLine="720"/>
                    <w:jc w:val="both"/>
                    <w:rPr>
                      <w:szCs w:val="24"/>
                      <w:lang w:eastAsia="lt-LT"/>
                    </w:rPr>
                  </w:pPr>
                  <w:sdt>
                    <w:sdtPr>
                      <w:alias w:val="Numeris"/>
                      <w:tag w:val="nr_f6cb667250cc4785ae5eb0846971f73b"/>
                      <w:lock w:val="sdtLocked"/>
                      <w:richText/>
                    </w:sdtPr>
                    <w:sdtContent>
                      <w:r>
                        <w:rPr>
                          <w:szCs w:val="24"/>
                          <w:lang w:eastAsia="lt-LT"/>
                        </w:rPr>
                        <w:t>2</w:t>
                      </w:r>
                    </w:sdtContent>
                  </w:sdt>
                  <w:r>
                    <w:rPr>
                      <w:szCs w:val="24"/>
                      <w:lang w:eastAsia="lt-LT"/>
                    </w:rPr>
                    <w:t>. Priedą už tarnybos Lietuvos valstybei stažą sudaro vienas procentas bendrosios kompetencijos ar specializuoto teismo teisėjo pareiginės algos už kiekvienus tarnybos Lietuvos valstybei metus, tačiau šio priedo dydis neturi viršyti 30 procentų pareiginės algos.</w:t>
                  </w:r>
                </w:p>
                <w:p>
                  <w:pPr>
                    <w:tabs>
                      <w:tab w:val="left" w:pos="709"/>
                    </w:tabs>
                    <w:spacing w:line="360" w:lineRule="auto"/>
                    <w:ind w:firstLine="720"/>
                    <w:jc w:val="both"/>
                    <w:rPr>
                      <w:szCs w:val="24"/>
                      <w:lang w:eastAsia="lt-LT"/>
                    </w:rPr>
                  </w:pPr>
                </w:p>
              </w:sdtContent>
            </w:sdt>
          </w:sdtContent>
        </w:sdt>
        <w:sdt>
          <w:sdtPr>
            <w:alias w:val="6 str."/>
            <w:tag w:val="part_f02268ba82eb46b1844db0eeb79b8b67"/>
            <w:lock w:val="sdtLocked"/>
            <w:richText/>
          </w:sdtPr>
          <w:sdtContent>
            <w:p>
              <w:pPr>
                <w:spacing w:line="360" w:lineRule="auto"/>
                <w:ind w:left="1985" w:hanging="1265"/>
                <w:jc w:val="both"/>
                <w:rPr>
                  <w:b/>
                  <w:bCs/>
                  <w:szCs w:val="24"/>
                  <w:lang w:eastAsia="lt-LT"/>
                </w:rPr>
              </w:pPr>
              <w:sdt>
                <w:sdtPr>
                  <w:alias w:val="Numeris"/>
                  <w:tag w:val="nr_f02268ba82eb46b1844db0eeb79b8b67"/>
                  <w:lock w:val="sdtLocked"/>
                  <w:richText/>
                </w:sdtPr>
                <w:sdtContent>
                  <w:r>
                    <w:rPr>
                      <w:b/>
                      <w:bCs/>
                      <w:szCs w:val="24"/>
                      <w:lang w:eastAsia="lt-LT"/>
                    </w:rPr>
                    <w:t>6</w:t>
                  </w:r>
                </w:sdtContent>
              </w:sdt>
              <w:r>
                <w:rPr>
                  <w:b/>
                  <w:bCs/>
                  <w:szCs w:val="24"/>
                  <w:lang w:eastAsia="lt-LT"/>
                </w:rPr>
                <w:t xml:space="preserve"> straipsnis. </w:t>
              </w:r>
              <w:sdt>
                <w:sdtPr>
                  <w:alias w:val="Pavadinimas"/>
                  <w:tag w:val="title_f02268ba82eb46b1844db0eeb79b8b67"/>
                  <w:lock w:val="sdtLocked"/>
                  <w:richText/>
                </w:sdtPr>
                <w:sdtContent>
                  <w:r>
                    <w:rPr>
                      <w:b/>
                      <w:bCs/>
                      <w:szCs w:val="24"/>
                      <w:lang w:eastAsia="lt-LT"/>
                    </w:rPr>
                    <w:t xml:space="preserve">Mokėjimas už bendrosios kompetencijos ir specializuotų teismų teisėjų darbą ir budėjimą poilsio ir švenčių dienomis bei pavadavimą </w:t>
                  </w:r>
                </w:sdtContent>
              </w:sdt>
            </w:p>
            <w:sdt>
              <w:sdtPr>
                <w:alias w:val="6 str. 1 d."/>
                <w:tag w:val="part_ff33cfb4385648e7a400da147329b6c6"/>
                <w:lock w:val="sdtLocked"/>
                <w:richText/>
              </w:sdtPr>
              <w:sdtContent>
                <w:p>
                  <w:pPr>
                    <w:tabs>
                      <w:tab w:val="left" w:pos="709"/>
                      <w:tab w:val="left" w:pos="1276"/>
                      <w:tab w:val="left" w:pos="1560"/>
                    </w:tabs>
                    <w:spacing w:line="360" w:lineRule="auto"/>
                    <w:ind w:firstLine="720"/>
                    <w:jc w:val="both"/>
                    <w:rPr>
                      <w:color w:val="000000"/>
                      <w:szCs w:val="24"/>
                    </w:rPr>
                  </w:pPr>
                  <w:sdt>
                    <w:sdtPr>
                      <w:alias w:val="Numeris"/>
                      <w:tag w:val="nr_ff33cfb4385648e7a400da147329b6c6"/>
                      <w:lock w:val="sdtLocked"/>
                      <w:richText/>
                    </w:sdtPr>
                    <w:sdtContent>
                      <w:r>
                        <w:rPr>
                          <w:color w:val="000000"/>
                          <w:szCs w:val="24"/>
                        </w:rPr>
                        <w:t>1</w:t>
                      </w:r>
                    </w:sdtContent>
                  </w:sdt>
                  <w:r>
                    <w:rPr>
                      <w:color w:val="000000"/>
                      <w:szCs w:val="24"/>
                    </w:rPr>
                    <w:t>.</w:t>
                  </w:r>
                  <w:r>
                    <w:rPr>
                      <w:szCs w:val="24"/>
                    </w:rPr>
                    <w:t xml:space="preserve"> Bendrosios kompetencijos ir specializuotų teismų teisėjams už darbą poilsio ir švenčių dienomis mokama, </w:t>
                  </w:r>
                  <w:r>
                    <w:rPr>
                      <w:color w:val="000000"/>
                    </w:rPr>
                    <w:t>kai jie atlieka Lietuvos Respublikos baudžiamojo proceso kodekse, Lietuvos Respublikos civilinio proceso kodekse ir kituose įstatymuose nustatytas teisėjo funkcijas</w:t>
                  </w:r>
                  <w:r>
                    <w:rPr>
                      <w:color w:val="000000"/>
                      <w:szCs w:val="24"/>
                    </w:rPr>
                    <w:t>, kurių iš anksto nebuvo galima suplanuoti ir numatyti ir kurių dėl teisinių ir (ar) faktinių kliūčių negalima atlikti kitu laiku ar atidėti kitai darbo dienai (toliau – neatidėliotini veiksmai).</w:t>
                  </w:r>
                </w:p>
              </w:sdtContent>
            </w:sdt>
            <w:sdt>
              <w:sdtPr>
                <w:alias w:val="6 str. 2 d."/>
                <w:tag w:val="part_6551ce80cab34da8bb51c82e7fba7854"/>
                <w:lock w:val="sdtLocked"/>
                <w:richText/>
              </w:sdtPr>
              <w:sdtContent>
                <w:p>
                  <w:pPr>
                    <w:spacing w:line="360" w:lineRule="auto"/>
                    <w:ind w:firstLine="720"/>
                    <w:jc w:val="both"/>
                    <w:rPr>
                      <w:szCs w:val="24"/>
                      <w:lang w:eastAsia="lt-LT"/>
                    </w:rPr>
                  </w:pPr>
                  <w:sdt>
                    <w:sdtPr>
                      <w:alias w:val="Numeris"/>
                      <w:tag w:val="nr_6551ce80cab34da8bb51c82e7fba7854"/>
                      <w:lock w:val="sdtLocked"/>
                      <w:richText/>
                    </w:sdtPr>
                    <w:sdtContent>
                      <w:r>
                        <w:rPr>
                          <w:szCs w:val="24"/>
                          <w:lang w:eastAsia="lt-LT"/>
                        </w:rPr>
                        <w:t>2</w:t>
                      </w:r>
                    </w:sdtContent>
                  </w:sdt>
                  <w:r>
                    <w:rPr>
                      <w:szCs w:val="24"/>
                      <w:lang w:eastAsia="lt-LT"/>
                    </w:rPr>
                    <w:t xml:space="preserve">. Bendrosios kompetencijos ir specializuotų teismų teisėjams už </w:t>
                  </w:r>
                  <w:r>
                    <w:rPr>
                      <w:color w:val="000000"/>
                      <w:szCs w:val="24"/>
                      <w:lang w:eastAsia="lt-LT"/>
                    </w:rPr>
                    <w:t>budėjimą poilsio ir švenčių dienomis mokama, kai pagal b</w:t>
                  </w:r>
                  <w:r>
                    <w:rPr>
                      <w:szCs w:val="24"/>
                      <w:lang w:eastAsia="lt-LT"/>
                    </w:rPr>
                    <w:t xml:space="preserve">endrosios kompetencijos ar specializuoto </w:t>
                  </w:r>
                  <w:r>
                    <w:rPr>
                      <w:color w:val="000000"/>
                      <w:szCs w:val="24"/>
                      <w:lang w:eastAsia="lt-LT"/>
                    </w:rPr>
                    <w:t>teismo pirmininko ar jo įgalioto b</w:t>
                  </w:r>
                  <w:r>
                    <w:rPr>
                      <w:szCs w:val="24"/>
                      <w:lang w:eastAsia="lt-LT"/>
                    </w:rPr>
                    <w:t xml:space="preserve">endrosios kompetencijos ar specializuoto </w:t>
                  </w:r>
                  <w:r>
                    <w:rPr>
                      <w:color w:val="000000"/>
                      <w:szCs w:val="24"/>
                      <w:lang w:eastAsia="lt-LT"/>
                    </w:rPr>
                    <w:t>teismo teisėjo patvirtintą b</w:t>
                  </w:r>
                  <w:r>
                    <w:rPr>
                      <w:szCs w:val="24"/>
                      <w:lang w:eastAsia="lt-LT"/>
                    </w:rPr>
                    <w:t xml:space="preserve">endrosios kompetencijos ar specializuoto </w:t>
                  </w:r>
                  <w:r>
                    <w:rPr>
                      <w:color w:val="000000"/>
                      <w:szCs w:val="24"/>
                      <w:lang w:eastAsia="lt-LT"/>
                    </w:rPr>
                    <w:t xml:space="preserve">teismo </w:t>
                  </w:r>
                  <w:r>
                    <w:rPr>
                      <w:szCs w:val="24"/>
                      <w:lang w:eastAsia="lt-LT"/>
                    </w:rPr>
                    <w:t xml:space="preserve">teisėjų budėjimo </w:t>
                  </w:r>
                  <w:r>
                    <w:rPr>
                      <w:color w:val="000000"/>
                      <w:szCs w:val="24"/>
                      <w:lang w:eastAsia="lt-LT"/>
                    </w:rPr>
                    <w:t>grafiką b</w:t>
                  </w:r>
                  <w:r>
                    <w:rPr>
                      <w:szCs w:val="24"/>
                      <w:lang w:eastAsia="lt-LT"/>
                    </w:rPr>
                    <w:t xml:space="preserve">endrosios kompetencijos ar specializuoto </w:t>
                  </w:r>
                  <w:r>
                    <w:rPr>
                      <w:color w:val="000000"/>
                      <w:szCs w:val="24"/>
                      <w:lang w:eastAsia="lt-LT"/>
                    </w:rPr>
                    <w:t>teismo teisėjas turi būti nurodytoje vietoje (b</w:t>
                  </w:r>
                  <w:r>
                    <w:rPr>
                      <w:szCs w:val="24"/>
                      <w:lang w:eastAsia="lt-LT"/>
                    </w:rPr>
                    <w:t xml:space="preserve">endrosios kompetencijos ar specializuotame </w:t>
                  </w:r>
                  <w:r>
                    <w:rPr>
                      <w:color w:val="000000"/>
                      <w:szCs w:val="24"/>
                      <w:lang w:eastAsia="lt-LT"/>
                    </w:rPr>
                    <w:t xml:space="preserve">teisme arba namuose) poilsio ir švenčių dienomis, kad prireikus </w:t>
                  </w:r>
                  <w:r>
                    <w:rPr>
                      <w:szCs w:val="24"/>
                      <w:lang w:eastAsia="lt-LT"/>
                    </w:rPr>
                    <w:t>galėtų atlikti neatidėliotinus veiksmus</w:t>
                  </w:r>
                  <w:r>
                    <w:rPr>
                      <w:color w:val="000000"/>
                      <w:szCs w:val="24"/>
                      <w:lang w:eastAsia="lt-LT"/>
                    </w:rPr>
                    <w:t>.</w:t>
                  </w:r>
                </w:p>
              </w:sdtContent>
            </w:sdt>
            <w:sdt>
              <w:sdtPr>
                <w:alias w:val="6 str. 3 d."/>
                <w:tag w:val="part_9293d0f63397473eb23eaf787fe1226e"/>
                <w:lock w:val="sdtLocked"/>
                <w:richText/>
              </w:sdtPr>
              <w:sdtContent>
                <w:p>
                  <w:pPr>
                    <w:spacing w:line="360" w:lineRule="auto"/>
                    <w:ind w:firstLine="720"/>
                    <w:jc w:val="both"/>
                    <w:rPr>
                      <w:color w:val="000000"/>
                      <w:szCs w:val="24"/>
                      <w:lang w:eastAsia="lt-LT"/>
                    </w:rPr>
                  </w:pPr>
                  <w:sdt>
                    <w:sdtPr>
                      <w:alias w:val="Numeris"/>
                      <w:tag w:val="nr_9293d0f63397473eb23eaf787fe1226e"/>
                      <w:lock w:val="sdtLocked"/>
                      <w:richText/>
                    </w:sdtPr>
                    <w:sdtContent>
                      <w:r>
                        <w:rPr>
                          <w:color w:val="000000"/>
                          <w:szCs w:val="24"/>
                          <w:lang w:eastAsia="lt-LT"/>
                        </w:rPr>
                        <w:t>3</w:t>
                      </w:r>
                    </w:sdtContent>
                  </w:sdt>
                  <w:r>
                    <w:rPr>
                      <w:color w:val="000000"/>
                      <w:szCs w:val="24"/>
                      <w:lang w:eastAsia="lt-LT"/>
                    </w:rPr>
                    <w:t>. Už darbą</w:t>
                  </w:r>
                  <w:r>
                    <w:rPr>
                      <w:szCs w:val="24"/>
                      <w:lang w:eastAsia="lt-LT"/>
                    </w:rPr>
                    <w:t xml:space="preserve"> </w:t>
                  </w:r>
                  <w:r>
                    <w:rPr>
                      <w:color w:val="000000"/>
                      <w:szCs w:val="24"/>
                      <w:lang w:eastAsia="lt-LT"/>
                    </w:rPr>
                    <w:t>ir budėjimą b</w:t>
                  </w:r>
                  <w:r>
                    <w:rPr>
                      <w:szCs w:val="24"/>
                      <w:lang w:eastAsia="lt-LT"/>
                    </w:rPr>
                    <w:t xml:space="preserve">endrosios kompetencijos ar specializuotame </w:t>
                  </w:r>
                  <w:r>
                    <w:rPr>
                      <w:color w:val="000000"/>
                      <w:szCs w:val="24"/>
                      <w:lang w:eastAsia="lt-LT"/>
                    </w:rPr>
                    <w:t>teisme poilsio ir švenčių dienomis b</w:t>
                  </w:r>
                  <w:r>
                    <w:rPr>
                      <w:szCs w:val="24"/>
                      <w:lang w:eastAsia="lt-LT"/>
                    </w:rPr>
                    <w:t xml:space="preserve">endrosios kompetencijos ar specializuoto teismo </w:t>
                  </w:r>
                  <w:r>
                    <w:rPr>
                      <w:color w:val="000000"/>
                      <w:szCs w:val="24"/>
                      <w:lang w:eastAsia="lt-LT"/>
                    </w:rPr>
                    <w:t>teisėjo pasirinkimu mokamas dvigubo b</w:t>
                  </w:r>
                  <w:r>
                    <w:rPr>
                      <w:szCs w:val="24"/>
                      <w:lang w:eastAsia="lt-LT"/>
                    </w:rPr>
                    <w:t xml:space="preserve">endrosios kompetencijos ar specializuoto teismo </w:t>
                  </w:r>
                  <w:r>
                    <w:rPr>
                      <w:color w:val="000000"/>
                      <w:szCs w:val="24"/>
                      <w:lang w:eastAsia="lt-LT"/>
                    </w:rPr>
                    <w:t>teisėjo pareiginės algos su priedu už tarnybos Lietuvos valstybei stažą dydžio atlygis arba jam artimiausią mėnesį suteikiamas dvigubos trukmės poilsio laikas, arba šis poilsio laikas pridedamas prie kasmetinių atostogų. Už suteiktą poilsio laiką b</w:t>
                  </w:r>
                  <w:r>
                    <w:rPr>
                      <w:szCs w:val="24"/>
                      <w:lang w:eastAsia="lt-LT"/>
                    </w:rPr>
                    <w:t xml:space="preserve">endrosios kompetencijos ar specializuoto teismo </w:t>
                  </w:r>
                  <w:r>
                    <w:rPr>
                      <w:color w:val="000000"/>
                      <w:szCs w:val="24"/>
                      <w:lang w:eastAsia="lt-LT"/>
                    </w:rPr>
                    <w:t xml:space="preserve">teisėjui mokamas jo </w:t>
                  </w:r>
                  <w:r>
                    <w:rPr>
                      <w:szCs w:val="24"/>
                      <w:lang w:eastAsia="lt-LT"/>
                    </w:rPr>
                    <w:t xml:space="preserve">pareiginės algos su priedu už </w:t>
                  </w:r>
                  <w:r>
                    <w:rPr>
                      <w:color w:val="000000"/>
                      <w:szCs w:val="24"/>
                      <w:lang w:eastAsia="lt-LT"/>
                    </w:rPr>
                    <w:t>tarnybos Lietuvos valstybei stažą</w:t>
                  </w:r>
                  <w:r>
                    <w:rPr>
                      <w:szCs w:val="24"/>
                      <w:lang w:eastAsia="lt-LT"/>
                    </w:rPr>
                    <w:t xml:space="preserve"> dydžio atlygis</w:t>
                  </w:r>
                  <w:r>
                    <w:rPr>
                      <w:color w:val="000000"/>
                      <w:szCs w:val="24"/>
                      <w:lang w:eastAsia="lt-LT"/>
                    </w:rPr>
                    <w:t>.</w:t>
                  </w:r>
                </w:p>
              </w:sdtContent>
            </w:sdt>
            <w:sdt>
              <w:sdtPr>
                <w:alias w:val="6 str. 4 d."/>
                <w:tag w:val="part_be4046a410b54dada1312aa574a34777"/>
                <w:lock w:val="sdtLocked"/>
                <w:richText/>
              </w:sdtPr>
              <w:sdtContent>
                <w:p>
                  <w:pPr>
                    <w:spacing w:line="360" w:lineRule="auto"/>
                    <w:ind w:firstLine="720"/>
                    <w:jc w:val="both"/>
                    <w:rPr>
                      <w:szCs w:val="24"/>
                      <w:lang w:eastAsia="lt-LT"/>
                    </w:rPr>
                  </w:pPr>
                  <w:sdt>
                    <w:sdtPr>
                      <w:alias w:val="Numeris"/>
                      <w:tag w:val="nr_be4046a410b54dada1312aa574a34777"/>
                      <w:lock w:val="sdtLocked"/>
                      <w:richText/>
                    </w:sdtPr>
                    <w:sdtContent>
                      <w:r>
                        <w:rPr>
                          <w:color w:val="000000"/>
                          <w:szCs w:val="24"/>
                          <w:lang w:eastAsia="lt-LT"/>
                        </w:rPr>
                        <w:t>4</w:t>
                      </w:r>
                    </w:sdtContent>
                  </w:sdt>
                  <w:r>
                    <w:rPr>
                      <w:color w:val="000000"/>
                      <w:szCs w:val="24"/>
                      <w:lang w:eastAsia="lt-LT"/>
                    </w:rPr>
                    <w:t xml:space="preserve">. </w:t>
                  </w:r>
                  <w:r>
                    <w:rPr>
                      <w:szCs w:val="24"/>
                      <w:lang w:eastAsia="lt-LT"/>
                    </w:rPr>
                    <w:t xml:space="preserve">Už budėjimą poilsio ir švenčių dienomis namuose bendrosios kompetencijos ar specializuoto teismo teisėjui mokama 50 procentų jo pareiginės algos </w:t>
                  </w:r>
                  <w:r>
                    <w:rPr>
                      <w:color w:val="000000"/>
                      <w:szCs w:val="24"/>
                      <w:lang w:eastAsia="lt-LT"/>
                    </w:rPr>
                    <w:t xml:space="preserve">su priedu už tarnybos Lietuvos valstybei stažą dydžio atlygis </w:t>
                  </w:r>
                  <w:r>
                    <w:rPr>
                      <w:szCs w:val="24"/>
                      <w:lang w:eastAsia="lt-LT"/>
                    </w:rPr>
                    <w:t xml:space="preserve">proporcingai budėtam laikui. Už darbą atvykus į </w:t>
                  </w:r>
                  <w:r>
                    <w:rPr>
                      <w:color w:val="000000"/>
                      <w:szCs w:val="24"/>
                      <w:lang w:eastAsia="lt-LT"/>
                    </w:rPr>
                    <w:t>b</w:t>
                  </w:r>
                  <w:r>
                    <w:rPr>
                      <w:szCs w:val="24"/>
                      <w:lang w:eastAsia="lt-LT"/>
                    </w:rPr>
                    <w:t xml:space="preserve">endrosios kompetencijos ar specializuotą teismą atlikti neatidėliotinų veiksmų poilsio ir švenčių dienomis mokama šio straipsnio 3 dalyje nustatyta tvarka. </w:t>
                  </w:r>
                </w:p>
              </w:sdtContent>
            </w:sdt>
            <w:sdt>
              <w:sdtPr>
                <w:alias w:val="6 str. 5 d."/>
                <w:tag w:val="part_3b0268efc7544e239bd11dd4d8d9ac53"/>
                <w:lock w:val="sdtLocked"/>
                <w:richText/>
              </w:sdtPr>
              <w:sdtContent>
                <w:p>
                  <w:pPr>
                    <w:spacing w:line="360" w:lineRule="auto"/>
                    <w:ind w:firstLine="720"/>
                    <w:jc w:val="both"/>
                    <w:rPr>
                      <w:szCs w:val="24"/>
                      <w:lang w:eastAsia="lt-LT"/>
                    </w:rPr>
                  </w:pPr>
                  <w:sdt>
                    <w:sdtPr>
                      <w:alias w:val="Numeris"/>
                      <w:tag w:val="nr_3b0268efc7544e239bd11dd4d8d9ac53"/>
                      <w:lock w:val="sdtLocked"/>
                      <w:richText/>
                    </w:sdtPr>
                    <w:sdtContent>
                      <w:r>
                        <w:rPr>
                          <w:szCs w:val="24"/>
                          <w:lang w:eastAsia="lt-LT"/>
                        </w:rPr>
                        <w:t>5</w:t>
                      </w:r>
                    </w:sdtContent>
                  </w:sdt>
                  <w:r>
                    <w:rPr>
                      <w:szCs w:val="24"/>
                      <w:lang w:eastAsia="lt-LT"/>
                    </w:rPr>
                    <w:t>.</w:t>
                  </w:r>
                  <w:r>
                    <w:rPr>
                      <w:szCs w:val="24"/>
                    </w:rPr>
                    <w:t xml:space="preserve"> </w:t>
                  </w:r>
                  <w:r>
                    <w:rPr>
                      <w:szCs w:val="24"/>
                      <w:lang w:eastAsia="lt-LT"/>
                    </w:rPr>
                    <w:t>Bendrosios kompetencijos ir specializuotų teismų teisėjams</w:t>
                  </w:r>
                  <w:r>
                    <w:rPr>
                      <w:bCs/>
                      <w:szCs w:val="24"/>
                      <w:lang w:eastAsia="lt-LT"/>
                    </w:rPr>
                    <w:t xml:space="preserve"> už darbą ir budėjimą poilsio ir švenčių dienomis</w:t>
                  </w:r>
                  <w:r>
                    <w:rPr>
                      <w:szCs w:val="24"/>
                    </w:rPr>
                    <w:t xml:space="preserve"> mokama pagal darbo laiko apskaitos žiniaraščiuose pažymėtą laiką. </w:t>
                  </w:r>
                  <w:r>
                    <w:rPr>
                      <w:szCs w:val="24"/>
                      <w:lang w:eastAsia="lt-LT"/>
                    </w:rPr>
                    <w:t xml:space="preserve">Budėjimo namuose laikas į darbo laiką neįskaičiuojamas, išskyrus laiką, per kurį, atvykus į </w:t>
                  </w:r>
                  <w:r>
                    <w:rPr>
                      <w:color w:val="000000"/>
                      <w:szCs w:val="24"/>
                      <w:lang w:eastAsia="lt-LT"/>
                    </w:rPr>
                    <w:t>b</w:t>
                  </w:r>
                  <w:r>
                    <w:rPr>
                      <w:szCs w:val="24"/>
                      <w:lang w:eastAsia="lt-LT"/>
                    </w:rPr>
                    <w:t>endrosios kompetencijos ar specializuotą teismą, faktiškai atlikti neatidėliotini veiksmai.</w:t>
                  </w:r>
                </w:p>
              </w:sdtContent>
            </w:sdt>
            <w:sdt>
              <w:sdtPr>
                <w:alias w:val="6 str. 6 d."/>
                <w:tag w:val="part_6692dd4bfd5b4ddcb2c17e27ec638e01"/>
                <w:lock w:val="sdtLocked"/>
                <w:richText/>
              </w:sdtPr>
              <w:sdtContent>
                <w:p>
                  <w:pPr>
                    <w:spacing w:line="360" w:lineRule="auto"/>
                    <w:ind w:firstLine="720"/>
                    <w:jc w:val="both"/>
                    <w:rPr>
                      <w:szCs w:val="24"/>
                      <w:lang w:eastAsia="lt-LT"/>
                    </w:rPr>
                  </w:pPr>
                  <w:sdt>
                    <w:sdtPr>
                      <w:alias w:val="Numeris"/>
                      <w:tag w:val="nr_6692dd4bfd5b4ddcb2c17e27ec638e01"/>
                      <w:lock w:val="sdtLocked"/>
                      <w:richText/>
                    </w:sdtPr>
                    <w:sdtContent>
                      <w:r>
                        <w:rPr>
                          <w:szCs w:val="24"/>
                          <w:lang w:eastAsia="lt-LT"/>
                        </w:rPr>
                        <w:t>6</w:t>
                      </w:r>
                    </w:sdtContent>
                  </w:sdt>
                  <w:r>
                    <w:rPr>
                      <w:szCs w:val="24"/>
                      <w:lang w:eastAsia="lt-LT"/>
                    </w:rPr>
                    <w:t>.</w:t>
                  </w:r>
                  <w:r>
                    <w:rPr>
                      <w:szCs w:val="24"/>
                      <w:shd w:val="clear" w:color="auto" w:fill="FFFFFF"/>
                      <w:lang w:eastAsia="lt-LT"/>
                    </w:rPr>
                    <w:t xml:space="preserve"> Kai</w:t>
                  </w:r>
                  <w:r>
                    <w:rPr>
                      <w:color w:val="000000"/>
                      <w:szCs w:val="24"/>
                      <w:lang w:eastAsia="lt-LT"/>
                    </w:rPr>
                    <w:t xml:space="preserve"> Aukščiausiojo Teismo, Apeliacinio teismo ar apygardos teismo </w:t>
                  </w:r>
                  <w:r>
                    <w:rPr>
                      <w:szCs w:val="24"/>
                      <w:shd w:val="clear" w:color="auto" w:fill="FFFFFF"/>
                      <w:lang w:eastAsia="lt-LT"/>
                    </w:rPr>
                    <w:t xml:space="preserve">pirmininką Lietuvos Respublikos teismų įstatymo nustatyta tvarka pavaduoja </w:t>
                  </w:r>
                  <w:r>
                    <w:rPr>
                      <w:color w:val="000000"/>
                      <w:szCs w:val="24"/>
                      <w:lang w:eastAsia="lt-LT"/>
                    </w:rPr>
                    <w:t>didesnį šiame teisme teisėjo darbo stažą turintis skyriaus pirmininkas</w:t>
                  </w:r>
                  <w:r>
                    <w:rPr>
                      <w:szCs w:val="24"/>
                      <w:shd w:val="clear" w:color="auto" w:fill="FFFFFF"/>
                      <w:lang w:eastAsia="lt-LT"/>
                    </w:rPr>
                    <w:t>, apskaičiuojant jo atlyginimą taikomas atitinkamai</w:t>
                  </w:r>
                  <w:r>
                    <w:rPr>
                      <w:color w:val="000000"/>
                      <w:szCs w:val="24"/>
                      <w:lang w:eastAsia="lt-LT"/>
                    </w:rPr>
                    <w:t xml:space="preserve"> Aukščiausiojo Teismo, Apeliacinio teismo ar apygardos teismo </w:t>
                  </w:r>
                  <w:r>
                    <w:rPr>
                      <w:szCs w:val="24"/>
                      <w:shd w:val="clear" w:color="auto" w:fill="FFFFFF"/>
                      <w:lang w:eastAsia="lt-LT"/>
                    </w:rPr>
                    <w:t>pirmininko pareiginės algos koeficientas. Kai b</w:t>
                  </w:r>
                  <w:r>
                    <w:rPr>
                      <w:color w:val="000000"/>
                      <w:szCs w:val="24"/>
                      <w:lang w:eastAsia="lt-LT"/>
                    </w:rPr>
                    <w:t xml:space="preserve">endrosios kompetencijos ar specializuoto </w:t>
                  </w:r>
                  <w:r>
                    <w:rPr>
                      <w:szCs w:val="24"/>
                      <w:shd w:val="clear" w:color="auto" w:fill="FFFFFF"/>
                      <w:lang w:eastAsia="lt-LT"/>
                    </w:rPr>
                    <w:t xml:space="preserve">teismo pirmininką, pirmininko pavaduotoją ar skyriaus pirmininką Teismų įstatymo nustatyta tvarka pavaduoja </w:t>
                  </w:r>
                  <w:r>
                    <w:rPr>
                      <w:szCs w:val="24"/>
                      <w:lang w:eastAsia="lt-LT"/>
                    </w:rPr>
                    <w:t xml:space="preserve">didžiausią darbo stažą šiame teisme turintis </w:t>
                  </w:r>
                  <w:r>
                    <w:rPr>
                      <w:color w:val="000000"/>
                      <w:szCs w:val="24"/>
                      <w:lang w:eastAsia="lt-LT"/>
                    </w:rPr>
                    <w:t>b</w:t>
                  </w:r>
                  <w:r>
                    <w:rPr>
                      <w:szCs w:val="24"/>
                      <w:lang w:eastAsia="lt-LT"/>
                    </w:rPr>
                    <w:t>endrosios kompetencijos ar specializuoto teismo teisėjas</w:t>
                  </w:r>
                  <w:r>
                    <w:rPr>
                      <w:szCs w:val="24"/>
                      <w:shd w:val="clear" w:color="auto" w:fill="FFFFFF"/>
                      <w:lang w:eastAsia="lt-LT"/>
                    </w:rPr>
                    <w:t>, apskaičiuojant jo atlyginimą taikomas atitinkamai b</w:t>
                  </w:r>
                  <w:r>
                    <w:rPr>
                      <w:color w:val="000000"/>
                      <w:szCs w:val="24"/>
                      <w:lang w:eastAsia="lt-LT"/>
                    </w:rPr>
                    <w:t xml:space="preserve">endrosios kompetencijos ar specializuoto </w:t>
                  </w:r>
                  <w:r>
                    <w:rPr>
                      <w:szCs w:val="24"/>
                      <w:shd w:val="clear" w:color="auto" w:fill="FFFFFF"/>
                      <w:lang w:eastAsia="lt-LT"/>
                    </w:rPr>
                    <w:t>teismo pirmininko, pirmininko pavaduotojo ar skyriaus pirmininko pareiginės algos koeficientas.</w:t>
                  </w:r>
                </w:p>
              </w:sdtContent>
            </w:sdt>
            <w:sdt>
              <w:sdtPr>
                <w:alias w:val="6 str. 7 d."/>
                <w:tag w:val="part_7a961eab06644975acdca128b01cf1e3"/>
                <w:lock w:val="sdtLocked"/>
                <w:richText/>
              </w:sdtPr>
              <w:sdtContent>
                <w:p>
                  <w:pPr>
                    <w:spacing w:line="360" w:lineRule="auto"/>
                    <w:ind w:firstLine="720"/>
                    <w:jc w:val="both"/>
                    <w:rPr>
                      <w:szCs w:val="24"/>
                      <w:lang w:eastAsia="lt-LT"/>
                    </w:rPr>
                  </w:pPr>
                  <w:sdt>
                    <w:sdtPr>
                      <w:alias w:val="Numeris"/>
                      <w:tag w:val="nr_7a961eab06644975acdca128b01cf1e3"/>
                      <w:lock w:val="sdtLocked"/>
                      <w:richText/>
                    </w:sdtPr>
                    <w:sdtContent>
                      <w:r>
                        <w:rPr>
                          <w:szCs w:val="24"/>
                          <w:lang w:eastAsia="lt-LT"/>
                        </w:rPr>
                        <w:t>7</w:t>
                      </w:r>
                    </w:sdtContent>
                  </w:sdt>
                  <w:r>
                    <w:rPr>
                      <w:szCs w:val="24"/>
                      <w:lang w:eastAsia="lt-LT"/>
                    </w:rPr>
                    <w:t xml:space="preserve">. </w:t>
                  </w:r>
                  <w:r>
                    <w:rPr>
                      <w:lang w:eastAsia="lt-LT"/>
                    </w:rPr>
                    <w:t>Mokėjimo už bendrosios kompetencijos ir specializuotų teismų teisėjų darbą ir budėjimą poilsio ir švenčių dienomis bei pavadavimą tvarką nustato Teisėjų taryba.</w:t>
                  </w:r>
                </w:p>
                <w:p>
                  <w:pPr>
                    <w:spacing w:line="360" w:lineRule="auto"/>
                    <w:ind w:firstLine="720"/>
                    <w:jc w:val="both"/>
                    <w:rPr>
                      <w:color w:val="000000"/>
                      <w:szCs w:val="24"/>
                      <w:lang w:eastAsia="lt-LT"/>
                    </w:rPr>
                  </w:pPr>
                </w:p>
              </w:sdtContent>
            </w:sdt>
          </w:sdtContent>
        </w:sdt>
        <w:sdt>
          <w:sdtPr>
            <w:alias w:val="7 str."/>
            <w:tag w:val="part_436e5b5a0796448fbd2ff692331f8429"/>
            <w:lock w:val="sdtLocked"/>
            <w:richText/>
          </w:sdtPr>
          <w:sdtContent>
            <w:p>
              <w:pPr>
                <w:spacing w:line="360" w:lineRule="auto"/>
                <w:ind w:firstLine="720"/>
                <w:jc w:val="both"/>
                <w:rPr>
                  <w:b/>
                  <w:szCs w:val="24"/>
                  <w:lang w:eastAsia="lt-LT"/>
                </w:rPr>
              </w:pPr>
              <w:sdt>
                <w:sdtPr>
                  <w:alias w:val="Numeris"/>
                  <w:tag w:val="nr_436e5b5a0796448fbd2ff692331f8429"/>
                  <w:lock w:val="sdtLocked"/>
                  <w:richText/>
                </w:sdtPr>
                <w:sdtContent>
                  <w:r>
                    <w:rPr>
                      <w:b/>
                      <w:bCs/>
                      <w:szCs w:val="24"/>
                      <w:lang w:eastAsia="lt-LT"/>
                    </w:rPr>
                    <w:t>7</w:t>
                  </w:r>
                </w:sdtContent>
              </w:sdt>
              <w:r>
                <w:rPr>
                  <w:b/>
                  <w:bCs/>
                  <w:szCs w:val="24"/>
                  <w:lang w:eastAsia="lt-LT"/>
                </w:rPr>
                <w:t xml:space="preserve"> straipsnis.</w:t>
              </w:r>
              <w:r>
                <w:rPr>
                  <w:bCs/>
                  <w:szCs w:val="24"/>
                  <w:lang w:eastAsia="lt-LT"/>
                </w:rPr>
                <w:t xml:space="preserve"> </w:t>
              </w:r>
              <w:sdt>
                <w:sdtPr>
                  <w:alias w:val="Pavadinimas"/>
                  <w:tag w:val="title_436e5b5a0796448fbd2ff692331f8429"/>
                  <w:lock w:val="sdtLocked"/>
                  <w:richText/>
                </w:sdtPr>
                <w:sdtContent>
                  <w:r>
                    <w:rPr>
                      <w:b/>
                      <w:bCs/>
                      <w:szCs w:val="24"/>
                      <w:lang w:eastAsia="lt-LT"/>
                    </w:rPr>
                    <w:t xml:space="preserve">Priemoka už </w:t>
                  </w:r>
                  <w:r>
                    <w:rPr>
                      <w:b/>
                      <w:szCs w:val="24"/>
                      <w:lang w:eastAsia="lt-LT"/>
                    </w:rPr>
                    <w:t>padidėjusį darbo krūvį</w:t>
                  </w:r>
                </w:sdtContent>
              </w:sdt>
            </w:p>
            <w:sdt>
              <w:sdtPr>
                <w:alias w:val="7 str. 1 d."/>
                <w:tag w:val="part_9c4c0bfcfcd1411aac7f8569df3ebbf5"/>
                <w:lock w:val="sdtLocked"/>
                <w:richText/>
              </w:sdtPr>
              <w:sdtContent>
                <w:p>
                  <w:pPr>
                    <w:spacing w:line="360" w:lineRule="auto"/>
                    <w:ind w:firstLine="720"/>
                    <w:jc w:val="both"/>
                    <w:rPr>
                      <w:bCs/>
                      <w:color w:val="000000"/>
                    </w:rPr>
                  </w:pPr>
                  <w:sdt>
                    <w:sdtPr>
                      <w:alias w:val="Numeris"/>
                      <w:tag w:val="nr_9c4c0bfcfcd1411aac7f8569df3ebbf5"/>
                      <w:lock w:val="sdtLocked"/>
                      <w:richText/>
                    </w:sdtPr>
                    <w:sdtContent>
                      <w:r>
                        <w:rPr>
                          <w:szCs w:val="24"/>
                          <w:lang w:eastAsia="lt-LT"/>
                        </w:rPr>
                        <w:t>1</w:t>
                      </w:r>
                    </w:sdtContent>
                  </w:sdt>
                  <w:r>
                    <w:rPr>
                      <w:szCs w:val="24"/>
                      <w:lang w:eastAsia="lt-LT"/>
                    </w:rPr>
                    <w:t>. Bendrosios kompetencijos ar specializuoto teismo teisėjui</w:t>
                  </w:r>
                  <w:r>
                    <w:rPr>
                      <w:color w:val="000000"/>
                      <w:szCs w:val="24"/>
                      <w:lang w:eastAsia="lt-LT"/>
                    </w:rPr>
                    <w:t xml:space="preserve"> mokama ne didesnė kaip 30 procentų jo </w:t>
                  </w:r>
                  <w:r>
                    <w:rPr>
                      <w:szCs w:val="24"/>
                      <w:lang w:eastAsia="lt-LT"/>
                    </w:rPr>
                    <w:t>pareiginės algos dydžio</w:t>
                  </w:r>
                  <w:r>
                    <w:rPr>
                      <w:color w:val="000000"/>
                      <w:szCs w:val="24"/>
                      <w:lang w:eastAsia="lt-LT"/>
                    </w:rPr>
                    <w:t xml:space="preserve"> priemoka už </w:t>
                  </w:r>
                  <w:r>
                    <w:rPr>
                      <w:szCs w:val="24"/>
                      <w:lang w:eastAsia="lt-LT"/>
                    </w:rPr>
                    <w:t xml:space="preserve">padidėjusį darbo </w:t>
                  </w:r>
                  <w:r>
                    <w:rPr>
                      <w:bCs/>
                      <w:szCs w:val="24"/>
                      <w:lang w:eastAsia="lt-LT"/>
                    </w:rPr>
                    <w:t xml:space="preserve">krūvį, </w:t>
                  </w:r>
                  <w:r>
                    <w:rPr>
                      <w:bCs/>
                      <w:iCs/>
                      <w:color w:val="000000"/>
                      <w:szCs w:val="24"/>
                      <w:lang w:eastAsia="lt-LT"/>
                    </w:rPr>
                    <w:t>kai yra padidėjęs darbų mastas</w:t>
                  </w:r>
                  <w:r>
                    <w:rPr>
                      <w:bCs/>
                      <w:color w:val="000000"/>
                      <w:szCs w:val="24"/>
                      <w:lang w:eastAsia="lt-LT"/>
                    </w:rPr>
                    <w:t xml:space="preserve"> atliekant </w:t>
                  </w:r>
                  <w:r>
                    <w:rPr>
                      <w:szCs w:val="24"/>
                      <w:lang w:eastAsia="lt-LT"/>
                    </w:rPr>
                    <w:t xml:space="preserve">kito to paties bendrosios kompetencijos ar specializuoto teismo (ar tų pačių teismo rūmų) teisėjo funkcijas (kai laikinai neužimtos to paties bendrosios kompetencijos ar specializuoto teismo teisėjo pareigos bendrosios kompetencijos ar specializuotame teisme (ar tuose pačiuose teismo rūmuose) arba </w:t>
                  </w:r>
                  <w:r>
                    <w:rPr>
                      <w:bCs/>
                      <w:szCs w:val="24"/>
                      <w:lang w:eastAsia="lt-LT"/>
                    </w:rPr>
                    <w:t xml:space="preserve">kai </w:t>
                  </w:r>
                  <w:r>
                    <w:rPr>
                      <w:szCs w:val="24"/>
                      <w:lang w:eastAsia="lt-LT"/>
                    </w:rPr>
                    <w:t xml:space="preserve">to paties </w:t>
                  </w:r>
                  <w:r>
                    <w:rPr>
                      <w:bCs/>
                      <w:szCs w:val="24"/>
                      <w:lang w:eastAsia="lt-LT"/>
                    </w:rPr>
                    <w:t>b</w:t>
                  </w:r>
                  <w:r>
                    <w:rPr>
                      <w:szCs w:val="24"/>
                      <w:lang w:eastAsia="lt-LT"/>
                    </w:rPr>
                    <w:t xml:space="preserve">endrosios kompetencijos ar specializuoto </w:t>
                  </w:r>
                  <w:r>
                    <w:rPr>
                      <w:bCs/>
                      <w:color w:val="000000"/>
                      <w:szCs w:val="24"/>
                      <w:lang w:eastAsia="lt-LT"/>
                    </w:rPr>
                    <w:t>teismo (ar</w:t>
                  </w:r>
                  <w:r>
                    <w:rPr>
                      <w:szCs w:val="24"/>
                      <w:lang w:eastAsia="lt-LT"/>
                    </w:rPr>
                    <w:t xml:space="preserve"> tų pačių</w:t>
                  </w:r>
                  <w:r>
                    <w:rPr>
                      <w:bCs/>
                      <w:color w:val="000000"/>
                      <w:szCs w:val="24"/>
                      <w:lang w:eastAsia="lt-LT"/>
                    </w:rPr>
                    <w:t xml:space="preserve"> teismo rūmų) teisėjas laikinai negali eiti </w:t>
                  </w:r>
                  <w:r>
                    <w:rPr>
                      <w:bCs/>
                      <w:szCs w:val="24"/>
                      <w:lang w:eastAsia="lt-LT"/>
                    </w:rPr>
                    <w:t>b</w:t>
                  </w:r>
                  <w:r>
                    <w:rPr>
                      <w:szCs w:val="24"/>
                      <w:lang w:eastAsia="lt-LT"/>
                    </w:rPr>
                    <w:t xml:space="preserve">endrosios kompetencijos ar specializuoto </w:t>
                  </w:r>
                  <w:r>
                    <w:rPr>
                      <w:bCs/>
                      <w:color w:val="000000"/>
                      <w:szCs w:val="24"/>
                      <w:lang w:eastAsia="lt-LT"/>
                    </w:rPr>
                    <w:t>teismo teisėjo pareigų) arba kai dėl iš anksto nenumatytų priežasčių yra žymiai padidėjęs gaunamų tam tikros kategorijos bylų skaičius per mėnesį</w:t>
                  </w:r>
                  <w:r>
                    <w:rPr>
                      <w:bCs/>
                      <w:color w:val="000000"/>
                    </w:rPr>
                    <w:t>.</w:t>
                  </w:r>
                </w:p>
              </w:sdtContent>
            </w:sdt>
            <w:sdt>
              <w:sdtPr>
                <w:alias w:val="7 str. 2 d."/>
                <w:tag w:val="part_0c2f68e4f7874f208c2ee2920dc3cb7a"/>
                <w:lock w:val="sdtLocked"/>
                <w:richText/>
              </w:sdtPr>
              <w:sdtContent>
                <w:p>
                  <w:pPr>
                    <w:spacing w:line="360" w:lineRule="auto"/>
                    <w:ind w:firstLine="720"/>
                    <w:jc w:val="both"/>
                    <w:rPr>
                      <w:color w:val="000000"/>
                      <w:szCs w:val="24"/>
                      <w:lang w:eastAsia="lt-LT"/>
                    </w:rPr>
                  </w:pPr>
                  <w:sdt>
                    <w:sdtPr>
                      <w:alias w:val="Numeris"/>
                      <w:tag w:val="nr_0c2f68e4f7874f208c2ee2920dc3cb7a"/>
                      <w:lock w:val="sdtLocked"/>
                      <w:richText/>
                    </w:sdtPr>
                    <w:sdtContent>
                      <w:r>
                        <w:rPr>
                          <w:szCs w:val="24"/>
                          <w:lang w:eastAsia="lt-LT"/>
                        </w:rPr>
                        <w:t>2</w:t>
                      </w:r>
                    </w:sdtContent>
                  </w:sdt>
                  <w:r>
                    <w:rPr>
                      <w:szCs w:val="24"/>
                      <w:lang w:eastAsia="lt-LT"/>
                    </w:rPr>
                    <w:t xml:space="preserve">. Priemokų už padidėjusį darbo krūvį skyrimo ir mokėjimo bendrosios kompetencijos ir specializuotų teismų teisėjams tvarką nustato Teisėjų taryba. Bendrosios kompetencijos ir specializuotų teismų teisėjams mokamos priemokos už </w:t>
                  </w:r>
                  <w:r>
                    <w:rPr>
                      <w:iCs/>
                      <w:color w:val="000000"/>
                      <w:szCs w:val="24"/>
                      <w:lang w:eastAsia="lt-LT"/>
                    </w:rPr>
                    <w:t xml:space="preserve">padidėjusį darbo krūvį </w:t>
                  </w:r>
                  <w:r>
                    <w:rPr>
                      <w:szCs w:val="24"/>
                      <w:lang w:eastAsia="lt-LT"/>
                    </w:rPr>
                    <w:t xml:space="preserve">dydį nustato </w:t>
                  </w:r>
                  <w:r>
                    <w:rPr>
                      <w:color w:val="000000"/>
                      <w:szCs w:val="24"/>
                      <w:lang w:eastAsia="lt-LT"/>
                    </w:rPr>
                    <w:t>b</w:t>
                  </w:r>
                  <w:r>
                    <w:rPr>
                      <w:szCs w:val="24"/>
                      <w:lang w:eastAsia="lt-LT"/>
                    </w:rPr>
                    <w:t xml:space="preserve">endrosios kompetencijos ar specializuoto </w:t>
                  </w:r>
                  <w:r>
                    <w:rPr>
                      <w:color w:val="000000"/>
                      <w:szCs w:val="24"/>
                      <w:lang w:eastAsia="lt-LT"/>
                    </w:rPr>
                    <w:t xml:space="preserve">teismo pirmininkas. </w:t>
                  </w:r>
                </w:p>
                <w:p>
                  <w:pPr>
                    <w:ind w:left="5103" w:firstLine="567"/>
                  </w:pPr>
                </w:p>
              </w:sdtContent>
            </w:sdt>
          </w:sdtContent>
        </w:sdt>
        <w:sdt>
          <w:sdtPr>
            <w:alias w:val="signatura"/>
            <w:tag w:val="part_a916b3fff8f9440484144be69b3999cb"/>
            <w:lock w:val="sdtLocked"/>
            <w:richText/>
          </w:sdtPr>
          <w:sdtContent>
            <w:p>
              <w:pPr>
                <w:ind w:firstLine="567"/>
                <w:jc w:val="both"/>
                <w:rPr>
                  <w:i/>
                  <w:iCs/>
                </w:rPr>
              </w:pPr>
              <w:r>
                <w:rPr>
                  <w:i/>
                  <w:iCs/>
                </w:rPr>
                <w:t>Skelbiu šį Lietuvos Respublikos Seimo priimtą įstatymą.</w:t>
              </w:r>
            </w:p>
            <w:p>
              <w:pPr>
                <w:ind w:firstLine="567"/>
                <w:jc w:val="both"/>
                <w:rPr>
                  <w:iCs/>
                </w:rPr>
              </w:pPr>
            </w:p>
            <w:p>
              <w:pPr>
                <w:ind w:firstLine="567"/>
                <w:jc w:val="both"/>
                <w:rPr>
                  <w:iCs/>
                </w:rPr>
              </w:pPr>
            </w:p>
            <w:p>
              <w:pPr>
                <w:ind w:firstLine="567"/>
                <w:jc w:val="both"/>
                <w:rPr>
                  <w:iCs/>
                </w:rPr>
              </w:pPr>
            </w:p>
            <w:p>
              <w:pPr>
                <w:tabs>
                  <w:tab w:val="right" w:pos="9071"/>
                </w:tabs>
                <w:jc w:val="both"/>
              </w:pPr>
              <w:r>
                <w:t xml:space="preserve">RESPUBLIKOS PREZIDENTAS </w:t>
                <w:tab/>
                <w:t>VALDAS ADAMKUS</w:t>
              </w:r>
            </w:p>
            <w:p>
              <w:pPr>
                <w:jc w:val="center"/>
              </w:pPr>
            </w:p>
            <w:p>
              <w:pPr>
                <w:jc w:val="center"/>
              </w:pPr>
            </w:p>
          </w:sdtContent>
        </w:sdt>
        <w:p/>
      </w:sdtContent>
    </w:sdt>
    <w:sdt>
      <w:sdtPr>
        <w:alias w:val="pr."/>
        <w:tag w:val="part_ad85159a6d104d78bb2e96533e31a294"/>
        <w:lock w:val="sdtLocked"/>
        <w:richText/>
      </w:sdtPr>
      <w:sdtContent>
        <w:p>
          <w:pPr>
            <w:ind w:left="5103" w:firstLine="567"/>
            <w:sectPr>
              <w:headerReference w:type="even" r:id="rId12"/>
              <w:headerReference w:type="default" r:id="rId13"/>
              <w:footerReference w:type="even" r:id="rId14"/>
              <w:footerReference w:type="default" r:id="rId15"/>
              <w:headerReference w:type="first" r:id="rId16"/>
              <w:footerReference w:type="first" r:id="rId17"/>
              <w:pgSz w:w="11907" w:h="16840" w:code="9"/>
              <w:pgMar w:top="1134" w:right="1134" w:bottom="1134" w:left="1701" w:header="567" w:footer="284" w:gutter="0"/>
              <w:pgNumType w:start="1"/>
              <w:cols w:space="1296"/>
              <w:titlePg/>
              <w:docGrid w:linePitch="360"/>
            </w:sectPr>
          </w:pPr>
        </w:p>
        <w:p>
          <w:pPr>
            <w:ind w:left="5103" w:firstLine="567"/>
            <w:rPr>
              <w:rFonts w:ascii="TimesLT" w:hAnsi="TimesLT"/>
              <w:color w:val="000000"/>
              <w:szCs w:val="24"/>
              <w:lang w:eastAsia="lt-LT"/>
            </w:rPr>
          </w:pPr>
          <w:r>
            <w:rPr>
              <w:rFonts w:ascii="TimesLT" w:hAnsi="TimesLT"/>
              <w:color w:val="000000"/>
              <w:szCs w:val="24"/>
              <w:lang w:eastAsia="lt-LT"/>
            </w:rPr>
            <w:t>Lietuvos Respublikos</w:t>
          </w:r>
        </w:p>
        <w:p>
          <w:pPr>
            <w:ind w:left="5103" w:firstLine="567"/>
            <w:rPr>
              <w:rFonts w:ascii="TimesLT" w:hAnsi="TimesLT"/>
              <w:color w:val="000000"/>
              <w:szCs w:val="24"/>
              <w:lang w:eastAsia="lt-LT"/>
            </w:rPr>
          </w:pPr>
          <w:r>
            <w:rPr>
              <w:rFonts w:ascii="TimesLT" w:hAnsi="TimesLT"/>
              <w:color w:val="000000"/>
              <w:szCs w:val="24"/>
              <w:lang w:eastAsia="lt-LT"/>
            </w:rPr>
            <w:t>teisėjų darbo apmokėjimo įstatymo</w:t>
          </w:r>
        </w:p>
        <w:p>
          <w:pPr>
            <w:ind w:left="5103" w:firstLine="567"/>
            <w:rPr>
              <w:rFonts w:ascii="TimesLT" w:hAnsi="TimesLT"/>
              <w:color w:val="000000"/>
              <w:szCs w:val="24"/>
              <w:lang w:eastAsia="lt-LT"/>
            </w:rPr>
          </w:pPr>
          <w:r>
            <w:rPr>
              <w:rFonts w:ascii="TimesLT" w:hAnsi="TimesLT"/>
              <w:color w:val="000000"/>
              <w:szCs w:val="24"/>
              <w:lang w:eastAsia="lt-LT"/>
            </w:rPr>
            <w:t>priedas</w:t>
          </w:r>
        </w:p>
        <w:p>
          <w:pPr>
            <w:spacing w:line="360" w:lineRule="auto"/>
            <w:ind w:left="5103"/>
            <w:rPr>
              <w:rFonts w:ascii="TimesLT" w:hAnsi="TimesLT"/>
              <w:color w:val="000000"/>
              <w:szCs w:val="24"/>
              <w:lang w:val="en-US" w:eastAsia="lt-LT"/>
            </w:rPr>
          </w:pPr>
        </w:p>
        <w:p>
          <w:pPr>
            <w:spacing w:line="360" w:lineRule="auto"/>
            <w:jc w:val="center"/>
            <w:rPr>
              <w:color w:val="000000"/>
              <w:szCs w:val="24"/>
              <w:lang w:val="en-US" w:eastAsia="lt-LT"/>
            </w:rPr>
          </w:pPr>
          <w:sdt>
            <w:sdtPr>
              <w:alias w:val="Pavadinimas"/>
              <w:tag w:val="title_ad85159a6d104d78bb2e96533e31a294"/>
              <w:lock w:val="sdtLocked"/>
              <w:richText/>
            </w:sdtPr>
            <w:sdtContent>
              <w:r>
                <w:rPr>
                  <w:b/>
                  <w:bCs/>
                  <w:szCs w:val="24"/>
                  <w:lang w:val="en-US" w:eastAsia="lt-LT"/>
                </w:rPr>
                <w:t>LIETUVOS RESPUBLIKOS KONSTITUCINIO TEISMO TEISĖJŲ ATLYGINIMO IR BENDROSIOS KOMPETENCIJOS IR SPECIALIZUOTŲ TEISMŲ TEISĖJŲ PAREIGINĖS ALGOS</w:t>
              </w:r>
              <w:r>
                <w:rPr>
                  <w:b/>
                  <w:szCs w:val="24"/>
                  <w:lang w:val="en-US" w:eastAsia="lt-LT"/>
                </w:rPr>
                <w:t xml:space="preserve"> KOEFICIENTAI</w:t>
              </w:r>
            </w:sdtContent>
          </w:sdt>
        </w:p>
        <w:p>
          <w:pPr>
            <w:spacing w:line="360" w:lineRule="auto"/>
            <w:rPr>
              <w:color w:val="000000"/>
              <w:szCs w:val="24"/>
              <w:lang w:val="en-US" w:eastAsia="lt-LT"/>
            </w:rPr>
          </w:pPr>
        </w:p>
        <w:sdt>
          <w:sdtPr>
            <w:alias w:val="skyrius"/>
            <w:tag w:val="part_ea29f7f72c9144acbff2d4c183916982"/>
            <w:lock w:val="sdtLocked"/>
            <w:richText/>
          </w:sdtPr>
          <w:sdtContent>
            <w:p>
              <w:pPr>
                <w:spacing w:line="360" w:lineRule="auto"/>
                <w:jc w:val="center"/>
                <w:rPr>
                  <w:b/>
                  <w:bCs/>
                  <w:szCs w:val="24"/>
                  <w:lang w:val="en-US" w:eastAsia="lt-LT"/>
                </w:rPr>
              </w:pPr>
              <w:sdt>
                <w:sdtPr>
                  <w:alias w:val="Numeris"/>
                  <w:tag w:val="nr_ea29f7f72c9144acbff2d4c183916982"/>
                  <w:lock w:val="sdtLocked"/>
                  <w:richText/>
                </w:sdtPr>
                <w:sdtContent>
                  <w:r>
                    <w:rPr>
                      <w:b/>
                      <w:bCs/>
                      <w:szCs w:val="24"/>
                      <w:lang w:val="en-US" w:eastAsia="lt-LT"/>
                    </w:rPr>
                    <w:t>I</w:t>
                  </w:r>
                </w:sdtContent>
              </w:sdt>
              <w:r>
                <w:rPr>
                  <w:b/>
                  <w:bCs/>
                  <w:szCs w:val="24"/>
                  <w:lang w:val="en-US" w:eastAsia="lt-LT"/>
                </w:rPr>
                <w:t xml:space="preserve"> SKYRIUS</w:t>
              </w:r>
            </w:p>
            <w:p>
              <w:pPr>
                <w:spacing w:line="360" w:lineRule="auto"/>
                <w:jc w:val="center"/>
                <w:rPr>
                  <w:b/>
                  <w:bCs/>
                  <w:szCs w:val="24"/>
                  <w:lang w:val="en-US" w:eastAsia="lt-LT"/>
                </w:rPr>
              </w:pPr>
              <w:sdt>
                <w:sdtPr>
                  <w:alias w:val="Pavadinimas"/>
                  <w:tag w:val="title_ea29f7f72c9144acbff2d4c183916982"/>
                  <w:lock w:val="sdtLocked"/>
                  <w:richText/>
                </w:sdtPr>
                <w:sdtContent>
                  <w:r>
                    <w:rPr>
                      <w:b/>
                      <w:bCs/>
                      <w:szCs w:val="24"/>
                      <w:lang w:val="en-US" w:eastAsia="lt-LT"/>
                    </w:rPr>
                    <w:t xml:space="preserve">LIETUVOS RESPUBLIKOS KONSTITUCINIO TEISMO TEISĖJŲ ATLYGINIMO </w:t>
                  </w:r>
                  <w:r>
                    <w:rPr>
                      <w:b/>
                      <w:szCs w:val="24"/>
                      <w:lang w:val="en-US" w:eastAsia="lt-LT"/>
                    </w:rPr>
                    <w:t>KOEFICIENTAI</w:t>
                  </w:r>
                </w:sdtContent>
              </w:sdt>
            </w:p>
            <w:p>
              <w:pPr>
                <w:jc w:val="right"/>
                <w:rPr>
                  <w:rFonts w:ascii="TimesLT" w:hAnsi="TimesLT"/>
                  <w:strike/>
                  <w:szCs w:val="24"/>
                  <w:lang w:val="en-US"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5"/>
                <w:gridCol w:w="5362"/>
                <w:gridCol w:w="3113"/>
              </w:tblGrid>
              <w:tr>
                <w:tc>
                  <w:tcPr>
                    <w:tcW w:w="720" w:type="dxa"/>
                    <w:tcMar>
                      <w:top w:w="0" w:type="dxa"/>
                      <w:left w:w="108" w:type="dxa"/>
                      <w:bottom w:w="0" w:type="dxa"/>
                      <w:right w:w="108" w:type="dxa"/>
                    </w:tcMar>
                    <w:vAlign w:val="center"/>
                    <w:hideMark/>
                  </w:tcPr>
                  <w:p>
                    <w:pPr>
                      <w:jc w:val="center"/>
                      <w:rPr>
                        <w:szCs w:val="24"/>
                        <w:lang w:eastAsia="lt-LT"/>
                      </w:rPr>
                    </w:pPr>
                    <w:r>
                      <w:rPr>
                        <w:szCs w:val="24"/>
                        <w:lang w:eastAsia="lt-LT"/>
                      </w:rPr>
                      <w:t>Eil. Nr.</w:t>
                    </w:r>
                  </w:p>
                </w:tc>
                <w:tc>
                  <w:tcPr>
                    <w:tcW w:w="5741" w:type="dxa"/>
                    <w:tcMar>
                      <w:top w:w="0" w:type="dxa"/>
                      <w:left w:w="108" w:type="dxa"/>
                      <w:bottom w:w="0" w:type="dxa"/>
                      <w:right w:w="108" w:type="dxa"/>
                    </w:tcMar>
                    <w:vAlign w:val="center"/>
                    <w:hideMark/>
                  </w:tcPr>
                  <w:p>
                    <w:pPr>
                      <w:jc w:val="center"/>
                      <w:rPr>
                        <w:szCs w:val="24"/>
                        <w:lang w:eastAsia="lt-LT"/>
                      </w:rPr>
                    </w:pPr>
                    <w:r>
                      <w:rPr>
                        <w:szCs w:val="24"/>
                        <w:lang w:eastAsia="lt-LT"/>
                      </w:rPr>
                      <w:t>Pareigybė</w:t>
                    </w:r>
                  </w:p>
                </w:tc>
                <w:tc>
                  <w:tcPr>
                    <w:tcW w:w="3285" w:type="dxa"/>
                    <w:tcMar>
                      <w:top w:w="0" w:type="dxa"/>
                      <w:left w:w="108" w:type="dxa"/>
                      <w:bottom w:w="0" w:type="dxa"/>
                      <w:right w:w="108" w:type="dxa"/>
                    </w:tcMar>
                    <w:vAlign w:val="center"/>
                    <w:hideMark/>
                  </w:tcPr>
                  <w:p>
                    <w:pPr>
                      <w:jc w:val="center"/>
                      <w:rPr>
                        <w:szCs w:val="24"/>
                        <w:lang w:eastAsia="lt-LT"/>
                      </w:rPr>
                    </w:pPr>
                    <w:r>
                      <w:rPr>
                        <w:szCs w:val="24"/>
                        <w:lang w:eastAsia="lt-LT"/>
                      </w:rPr>
                      <w:t xml:space="preserve">Atlyginimo koeficientas </w:t>
                    </w:r>
                  </w:p>
                </w:tc>
              </w:tr>
              <w:tr>
                <w:tc>
                  <w:tcPr>
                    <w:tcW w:w="720" w:type="dxa"/>
                    <w:tcMar>
                      <w:top w:w="0" w:type="dxa"/>
                      <w:left w:w="108" w:type="dxa"/>
                      <w:bottom w:w="0" w:type="dxa"/>
                      <w:right w:w="108" w:type="dxa"/>
                    </w:tcMar>
                    <w:hideMark/>
                  </w:tcPr>
                  <w:p>
                    <w:pPr>
                      <w:jc w:val="center"/>
                      <w:rPr>
                        <w:szCs w:val="24"/>
                        <w:lang w:eastAsia="lt-LT"/>
                      </w:rPr>
                    </w:pPr>
                    <w:r>
                      <w:rPr>
                        <w:szCs w:val="24"/>
                        <w:lang w:eastAsia="lt-LT"/>
                      </w:rPr>
                      <w:t>1.</w:t>
                    </w:r>
                  </w:p>
                </w:tc>
                <w:tc>
                  <w:tcPr>
                    <w:tcW w:w="5741" w:type="dxa"/>
                    <w:tcMar>
                      <w:top w:w="0" w:type="dxa"/>
                      <w:left w:w="108" w:type="dxa"/>
                      <w:bottom w:w="0" w:type="dxa"/>
                      <w:right w:w="108" w:type="dxa"/>
                    </w:tcMar>
                    <w:hideMark/>
                  </w:tcPr>
                  <w:p>
                    <w:pPr>
                      <w:rPr>
                        <w:szCs w:val="24"/>
                        <w:lang w:eastAsia="lt-LT"/>
                      </w:rPr>
                    </w:pPr>
                    <w:r>
                      <w:rPr>
                        <w:szCs w:val="24"/>
                        <w:lang w:eastAsia="lt-LT"/>
                      </w:rPr>
                      <w:t>Konstitucinio Teismo pirmininkas</w:t>
                    </w:r>
                  </w:p>
                  <w:p>
                    <w:pPr>
                      <w:rPr>
                        <w:szCs w:val="24"/>
                        <w:lang w:eastAsia="lt-LT"/>
                      </w:rPr>
                    </w:pPr>
                    <w:r>
                      <w:rPr>
                        <w:szCs w:val="24"/>
                        <w:lang w:eastAsia="lt-LT"/>
                      </w:rPr>
                      <w:t>(ar pirmininką pavaduojantis Konstitucinio Teismo teisėjas)</w:t>
                    </w:r>
                  </w:p>
                </w:tc>
                <w:tc>
                  <w:tcPr>
                    <w:tcW w:w="3285" w:type="dxa"/>
                    <w:tcMar>
                      <w:top w:w="0" w:type="dxa"/>
                      <w:left w:w="108" w:type="dxa"/>
                      <w:bottom w:w="0" w:type="dxa"/>
                      <w:right w:w="108" w:type="dxa"/>
                    </w:tcMar>
                    <w:hideMark/>
                  </w:tcPr>
                  <w:p>
                    <w:pPr>
                      <w:jc w:val="center"/>
                      <w:rPr>
                        <w:szCs w:val="24"/>
                        <w:lang w:eastAsia="lt-LT"/>
                      </w:rPr>
                    </w:pPr>
                    <w:r>
                      <w:rPr>
                        <w:szCs w:val="24"/>
                        <w:lang w:eastAsia="lt-LT"/>
                      </w:rPr>
                      <w:t>32,3</w:t>
                    </w:r>
                  </w:p>
                </w:tc>
              </w:tr>
              <w:tr>
                <w:tc>
                  <w:tcPr>
                    <w:tcW w:w="720" w:type="dxa"/>
                    <w:tcMar>
                      <w:top w:w="0" w:type="dxa"/>
                      <w:left w:w="108" w:type="dxa"/>
                      <w:bottom w:w="0" w:type="dxa"/>
                      <w:right w:w="108" w:type="dxa"/>
                    </w:tcMar>
                    <w:hideMark/>
                  </w:tcPr>
                  <w:p>
                    <w:pPr>
                      <w:jc w:val="center"/>
                      <w:rPr>
                        <w:szCs w:val="24"/>
                        <w:lang w:eastAsia="lt-LT"/>
                      </w:rPr>
                    </w:pPr>
                    <w:r>
                      <w:rPr>
                        <w:szCs w:val="24"/>
                        <w:lang w:eastAsia="lt-LT"/>
                      </w:rPr>
                      <w:t>2.</w:t>
                    </w:r>
                  </w:p>
                </w:tc>
                <w:tc>
                  <w:tcPr>
                    <w:tcW w:w="5741" w:type="dxa"/>
                    <w:tcMar>
                      <w:top w:w="0" w:type="dxa"/>
                      <w:left w:w="108" w:type="dxa"/>
                      <w:bottom w:w="0" w:type="dxa"/>
                      <w:right w:w="108" w:type="dxa"/>
                    </w:tcMar>
                    <w:hideMark/>
                  </w:tcPr>
                  <w:p>
                    <w:pPr>
                      <w:rPr>
                        <w:szCs w:val="24"/>
                        <w:lang w:eastAsia="lt-LT"/>
                      </w:rPr>
                    </w:pPr>
                    <w:r>
                      <w:rPr>
                        <w:szCs w:val="24"/>
                        <w:lang w:eastAsia="lt-LT"/>
                      </w:rPr>
                      <w:t>Konstitucinio Teismo teisėjas</w:t>
                    </w:r>
                  </w:p>
                </w:tc>
                <w:tc>
                  <w:tcPr>
                    <w:tcW w:w="3285" w:type="dxa"/>
                    <w:tcMar>
                      <w:top w:w="0" w:type="dxa"/>
                      <w:left w:w="108" w:type="dxa"/>
                      <w:bottom w:w="0" w:type="dxa"/>
                      <w:right w:w="108" w:type="dxa"/>
                    </w:tcMar>
                    <w:hideMark/>
                  </w:tcPr>
                  <w:p>
                    <w:pPr>
                      <w:jc w:val="center"/>
                      <w:rPr>
                        <w:szCs w:val="24"/>
                        <w:lang w:eastAsia="lt-LT"/>
                      </w:rPr>
                    </w:pPr>
                    <w:r>
                      <w:rPr>
                        <w:szCs w:val="24"/>
                        <w:lang w:eastAsia="lt-LT"/>
                      </w:rPr>
                      <w:t>29,35</w:t>
                    </w:r>
                  </w:p>
                </w:tc>
              </w:tr>
            </w:tbl>
            <w:p>
              <w:pPr>
                <w:spacing w:line="360" w:lineRule="auto"/>
                <w:rPr>
                  <w:szCs w:val="24"/>
                  <w:lang w:eastAsia="lt-LT"/>
                </w:rPr>
              </w:pPr>
            </w:p>
            <w:p>
              <w:pPr>
                <w:spacing w:line="360" w:lineRule="auto"/>
                <w:jc w:val="center"/>
                <w:rPr>
                  <w:b/>
                  <w:bCs/>
                  <w:szCs w:val="24"/>
                  <w:lang w:eastAsia="lt-LT"/>
                </w:rPr>
              </w:pPr>
            </w:p>
            <w:p>
              <w:pPr>
                <w:spacing w:line="360" w:lineRule="auto"/>
                <w:jc w:val="center"/>
                <w:rPr>
                  <w:b/>
                  <w:bCs/>
                  <w:szCs w:val="24"/>
                  <w:lang w:eastAsia="lt-LT"/>
                </w:rPr>
              </w:pPr>
            </w:p>
          </w:sdtContent>
        </w:sdt>
        <w:sdt>
          <w:sdtPr>
            <w:alias w:val="skyrius"/>
            <w:tag w:val="part_bb6c685b09364711a75bb723e427e4ee"/>
            <w:lock w:val="sdtLocked"/>
            <w:richText/>
          </w:sdtPr>
          <w:sdtContent>
            <w:p>
              <w:pPr>
                <w:spacing w:line="360" w:lineRule="auto"/>
                <w:jc w:val="center"/>
                <w:rPr>
                  <w:b/>
                  <w:bCs/>
                  <w:szCs w:val="24"/>
                  <w:lang w:eastAsia="lt-LT"/>
                </w:rPr>
              </w:pPr>
              <w:sdt>
                <w:sdtPr>
                  <w:alias w:val="Numeris"/>
                  <w:tag w:val="nr_bb6c685b09364711a75bb723e427e4ee"/>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b/>
                  <w:bCs/>
                  <w:szCs w:val="24"/>
                  <w:lang w:eastAsia="lt-LT"/>
                </w:rPr>
              </w:pPr>
              <w:sdt>
                <w:sdtPr>
                  <w:alias w:val="Pavadinimas"/>
                  <w:tag w:val="title_bb6c685b09364711a75bb723e427e4ee"/>
                  <w:lock w:val="sdtLocked"/>
                  <w:richText/>
                </w:sdtPr>
                <w:sdtContent>
                  <w:r>
                    <w:rPr>
                      <w:b/>
                      <w:bCs/>
                      <w:szCs w:val="24"/>
                      <w:lang w:eastAsia="lt-LT"/>
                    </w:rPr>
                    <w:t>BENDROSIOS KOMPETENCIJOS IR SPECIALIZUOTŲ TEISMŲ TEISĖJŲ PAREIGINĖS ALGOS</w:t>
                  </w:r>
                  <w:r>
                    <w:rPr>
                      <w:b/>
                      <w:szCs w:val="24"/>
                      <w:lang w:eastAsia="lt-LT"/>
                    </w:rPr>
                    <w:t xml:space="preserve"> KOEFICIENTAI</w:t>
                  </w:r>
                </w:sdtContent>
              </w:sdt>
            </w:p>
            <w:p>
              <w:pPr>
                <w:jc w:val="right"/>
                <w:rPr>
                  <w:szCs w:val="24"/>
                  <w:lang w:eastAsia="lt-LT"/>
                </w:rPr>
              </w:pPr>
            </w:p>
            <w:tbl>
              <w:tblPr>
                <w:tblW w:w="923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709"/>
                <w:gridCol w:w="2297"/>
                <w:gridCol w:w="1843"/>
                <w:gridCol w:w="1701"/>
                <w:gridCol w:w="1701"/>
                <w:gridCol w:w="987"/>
              </w:tblGrid>
              <w:tr>
                <w:trPr>
                  <w:cantSplit/>
                  <w:trHeight w:val="377"/>
                  <w:tblHeader/>
                </w:trPr>
                <w:tc>
                  <w:tcPr>
                    <w:tcW w:w="709" w:type="dxa"/>
                    <w:vMerge w:val="restart"/>
                    <w:tcMar>
                      <w:top w:w="0" w:type="dxa"/>
                      <w:left w:w="108" w:type="dxa"/>
                      <w:bottom w:w="0" w:type="dxa"/>
                      <w:right w:w="108" w:type="dxa"/>
                    </w:tcMar>
                    <w:vAlign w:val="center"/>
                    <w:hideMark/>
                  </w:tcPr>
                  <w:p>
                    <w:pPr>
                      <w:jc w:val="center"/>
                      <w:rPr>
                        <w:szCs w:val="24"/>
                        <w:lang w:eastAsia="lt-LT"/>
                      </w:rPr>
                    </w:pPr>
                    <w:r>
                      <w:rPr>
                        <w:szCs w:val="24"/>
                        <w:lang w:eastAsia="lt-LT"/>
                      </w:rPr>
                      <w:t>Eil.</w:t>
                    </w:r>
                  </w:p>
                  <w:p>
                    <w:pPr>
                      <w:jc w:val="center"/>
                      <w:rPr>
                        <w:szCs w:val="24"/>
                        <w:lang w:eastAsia="lt-LT"/>
                      </w:rPr>
                    </w:pPr>
                    <w:r>
                      <w:rPr>
                        <w:szCs w:val="24"/>
                        <w:lang w:eastAsia="lt-LT"/>
                      </w:rPr>
                      <w:t>Nr.</w:t>
                    </w:r>
                  </w:p>
                </w:tc>
                <w:tc>
                  <w:tcPr>
                    <w:tcW w:w="2297" w:type="dxa"/>
                    <w:vMerge w:val="restart"/>
                    <w:tcMar>
                      <w:top w:w="0" w:type="dxa"/>
                      <w:left w:w="108" w:type="dxa"/>
                      <w:bottom w:w="0" w:type="dxa"/>
                      <w:right w:w="108" w:type="dxa"/>
                    </w:tcMar>
                    <w:vAlign w:val="center"/>
                    <w:hideMark/>
                  </w:tcPr>
                  <w:p>
                    <w:pPr>
                      <w:jc w:val="center"/>
                      <w:rPr>
                        <w:szCs w:val="24"/>
                        <w:lang w:eastAsia="lt-LT"/>
                      </w:rPr>
                    </w:pPr>
                    <w:r>
                      <w:rPr>
                        <w:szCs w:val="24"/>
                        <w:lang w:eastAsia="lt-LT"/>
                      </w:rPr>
                      <w:t>Teismo pavadinimas</w:t>
                    </w:r>
                  </w:p>
                </w:tc>
                <w:tc>
                  <w:tcPr>
                    <w:tcW w:w="6232" w:type="dxa"/>
                    <w:gridSpan w:val="4"/>
                    <w:tcMar>
                      <w:top w:w="0" w:type="dxa"/>
                      <w:left w:w="108" w:type="dxa"/>
                      <w:bottom w:w="0" w:type="dxa"/>
                      <w:right w:w="108" w:type="dxa"/>
                    </w:tcMar>
                    <w:vAlign w:val="center"/>
                    <w:hideMark/>
                  </w:tcPr>
                  <w:p>
                    <w:pPr>
                      <w:jc w:val="center"/>
                      <w:rPr>
                        <w:szCs w:val="24"/>
                        <w:lang w:eastAsia="lt-LT"/>
                      </w:rPr>
                    </w:pPr>
                    <w:r>
                      <w:rPr>
                        <w:szCs w:val="24"/>
                        <w:lang w:eastAsia="lt-LT"/>
                      </w:rPr>
                      <w:t xml:space="preserve">Pareiginės algos koeficientas </w:t>
                    </w:r>
                  </w:p>
                </w:tc>
              </w:tr>
              <w:tr>
                <w:trPr>
                  <w:cantSplit/>
                  <w:tblHeader/>
                </w:trPr>
                <w:tc>
                  <w:tcPr>
                    <w:tcW w:w="709" w:type="dxa"/>
                    <w:vMerge/>
                    <w:vAlign w:val="center"/>
                    <w:hideMark/>
                  </w:tcPr>
                  <w:p>
                    <w:pPr>
                      <w:rPr>
                        <w:szCs w:val="24"/>
                        <w:lang w:eastAsia="lt-LT"/>
                      </w:rPr>
                    </w:pPr>
                  </w:p>
                </w:tc>
                <w:tc>
                  <w:tcPr>
                    <w:tcW w:w="2297" w:type="dxa"/>
                    <w:vMerge/>
                    <w:vAlign w:val="center"/>
                    <w:hideMark/>
                  </w:tcPr>
                  <w:p>
                    <w:pPr>
                      <w:rPr>
                        <w:szCs w:val="24"/>
                        <w:lang w:eastAsia="lt-LT"/>
                      </w:rPr>
                    </w:pPr>
                  </w:p>
                </w:tc>
                <w:tc>
                  <w:tcPr>
                    <w:tcW w:w="1843" w:type="dxa"/>
                    <w:tcMar>
                      <w:top w:w="0" w:type="dxa"/>
                      <w:left w:w="108" w:type="dxa"/>
                      <w:bottom w:w="0" w:type="dxa"/>
                      <w:right w:w="108" w:type="dxa"/>
                    </w:tcMar>
                    <w:vAlign w:val="center"/>
                    <w:hideMark/>
                  </w:tcPr>
                  <w:p>
                    <w:pPr>
                      <w:jc w:val="center"/>
                      <w:rPr>
                        <w:szCs w:val="24"/>
                        <w:lang w:eastAsia="lt-LT"/>
                      </w:rPr>
                    </w:pPr>
                    <w:r>
                      <w:rPr>
                        <w:szCs w:val="24"/>
                        <w:lang w:eastAsia="lt-LT"/>
                      </w:rPr>
                      <w:t xml:space="preserve">pirmininko ar pirmininką pavaduojančio teisėjo </w:t>
                    </w:r>
                  </w:p>
                  <w:p>
                    <w:pPr>
                      <w:jc w:val="center"/>
                      <w:rPr>
                        <w:szCs w:val="24"/>
                        <w:lang w:eastAsia="lt-LT"/>
                      </w:rPr>
                    </w:pPr>
                    <w:r>
                      <w:rPr>
                        <w:szCs w:val="24"/>
                        <w:lang w:eastAsia="lt-LT"/>
                      </w:rPr>
                      <w:t>(kai nėra pirmininko pavaduotojo pareigybės)</w:t>
                    </w:r>
                  </w:p>
                </w:tc>
                <w:tc>
                  <w:tcPr>
                    <w:tcW w:w="1701" w:type="dxa"/>
                    <w:tcMar>
                      <w:top w:w="0" w:type="dxa"/>
                      <w:left w:w="108" w:type="dxa"/>
                      <w:bottom w:w="0" w:type="dxa"/>
                      <w:right w:w="108" w:type="dxa"/>
                    </w:tcMar>
                    <w:vAlign w:val="center"/>
                    <w:hideMark/>
                  </w:tcPr>
                  <w:p>
                    <w:pPr>
                      <w:jc w:val="center"/>
                      <w:rPr>
                        <w:szCs w:val="24"/>
                        <w:lang w:eastAsia="lt-LT"/>
                      </w:rPr>
                    </w:pPr>
                    <w:r>
                      <w:rPr>
                        <w:szCs w:val="24"/>
                        <w:lang w:eastAsia="lt-LT"/>
                      </w:rPr>
                      <w:t>pirmininko pavaduotojo ar jį pavaduojančio teisėjo</w:t>
                    </w:r>
                  </w:p>
                  <w:p>
                    <w:pPr>
                      <w:jc w:val="center"/>
                      <w:rPr>
                        <w:szCs w:val="24"/>
                        <w:lang w:eastAsia="lt-LT"/>
                      </w:rPr>
                    </w:pPr>
                  </w:p>
                </w:tc>
                <w:tc>
                  <w:tcPr>
                    <w:tcW w:w="1701" w:type="dxa"/>
                    <w:tcMar>
                      <w:top w:w="0" w:type="dxa"/>
                      <w:left w:w="108" w:type="dxa"/>
                      <w:bottom w:w="0" w:type="dxa"/>
                      <w:right w:w="108" w:type="dxa"/>
                    </w:tcMar>
                    <w:vAlign w:val="center"/>
                    <w:hideMark/>
                  </w:tcPr>
                  <w:p>
                    <w:pPr>
                      <w:jc w:val="center"/>
                      <w:rPr>
                        <w:szCs w:val="24"/>
                        <w:lang w:eastAsia="lt-LT"/>
                      </w:rPr>
                    </w:pPr>
                    <w:r>
                      <w:rPr>
                        <w:szCs w:val="24"/>
                        <w:lang w:eastAsia="lt-LT"/>
                      </w:rPr>
                      <w:t>skyriaus pirmininko</w:t>
                    </w:r>
                  </w:p>
                  <w:p>
                    <w:pPr>
                      <w:jc w:val="center"/>
                      <w:rPr>
                        <w:szCs w:val="24"/>
                        <w:lang w:eastAsia="lt-LT"/>
                      </w:rPr>
                    </w:pPr>
                    <w:r>
                      <w:rPr>
                        <w:szCs w:val="24"/>
                        <w:lang w:eastAsia="lt-LT"/>
                      </w:rPr>
                      <w:t>ar jį pavaduojančio teisėjo</w:t>
                    </w:r>
                  </w:p>
                  <w:p>
                    <w:pPr>
                      <w:jc w:val="center"/>
                      <w:rPr>
                        <w:szCs w:val="24"/>
                        <w:lang w:eastAsia="lt-LT"/>
                      </w:rPr>
                    </w:pPr>
                  </w:p>
                </w:tc>
                <w:tc>
                  <w:tcPr>
                    <w:tcW w:w="987" w:type="dxa"/>
                    <w:tcMar>
                      <w:top w:w="0" w:type="dxa"/>
                      <w:left w:w="108" w:type="dxa"/>
                      <w:bottom w:w="0" w:type="dxa"/>
                      <w:right w:w="108" w:type="dxa"/>
                    </w:tcMar>
                    <w:vAlign w:val="center"/>
                    <w:hideMark/>
                  </w:tcPr>
                  <w:p>
                    <w:pPr>
                      <w:jc w:val="center"/>
                      <w:rPr>
                        <w:szCs w:val="24"/>
                        <w:lang w:eastAsia="lt-LT"/>
                      </w:rPr>
                    </w:pPr>
                    <w:r>
                      <w:rPr>
                        <w:szCs w:val="24"/>
                        <w:lang w:eastAsia="lt-LT"/>
                      </w:rPr>
                      <w:t>teisėjo</w:t>
                    </w:r>
                  </w:p>
                </w:tc>
              </w:tr>
              <w:tr>
                <w:tc>
                  <w:tcPr>
                    <w:tcW w:w="709" w:type="dxa"/>
                    <w:tcMar>
                      <w:top w:w="0" w:type="dxa"/>
                      <w:left w:w="108" w:type="dxa"/>
                      <w:bottom w:w="0" w:type="dxa"/>
                      <w:right w:w="108" w:type="dxa"/>
                    </w:tcMar>
                    <w:hideMark/>
                  </w:tcPr>
                  <w:p>
                    <w:pPr>
                      <w:jc w:val="center"/>
                      <w:rPr>
                        <w:szCs w:val="24"/>
                        <w:lang w:eastAsia="lt-LT"/>
                      </w:rPr>
                    </w:pPr>
                    <w:r>
                      <w:rPr>
                        <w:szCs w:val="24"/>
                        <w:lang w:eastAsia="lt-LT"/>
                      </w:rPr>
                      <w:t>1.</w:t>
                    </w:r>
                  </w:p>
                </w:tc>
                <w:tc>
                  <w:tcPr>
                    <w:tcW w:w="2297" w:type="dxa"/>
                    <w:tcMar>
                      <w:top w:w="0" w:type="dxa"/>
                      <w:left w:w="108" w:type="dxa"/>
                      <w:bottom w:w="0" w:type="dxa"/>
                      <w:right w:w="108" w:type="dxa"/>
                    </w:tcMar>
                    <w:hideMark/>
                  </w:tcPr>
                  <w:p>
                    <w:pPr>
                      <w:rPr>
                        <w:szCs w:val="24"/>
                        <w:lang w:eastAsia="lt-LT"/>
                      </w:rPr>
                    </w:pPr>
                    <w:r>
                      <w:rPr>
                        <w:szCs w:val="24"/>
                        <w:lang w:eastAsia="lt-LT"/>
                      </w:rPr>
                      <w:t>Lietuvos Aukščiausiasis Teismas</w:t>
                    </w:r>
                  </w:p>
                </w:tc>
                <w:tc>
                  <w:tcPr>
                    <w:tcW w:w="1843" w:type="dxa"/>
                    <w:tcMar>
                      <w:top w:w="0" w:type="dxa"/>
                      <w:left w:w="108" w:type="dxa"/>
                      <w:bottom w:w="0" w:type="dxa"/>
                      <w:right w:w="108" w:type="dxa"/>
                    </w:tcMar>
                    <w:vAlign w:val="center"/>
                    <w:hideMark/>
                  </w:tcPr>
                  <w:p>
                    <w:pPr>
                      <w:jc w:val="center"/>
                      <w:rPr>
                        <w:szCs w:val="24"/>
                        <w:lang w:eastAsia="lt-LT"/>
                      </w:rPr>
                    </w:pPr>
                    <w:r>
                      <w:rPr>
                        <w:szCs w:val="24"/>
                        <w:lang w:eastAsia="lt-LT"/>
                      </w:rPr>
                      <w:t>21,7</w:t>
                    </w:r>
                  </w:p>
                </w:tc>
                <w:tc>
                  <w:tcPr>
                    <w:tcW w:w="1701" w:type="dxa"/>
                    <w:tcMar>
                      <w:top w:w="0" w:type="dxa"/>
                      <w:left w:w="108" w:type="dxa"/>
                      <w:bottom w:w="0" w:type="dxa"/>
                      <w:right w:w="108" w:type="dxa"/>
                    </w:tcMar>
                    <w:vAlign w:val="center"/>
                    <w:hideMark/>
                  </w:tcPr>
                  <w:p>
                    <w:pPr>
                      <w:jc w:val="center"/>
                      <w:rPr>
                        <w:szCs w:val="24"/>
                        <w:lang w:eastAsia="lt-LT"/>
                      </w:rPr>
                    </w:pPr>
                    <w:r>
                      <w:rPr>
                        <w:szCs w:val="24"/>
                        <w:lang w:eastAsia="lt-LT"/>
                      </w:rPr>
                      <w:t>–</w:t>
                    </w:r>
                  </w:p>
                </w:tc>
                <w:tc>
                  <w:tcPr>
                    <w:tcW w:w="1701" w:type="dxa"/>
                    <w:tcMar>
                      <w:top w:w="0" w:type="dxa"/>
                      <w:left w:w="108" w:type="dxa"/>
                      <w:bottom w:w="0" w:type="dxa"/>
                      <w:right w:w="108" w:type="dxa"/>
                    </w:tcMar>
                    <w:vAlign w:val="center"/>
                    <w:hideMark/>
                  </w:tcPr>
                  <w:p>
                    <w:pPr>
                      <w:jc w:val="center"/>
                      <w:rPr>
                        <w:szCs w:val="24"/>
                        <w:lang w:eastAsia="lt-LT"/>
                      </w:rPr>
                    </w:pPr>
                    <w:r>
                      <w:rPr>
                        <w:szCs w:val="24"/>
                        <w:lang w:eastAsia="lt-LT"/>
                      </w:rPr>
                      <w:t>20,2</w:t>
                    </w:r>
                  </w:p>
                </w:tc>
                <w:tc>
                  <w:tcPr>
                    <w:tcW w:w="987" w:type="dxa"/>
                    <w:tcMar>
                      <w:top w:w="0" w:type="dxa"/>
                      <w:left w:w="108" w:type="dxa"/>
                      <w:bottom w:w="0" w:type="dxa"/>
                      <w:right w:w="108" w:type="dxa"/>
                    </w:tcMar>
                    <w:vAlign w:val="center"/>
                    <w:hideMark/>
                  </w:tcPr>
                  <w:p>
                    <w:pPr>
                      <w:jc w:val="center"/>
                      <w:rPr>
                        <w:szCs w:val="24"/>
                        <w:lang w:eastAsia="lt-LT"/>
                      </w:rPr>
                    </w:pPr>
                    <w:r>
                      <w:rPr>
                        <w:szCs w:val="24"/>
                        <w:lang w:eastAsia="lt-LT"/>
                      </w:rPr>
                      <w:t>19,2</w:t>
                    </w:r>
                  </w:p>
                </w:tc>
              </w:tr>
              <w:tr>
                <w:tc>
                  <w:tcPr>
                    <w:tcW w:w="709" w:type="dxa"/>
                    <w:tcMar>
                      <w:top w:w="0" w:type="dxa"/>
                      <w:left w:w="108" w:type="dxa"/>
                      <w:bottom w:w="0" w:type="dxa"/>
                      <w:right w:w="108" w:type="dxa"/>
                    </w:tcMar>
                    <w:hideMark/>
                  </w:tcPr>
                  <w:p>
                    <w:pPr>
                      <w:jc w:val="center"/>
                      <w:rPr>
                        <w:szCs w:val="24"/>
                        <w:lang w:eastAsia="lt-LT"/>
                      </w:rPr>
                    </w:pPr>
                    <w:r>
                      <w:rPr>
                        <w:szCs w:val="24"/>
                        <w:lang w:eastAsia="lt-LT"/>
                      </w:rPr>
                      <w:t>2.</w:t>
                    </w:r>
                  </w:p>
                </w:tc>
                <w:tc>
                  <w:tcPr>
                    <w:tcW w:w="2297" w:type="dxa"/>
                    <w:tcMar>
                      <w:top w:w="0" w:type="dxa"/>
                      <w:left w:w="108" w:type="dxa"/>
                      <w:bottom w:w="0" w:type="dxa"/>
                      <w:right w:w="108" w:type="dxa"/>
                    </w:tcMar>
                    <w:hideMark/>
                  </w:tcPr>
                  <w:p>
                    <w:pPr>
                      <w:rPr>
                        <w:szCs w:val="24"/>
                        <w:lang w:eastAsia="lt-LT"/>
                      </w:rPr>
                    </w:pPr>
                    <w:r>
                      <w:rPr>
                        <w:szCs w:val="24"/>
                        <w:lang w:eastAsia="lt-LT"/>
                      </w:rPr>
                      <w:t>Lietuvos vyriausiasis administracinis teismas</w:t>
                    </w:r>
                  </w:p>
                </w:tc>
                <w:tc>
                  <w:tcPr>
                    <w:tcW w:w="1843" w:type="dxa"/>
                    <w:tcMar>
                      <w:top w:w="0" w:type="dxa"/>
                      <w:left w:w="108" w:type="dxa"/>
                      <w:bottom w:w="0" w:type="dxa"/>
                      <w:right w:w="108" w:type="dxa"/>
                    </w:tcMar>
                    <w:vAlign w:val="center"/>
                    <w:hideMark/>
                  </w:tcPr>
                  <w:p>
                    <w:pPr>
                      <w:jc w:val="center"/>
                      <w:rPr>
                        <w:szCs w:val="24"/>
                        <w:lang w:eastAsia="lt-LT"/>
                      </w:rPr>
                    </w:pPr>
                    <w:r>
                      <w:rPr>
                        <w:szCs w:val="24"/>
                        <w:lang w:eastAsia="lt-LT"/>
                      </w:rPr>
                      <w:t>20,9</w:t>
                    </w:r>
                  </w:p>
                </w:tc>
                <w:tc>
                  <w:tcPr>
                    <w:tcW w:w="1701" w:type="dxa"/>
                    <w:tcMar>
                      <w:top w:w="0" w:type="dxa"/>
                      <w:left w:w="108" w:type="dxa"/>
                      <w:bottom w:w="0" w:type="dxa"/>
                      <w:right w:w="108" w:type="dxa"/>
                    </w:tcMar>
                    <w:vAlign w:val="center"/>
                    <w:hideMark/>
                  </w:tcPr>
                  <w:p>
                    <w:pPr>
                      <w:jc w:val="center"/>
                      <w:rPr>
                        <w:szCs w:val="24"/>
                        <w:lang w:eastAsia="lt-LT"/>
                      </w:rPr>
                    </w:pPr>
                    <w:r>
                      <w:rPr>
                        <w:szCs w:val="24"/>
                        <w:lang w:eastAsia="lt-LT"/>
                      </w:rPr>
                      <w:t>19,7</w:t>
                    </w:r>
                  </w:p>
                </w:tc>
                <w:tc>
                  <w:tcPr>
                    <w:tcW w:w="1701" w:type="dxa"/>
                    <w:tcMar>
                      <w:top w:w="0" w:type="dxa"/>
                      <w:left w:w="108" w:type="dxa"/>
                      <w:bottom w:w="0" w:type="dxa"/>
                      <w:right w:w="108" w:type="dxa"/>
                    </w:tcMar>
                    <w:vAlign w:val="center"/>
                    <w:hideMark/>
                  </w:tcPr>
                  <w:p>
                    <w:pPr>
                      <w:jc w:val="center"/>
                      <w:rPr>
                        <w:szCs w:val="24"/>
                        <w:lang w:eastAsia="lt-LT"/>
                      </w:rPr>
                    </w:pPr>
                    <w:r>
                      <w:rPr>
                        <w:szCs w:val="24"/>
                        <w:lang w:eastAsia="lt-LT"/>
                      </w:rPr>
                      <w:t>–</w:t>
                    </w:r>
                  </w:p>
                </w:tc>
                <w:tc>
                  <w:tcPr>
                    <w:tcW w:w="987" w:type="dxa"/>
                    <w:tcMar>
                      <w:top w:w="0" w:type="dxa"/>
                      <w:left w:w="108" w:type="dxa"/>
                      <w:bottom w:w="0" w:type="dxa"/>
                      <w:right w:w="108" w:type="dxa"/>
                    </w:tcMar>
                    <w:vAlign w:val="center"/>
                    <w:hideMark/>
                  </w:tcPr>
                  <w:p>
                    <w:pPr>
                      <w:jc w:val="center"/>
                      <w:rPr>
                        <w:szCs w:val="24"/>
                        <w:lang w:eastAsia="lt-LT"/>
                      </w:rPr>
                    </w:pPr>
                    <w:r>
                      <w:rPr>
                        <w:szCs w:val="24"/>
                        <w:lang w:eastAsia="lt-LT"/>
                      </w:rPr>
                      <w:t>18,7</w:t>
                    </w:r>
                  </w:p>
                </w:tc>
              </w:tr>
              <w:tr>
                <w:tc>
                  <w:tcPr>
                    <w:tcW w:w="709" w:type="dxa"/>
                    <w:tcMar>
                      <w:top w:w="0" w:type="dxa"/>
                      <w:left w:w="108" w:type="dxa"/>
                      <w:bottom w:w="0" w:type="dxa"/>
                      <w:right w:w="108" w:type="dxa"/>
                    </w:tcMar>
                    <w:hideMark/>
                  </w:tcPr>
                  <w:p>
                    <w:pPr>
                      <w:jc w:val="center"/>
                      <w:rPr>
                        <w:szCs w:val="24"/>
                        <w:lang w:eastAsia="lt-LT"/>
                      </w:rPr>
                    </w:pPr>
                    <w:r>
                      <w:rPr>
                        <w:szCs w:val="24"/>
                        <w:lang w:eastAsia="lt-LT"/>
                      </w:rPr>
                      <w:t>3.</w:t>
                    </w:r>
                  </w:p>
                </w:tc>
                <w:tc>
                  <w:tcPr>
                    <w:tcW w:w="2297" w:type="dxa"/>
                    <w:tcMar>
                      <w:top w:w="0" w:type="dxa"/>
                      <w:left w:w="108" w:type="dxa"/>
                      <w:bottom w:w="0" w:type="dxa"/>
                      <w:right w:w="108" w:type="dxa"/>
                    </w:tcMar>
                    <w:hideMark/>
                  </w:tcPr>
                  <w:p>
                    <w:pPr>
                      <w:rPr>
                        <w:szCs w:val="24"/>
                        <w:lang w:eastAsia="lt-LT"/>
                      </w:rPr>
                    </w:pPr>
                    <w:r>
                      <w:rPr>
                        <w:szCs w:val="24"/>
                        <w:lang w:eastAsia="lt-LT"/>
                      </w:rPr>
                      <w:t>Lietuvos apeliacinis teismas</w:t>
                    </w:r>
                  </w:p>
                </w:tc>
                <w:tc>
                  <w:tcPr>
                    <w:tcW w:w="1843" w:type="dxa"/>
                    <w:tcMar>
                      <w:top w:w="0" w:type="dxa"/>
                      <w:left w:w="108" w:type="dxa"/>
                      <w:bottom w:w="0" w:type="dxa"/>
                      <w:right w:w="108" w:type="dxa"/>
                    </w:tcMar>
                    <w:vAlign w:val="center"/>
                    <w:hideMark/>
                  </w:tcPr>
                  <w:p>
                    <w:pPr>
                      <w:jc w:val="center"/>
                      <w:rPr>
                        <w:szCs w:val="24"/>
                        <w:lang w:eastAsia="lt-LT"/>
                      </w:rPr>
                    </w:pPr>
                    <w:r>
                      <w:rPr>
                        <w:szCs w:val="24"/>
                        <w:lang w:eastAsia="lt-LT"/>
                      </w:rPr>
                      <w:t>20,2</w:t>
                    </w:r>
                  </w:p>
                </w:tc>
                <w:tc>
                  <w:tcPr>
                    <w:tcW w:w="1701" w:type="dxa"/>
                    <w:tcMar>
                      <w:top w:w="0" w:type="dxa"/>
                      <w:left w:w="108" w:type="dxa"/>
                      <w:bottom w:w="0" w:type="dxa"/>
                      <w:right w:w="108" w:type="dxa"/>
                    </w:tcMar>
                    <w:vAlign w:val="center"/>
                    <w:hideMark/>
                  </w:tcPr>
                  <w:p>
                    <w:pPr>
                      <w:jc w:val="center"/>
                      <w:rPr>
                        <w:szCs w:val="24"/>
                        <w:lang w:eastAsia="lt-LT"/>
                      </w:rPr>
                    </w:pPr>
                    <w:r>
                      <w:rPr>
                        <w:szCs w:val="24"/>
                        <w:lang w:eastAsia="lt-LT"/>
                      </w:rPr>
                      <w:t>–</w:t>
                    </w:r>
                  </w:p>
                </w:tc>
                <w:tc>
                  <w:tcPr>
                    <w:tcW w:w="1701" w:type="dxa"/>
                    <w:tcMar>
                      <w:top w:w="0" w:type="dxa"/>
                      <w:left w:w="108" w:type="dxa"/>
                      <w:bottom w:w="0" w:type="dxa"/>
                      <w:right w:w="108" w:type="dxa"/>
                    </w:tcMar>
                    <w:vAlign w:val="center"/>
                    <w:hideMark/>
                  </w:tcPr>
                  <w:p>
                    <w:pPr>
                      <w:jc w:val="center"/>
                      <w:rPr>
                        <w:szCs w:val="24"/>
                        <w:lang w:eastAsia="lt-LT"/>
                      </w:rPr>
                    </w:pPr>
                    <w:r>
                      <w:rPr>
                        <w:szCs w:val="24"/>
                        <w:lang w:eastAsia="lt-LT"/>
                      </w:rPr>
                      <w:t>19,2</w:t>
                    </w:r>
                  </w:p>
                </w:tc>
                <w:tc>
                  <w:tcPr>
                    <w:tcW w:w="987" w:type="dxa"/>
                    <w:tcMar>
                      <w:top w:w="0" w:type="dxa"/>
                      <w:left w:w="108" w:type="dxa"/>
                      <w:bottom w:w="0" w:type="dxa"/>
                      <w:right w:w="108" w:type="dxa"/>
                    </w:tcMar>
                    <w:vAlign w:val="center"/>
                    <w:hideMark/>
                  </w:tcPr>
                  <w:p>
                    <w:pPr>
                      <w:jc w:val="center"/>
                      <w:rPr>
                        <w:szCs w:val="24"/>
                        <w:lang w:eastAsia="lt-LT"/>
                      </w:rPr>
                    </w:pPr>
                    <w:r>
                      <w:rPr>
                        <w:szCs w:val="24"/>
                        <w:lang w:eastAsia="lt-LT"/>
                      </w:rPr>
                      <w:t>18,2</w:t>
                    </w:r>
                  </w:p>
                </w:tc>
              </w:tr>
              <w:tr>
                <w:tc>
                  <w:tcPr>
                    <w:tcW w:w="709" w:type="dxa"/>
                    <w:tcMar>
                      <w:top w:w="0" w:type="dxa"/>
                      <w:left w:w="108" w:type="dxa"/>
                      <w:bottom w:w="0" w:type="dxa"/>
                      <w:right w:w="108" w:type="dxa"/>
                    </w:tcMar>
                    <w:hideMark/>
                  </w:tcPr>
                  <w:p>
                    <w:pPr>
                      <w:jc w:val="center"/>
                      <w:rPr>
                        <w:szCs w:val="24"/>
                        <w:lang w:eastAsia="lt-LT"/>
                      </w:rPr>
                    </w:pPr>
                    <w:r>
                      <w:rPr>
                        <w:szCs w:val="24"/>
                        <w:lang w:eastAsia="lt-LT"/>
                      </w:rPr>
                      <w:t>4.</w:t>
                    </w:r>
                  </w:p>
                </w:tc>
                <w:tc>
                  <w:tcPr>
                    <w:tcW w:w="2297" w:type="dxa"/>
                    <w:tcMar>
                      <w:top w:w="0" w:type="dxa"/>
                      <w:left w:w="108" w:type="dxa"/>
                      <w:bottom w:w="0" w:type="dxa"/>
                      <w:right w:w="108" w:type="dxa"/>
                    </w:tcMar>
                    <w:hideMark/>
                  </w:tcPr>
                  <w:p>
                    <w:pPr>
                      <w:rPr>
                        <w:szCs w:val="24"/>
                        <w:lang w:eastAsia="lt-LT"/>
                      </w:rPr>
                    </w:pPr>
                    <w:r>
                      <w:rPr>
                        <w:szCs w:val="24"/>
                        <w:lang w:eastAsia="lt-LT"/>
                      </w:rPr>
                      <w:t>Apygardos teismas</w:t>
                    </w:r>
                  </w:p>
                </w:tc>
                <w:tc>
                  <w:tcPr>
                    <w:tcW w:w="1843" w:type="dxa"/>
                    <w:tcMar>
                      <w:top w:w="0" w:type="dxa"/>
                      <w:left w:w="108" w:type="dxa"/>
                      <w:bottom w:w="0" w:type="dxa"/>
                      <w:right w:w="108" w:type="dxa"/>
                    </w:tcMar>
                    <w:vAlign w:val="center"/>
                    <w:hideMark/>
                  </w:tcPr>
                  <w:p>
                    <w:pPr>
                      <w:jc w:val="center"/>
                      <w:rPr>
                        <w:szCs w:val="24"/>
                        <w:lang w:eastAsia="lt-LT"/>
                      </w:rPr>
                    </w:pPr>
                    <w:r>
                      <w:rPr>
                        <w:szCs w:val="24"/>
                        <w:lang w:eastAsia="lt-LT"/>
                      </w:rPr>
                      <w:t>19,2</w:t>
                    </w:r>
                  </w:p>
                </w:tc>
                <w:tc>
                  <w:tcPr>
                    <w:tcW w:w="1701" w:type="dxa"/>
                    <w:tcMar>
                      <w:top w:w="0" w:type="dxa"/>
                      <w:left w:w="108" w:type="dxa"/>
                      <w:bottom w:w="0" w:type="dxa"/>
                      <w:right w:w="108" w:type="dxa"/>
                    </w:tcMar>
                    <w:vAlign w:val="center"/>
                    <w:hideMark/>
                  </w:tcPr>
                  <w:p>
                    <w:pPr>
                      <w:jc w:val="center"/>
                      <w:rPr>
                        <w:szCs w:val="24"/>
                        <w:lang w:eastAsia="lt-LT"/>
                      </w:rPr>
                    </w:pPr>
                    <w:r>
                      <w:rPr>
                        <w:szCs w:val="24"/>
                        <w:lang w:eastAsia="lt-LT"/>
                      </w:rPr>
                      <w:t>–</w:t>
                    </w:r>
                  </w:p>
                </w:tc>
                <w:tc>
                  <w:tcPr>
                    <w:tcW w:w="1701" w:type="dxa"/>
                    <w:tcMar>
                      <w:top w:w="0" w:type="dxa"/>
                      <w:left w:w="108" w:type="dxa"/>
                      <w:bottom w:w="0" w:type="dxa"/>
                      <w:right w:w="108" w:type="dxa"/>
                    </w:tcMar>
                    <w:vAlign w:val="center"/>
                    <w:hideMark/>
                  </w:tcPr>
                  <w:p>
                    <w:pPr>
                      <w:jc w:val="center"/>
                      <w:rPr>
                        <w:szCs w:val="24"/>
                        <w:lang w:eastAsia="lt-LT"/>
                      </w:rPr>
                    </w:pPr>
                    <w:r>
                      <w:rPr>
                        <w:szCs w:val="24"/>
                        <w:lang w:eastAsia="lt-LT"/>
                      </w:rPr>
                      <w:t>18,2</w:t>
                    </w:r>
                  </w:p>
                </w:tc>
                <w:tc>
                  <w:tcPr>
                    <w:tcW w:w="987" w:type="dxa"/>
                    <w:tcMar>
                      <w:top w:w="0" w:type="dxa"/>
                      <w:left w:w="108" w:type="dxa"/>
                      <w:bottom w:w="0" w:type="dxa"/>
                      <w:right w:w="108" w:type="dxa"/>
                    </w:tcMar>
                    <w:vAlign w:val="center"/>
                    <w:hideMark/>
                  </w:tcPr>
                  <w:p>
                    <w:pPr>
                      <w:jc w:val="center"/>
                      <w:rPr>
                        <w:szCs w:val="24"/>
                        <w:lang w:eastAsia="lt-LT"/>
                      </w:rPr>
                    </w:pPr>
                    <w:r>
                      <w:rPr>
                        <w:szCs w:val="24"/>
                        <w:lang w:eastAsia="lt-LT"/>
                      </w:rPr>
                      <w:t>17,2</w:t>
                    </w:r>
                  </w:p>
                </w:tc>
              </w:tr>
              <w:tr>
                <w:tc>
                  <w:tcPr>
                    <w:tcW w:w="709" w:type="dxa"/>
                    <w:tcMar>
                      <w:top w:w="0" w:type="dxa"/>
                      <w:left w:w="108" w:type="dxa"/>
                      <w:bottom w:w="0" w:type="dxa"/>
                      <w:right w:w="108" w:type="dxa"/>
                    </w:tcMar>
                    <w:hideMark/>
                  </w:tcPr>
                  <w:p>
                    <w:pPr>
                      <w:jc w:val="center"/>
                      <w:rPr>
                        <w:szCs w:val="24"/>
                        <w:lang w:eastAsia="lt-LT"/>
                      </w:rPr>
                    </w:pPr>
                    <w:r>
                      <w:rPr>
                        <w:szCs w:val="24"/>
                        <w:lang w:eastAsia="lt-LT"/>
                      </w:rPr>
                      <w:t>5.</w:t>
                    </w:r>
                  </w:p>
                </w:tc>
                <w:tc>
                  <w:tcPr>
                    <w:tcW w:w="2297" w:type="dxa"/>
                    <w:tcMar>
                      <w:top w:w="0" w:type="dxa"/>
                      <w:left w:w="108" w:type="dxa"/>
                      <w:bottom w:w="0" w:type="dxa"/>
                      <w:right w:w="108" w:type="dxa"/>
                    </w:tcMar>
                    <w:hideMark/>
                  </w:tcPr>
                  <w:p>
                    <w:pPr>
                      <w:rPr>
                        <w:szCs w:val="24"/>
                        <w:lang w:eastAsia="lt-LT"/>
                      </w:rPr>
                    </w:pPr>
                    <w:r>
                      <w:rPr>
                        <w:szCs w:val="24"/>
                        <w:lang w:eastAsia="lt-LT"/>
                      </w:rPr>
                      <w:t>Apygardos administracinis teismas</w:t>
                    </w:r>
                  </w:p>
                </w:tc>
                <w:tc>
                  <w:tcPr>
                    <w:tcW w:w="1843" w:type="dxa"/>
                    <w:tcMar>
                      <w:top w:w="0" w:type="dxa"/>
                      <w:left w:w="108" w:type="dxa"/>
                      <w:bottom w:w="0" w:type="dxa"/>
                      <w:right w:w="108" w:type="dxa"/>
                    </w:tcMar>
                    <w:vAlign w:val="center"/>
                    <w:hideMark/>
                  </w:tcPr>
                  <w:p>
                    <w:pPr>
                      <w:jc w:val="center"/>
                      <w:rPr>
                        <w:szCs w:val="24"/>
                        <w:lang w:eastAsia="lt-LT"/>
                      </w:rPr>
                    </w:pPr>
                    <w:r>
                      <w:rPr>
                        <w:szCs w:val="24"/>
                        <w:lang w:eastAsia="lt-LT"/>
                      </w:rPr>
                      <w:t>19,2</w:t>
                    </w:r>
                  </w:p>
                </w:tc>
                <w:tc>
                  <w:tcPr>
                    <w:tcW w:w="1701" w:type="dxa"/>
                    <w:tcMar>
                      <w:top w:w="0" w:type="dxa"/>
                      <w:left w:w="108" w:type="dxa"/>
                      <w:bottom w:w="0" w:type="dxa"/>
                      <w:right w:w="108" w:type="dxa"/>
                    </w:tcMar>
                    <w:vAlign w:val="center"/>
                    <w:hideMark/>
                  </w:tcPr>
                  <w:p>
                    <w:pPr>
                      <w:jc w:val="center"/>
                      <w:rPr>
                        <w:szCs w:val="24"/>
                        <w:lang w:eastAsia="lt-LT"/>
                      </w:rPr>
                    </w:pPr>
                    <w:r>
                      <w:rPr>
                        <w:szCs w:val="24"/>
                        <w:lang w:eastAsia="lt-LT"/>
                      </w:rPr>
                      <w:t>18,2</w:t>
                    </w:r>
                  </w:p>
                </w:tc>
                <w:tc>
                  <w:tcPr>
                    <w:tcW w:w="1701" w:type="dxa"/>
                    <w:tcMar>
                      <w:top w:w="0" w:type="dxa"/>
                      <w:left w:w="108" w:type="dxa"/>
                      <w:bottom w:w="0" w:type="dxa"/>
                      <w:right w:w="108" w:type="dxa"/>
                    </w:tcMar>
                    <w:vAlign w:val="center"/>
                    <w:hideMark/>
                  </w:tcPr>
                  <w:p>
                    <w:pPr>
                      <w:jc w:val="center"/>
                      <w:rPr>
                        <w:szCs w:val="24"/>
                        <w:lang w:eastAsia="lt-LT"/>
                      </w:rPr>
                    </w:pPr>
                    <w:r>
                      <w:rPr>
                        <w:szCs w:val="24"/>
                        <w:lang w:eastAsia="lt-LT"/>
                      </w:rPr>
                      <w:t>–</w:t>
                    </w:r>
                  </w:p>
                </w:tc>
                <w:tc>
                  <w:tcPr>
                    <w:tcW w:w="987" w:type="dxa"/>
                    <w:tcMar>
                      <w:top w:w="0" w:type="dxa"/>
                      <w:left w:w="108" w:type="dxa"/>
                      <w:bottom w:w="0" w:type="dxa"/>
                      <w:right w:w="108" w:type="dxa"/>
                    </w:tcMar>
                    <w:vAlign w:val="center"/>
                    <w:hideMark/>
                  </w:tcPr>
                  <w:p>
                    <w:pPr>
                      <w:jc w:val="center"/>
                      <w:rPr>
                        <w:szCs w:val="24"/>
                        <w:lang w:eastAsia="lt-LT"/>
                      </w:rPr>
                    </w:pPr>
                    <w:r>
                      <w:rPr>
                        <w:szCs w:val="24"/>
                        <w:lang w:eastAsia="lt-LT"/>
                      </w:rPr>
                      <w:t>17,2</w:t>
                    </w:r>
                  </w:p>
                </w:tc>
              </w:tr>
              <w:tr>
                <w:tc>
                  <w:tcPr>
                    <w:tcW w:w="709" w:type="dxa"/>
                    <w:tcMar>
                      <w:top w:w="0" w:type="dxa"/>
                      <w:left w:w="108" w:type="dxa"/>
                      <w:bottom w:w="0" w:type="dxa"/>
                      <w:right w:w="108" w:type="dxa"/>
                    </w:tcMar>
                    <w:hideMark/>
                  </w:tcPr>
                  <w:p>
                    <w:pPr>
                      <w:jc w:val="center"/>
                      <w:rPr>
                        <w:szCs w:val="24"/>
                        <w:lang w:eastAsia="lt-LT"/>
                      </w:rPr>
                    </w:pPr>
                    <w:r>
                      <w:rPr>
                        <w:szCs w:val="24"/>
                        <w:lang w:eastAsia="lt-LT"/>
                      </w:rPr>
                      <w:t>6.</w:t>
                    </w:r>
                  </w:p>
                </w:tc>
                <w:tc>
                  <w:tcPr>
                    <w:tcW w:w="2297" w:type="dxa"/>
                    <w:tcMar>
                      <w:top w:w="0" w:type="dxa"/>
                      <w:left w:w="108" w:type="dxa"/>
                      <w:bottom w:w="0" w:type="dxa"/>
                      <w:right w:w="108" w:type="dxa"/>
                    </w:tcMar>
                    <w:hideMark/>
                  </w:tcPr>
                  <w:p>
                    <w:pPr>
                      <w:rPr>
                        <w:szCs w:val="24"/>
                        <w:lang w:eastAsia="lt-LT"/>
                      </w:rPr>
                    </w:pPr>
                    <w:r>
                      <w:rPr>
                        <w:szCs w:val="24"/>
                        <w:lang w:eastAsia="lt-LT"/>
                      </w:rPr>
                      <w:t>Apylinkės teismas</w:t>
                    </w:r>
                  </w:p>
                </w:tc>
                <w:tc>
                  <w:tcPr>
                    <w:tcW w:w="1843" w:type="dxa"/>
                    <w:tcMar>
                      <w:top w:w="0" w:type="dxa"/>
                      <w:left w:w="108" w:type="dxa"/>
                      <w:bottom w:w="0" w:type="dxa"/>
                      <w:right w:w="108" w:type="dxa"/>
                    </w:tcMar>
                    <w:vAlign w:val="center"/>
                    <w:hideMark/>
                  </w:tcPr>
                  <w:p>
                    <w:pPr>
                      <w:jc w:val="center"/>
                      <w:rPr>
                        <w:szCs w:val="24"/>
                        <w:lang w:eastAsia="lt-LT"/>
                      </w:rPr>
                    </w:pPr>
                    <w:r>
                      <w:rPr>
                        <w:szCs w:val="24"/>
                        <w:lang w:eastAsia="lt-LT"/>
                      </w:rPr>
                      <w:t>18,2</w:t>
                    </w:r>
                  </w:p>
                </w:tc>
                <w:tc>
                  <w:tcPr>
                    <w:tcW w:w="1701" w:type="dxa"/>
                    <w:tcMar>
                      <w:top w:w="0" w:type="dxa"/>
                      <w:left w:w="108" w:type="dxa"/>
                      <w:bottom w:w="0" w:type="dxa"/>
                      <w:right w:w="108" w:type="dxa"/>
                    </w:tcMar>
                    <w:vAlign w:val="center"/>
                    <w:hideMark/>
                  </w:tcPr>
                  <w:p>
                    <w:pPr>
                      <w:jc w:val="center"/>
                      <w:rPr>
                        <w:szCs w:val="24"/>
                        <w:lang w:eastAsia="lt-LT"/>
                      </w:rPr>
                    </w:pPr>
                    <w:r>
                      <w:rPr>
                        <w:szCs w:val="24"/>
                        <w:lang w:eastAsia="lt-LT"/>
                      </w:rPr>
                      <w:t>17,2</w:t>
                    </w:r>
                  </w:p>
                </w:tc>
                <w:tc>
                  <w:tcPr>
                    <w:tcW w:w="1701" w:type="dxa"/>
                    <w:tcMar>
                      <w:top w:w="0" w:type="dxa"/>
                      <w:left w:w="108" w:type="dxa"/>
                      <w:bottom w:w="0" w:type="dxa"/>
                      <w:right w:w="108" w:type="dxa"/>
                    </w:tcMar>
                    <w:vAlign w:val="center"/>
                    <w:hideMark/>
                  </w:tcPr>
                  <w:p>
                    <w:pPr>
                      <w:jc w:val="center"/>
                      <w:rPr>
                        <w:szCs w:val="24"/>
                        <w:lang w:eastAsia="lt-LT"/>
                      </w:rPr>
                    </w:pPr>
                    <w:r>
                      <w:rPr>
                        <w:szCs w:val="24"/>
                        <w:lang w:eastAsia="lt-LT"/>
                      </w:rPr>
                      <w:t>–</w:t>
                    </w:r>
                  </w:p>
                </w:tc>
                <w:tc>
                  <w:tcPr>
                    <w:tcW w:w="987" w:type="dxa"/>
                    <w:tcMar>
                      <w:top w:w="0" w:type="dxa"/>
                      <w:left w:w="108" w:type="dxa"/>
                      <w:bottom w:w="0" w:type="dxa"/>
                      <w:right w:w="108" w:type="dxa"/>
                    </w:tcMar>
                    <w:vAlign w:val="center"/>
                    <w:hideMark/>
                  </w:tcPr>
                  <w:p>
                    <w:pPr>
                      <w:jc w:val="center"/>
                      <w:rPr>
                        <w:szCs w:val="24"/>
                        <w:lang w:eastAsia="lt-LT"/>
                      </w:rPr>
                    </w:pPr>
                    <w:r>
                      <w:rPr>
                        <w:szCs w:val="24"/>
                        <w:lang w:eastAsia="lt-LT"/>
                      </w:rPr>
                      <w:t>16,2</w:t>
                    </w:r>
                  </w:p>
                </w:tc>
              </w:tr>
            </w:tbl>
            <w:p>
              <w:pPr>
                <w:tabs>
                  <w:tab w:val="left" w:pos="709"/>
                </w:tabs>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EA1CA46D8E">
            <w:r w:rsidRPr="00532B9F">
              <w:rPr>
                <w:rFonts w:ascii="Times New Roman" w:eastAsia="MS Mincho" w:hAnsi="Times New Roman"/>
                <w:sz w:val="20"/>
                <w:iCs/>
                <w:color w:val="0000FF" w:themeColor="hyperlink"/>
                <w:u w:val="single"/>
              </w:rPr>
              <w:t>XI-83</w:t>
            </w:r>
          </w:fldSimple>
          <w:r>
            <w:rPr>
              <w:rFonts w:ascii="Times New Roman" w:eastAsia="MS Mincho" w:hAnsi="Times New Roman"/>
              <w:sz w:val="20"/>
              <w:iCs/>
            </w:rPr>
            <w:t>,
2008-12-19,
Žin., 2008, Nr.
149-6009 (2008-12-30), i. k. 1081010ISTA000XI-83                </w:t>
          </w:r>
        </w:p>
        <w:p>
          <w:pPr>
            <w:jc w:val="both"/>
            <w:rPr>
              <w:rFonts w:ascii="Times New Roman" w:hAnsi="Times New Roman"/>
            </w:rPr>
          </w:pPr>
          <w:r>
            <w:rPr>
              <w:rFonts w:ascii="Times New Roman" w:hAnsi="Times New Roman"/>
              <w:sz w:val="20"/>
            </w:rPr>
            <w:t>Lietuvos Respublikos teisėjų atlyginimų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7B48ECFF5F">
            <w:r w:rsidRPr="00532B9F">
              <w:rPr>
                <w:rFonts w:ascii="Times New Roman" w:eastAsia="MS Mincho" w:hAnsi="Times New Roman"/>
                <w:sz w:val="20"/>
                <w:iCs/>
                <w:color w:val="0000FF" w:themeColor="hyperlink"/>
                <w:u w:val="single"/>
              </w:rPr>
              <w:t>XI-235</w:t>
            </w:r>
          </w:fldSimple>
          <w:r>
            <w:rPr>
              <w:rFonts w:ascii="Times New Roman" w:eastAsia="MS Mincho" w:hAnsi="Times New Roman"/>
              <w:sz w:val="20"/>
              <w:iCs/>
            </w:rPr>
            <w:t>,
2009-04-28,
Žin., 2009, Nr.
49-1940 (2009-04-30), i. k. 1091010ISTA00XI-235                </w:t>
          </w:r>
        </w:p>
        <w:p>
          <w:pPr>
            <w:jc w:val="both"/>
            <w:rPr>
              <w:rFonts w:ascii="Times New Roman" w:hAnsi="Times New Roman"/>
            </w:rPr>
          </w:pPr>
          <w:r>
            <w:rPr>
              <w:rFonts w:ascii="Times New Roman" w:hAnsi="Times New Roman"/>
              <w:sz w:val="20"/>
            </w:rPr>
            <w:t>Lietuvos Respublikos teisėjų atlyginimų įstatymo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9B71379DA7">
            <w:r w:rsidRPr="00532B9F">
              <w:rPr>
                <w:rFonts w:ascii="Times New Roman" w:eastAsia="MS Mincho" w:hAnsi="Times New Roman"/>
                <w:sz w:val="20"/>
                <w:iCs/>
                <w:color w:val="0000FF" w:themeColor="hyperlink"/>
                <w:u w:val="single"/>
              </w:rPr>
              <w:t>XI-362</w:t>
            </w:r>
          </w:fldSimple>
          <w:r>
            <w:rPr>
              <w:rFonts w:ascii="Times New Roman" w:eastAsia="MS Mincho" w:hAnsi="Times New Roman"/>
              <w:sz w:val="20"/>
              <w:iCs/>
            </w:rPr>
            <w:t>,
2009-07-17,
Žin., 2009, Nr.
91-3917 (2009-07-31), i. k. 1091010ISTA00XI-362                </w:t>
          </w:r>
        </w:p>
        <w:p>
          <w:pPr>
            <w:jc w:val="both"/>
            <w:rPr>
              <w:rFonts w:ascii="Times New Roman" w:hAnsi="Times New Roman"/>
            </w:rPr>
          </w:pPr>
          <w:r>
            <w:rPr>
              <w:rFonts w:ascii="Times New Roman" w:hAnsi="Times New Roman"/>
              <w:sz w:val="20"/>
            </w:rPr>
            <w:t>Lietuvos Respublikos teisėjų atlyginimų įstatymo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D0789436480">
            <w:r w:rsidRPr="00532B9F">
              <w:rPr>
                <w:rFonts w:ascii="Times New Roman" w:eastAsia="MS Mincho" w:hAnsi="Times New Roman"/>
                <w:sz w:val="20"/>
                <w:iCs/>
                <w:color w:val="0000FF" w:themeColor="hyperlink"/>
                <w:u w:val="single"/>
              </w:rPr>
              <w:t>XI-952</w:t>
            </w:r>
          </w:fldSimple>
          <w:r>
            <w:rPr>
              <w:rFonts w:ascii="Times New Roman" w:eastAsia="MS Mincho" w:hAnsi="Times New Roman"/>
              <w:sz w:val="20"/>
              <w:iCs/>
            </w:rPr>
            <w:t>,
2010-06-30,
Žin., 2010, Nr.
82-4306 (2010-07-13), i. k. 1101010ISTA00XI-952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3E3B5C1B34">
            <w:r w:rsidRPr="00532B9F">
              <w:rPr>
                <w:rFonts w:ascii="Times New Roman" w:eastAsia="MS Mincho" w:hAnsi="Times New Roman"/>
                <w:sz w:val="20"/>
                <w:iCs/>
                <w:color w:val="0000FF" w:themeColor="hyperlink"/>
                <w:u w:val="single"/>
              </w:rPr>
              <w:t>XI-953</w:t>
            </w:r>
          </w:fldSimple>
          <w:r>
            <w:rPr>
              <w:rFonts w:ascii="Times New Roman" w:eastAsia="MS Mincho" w:hAnsi="Times New Roman"/>
              <w:sz w:val="20"/>
              <w:iCs/>
            </w:rPr>
            <w:t>,
2010-06-30,
Žin., 2010, Nr.
82-4307 (2010-07-13), i. k. 1101010ISTA00XI-953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2011-02-14,
Žin., 2011, Nr.
20-967 (2011-02-17), i. k. 1111000NUTARG111145                </w:t>
          </w:r>
        </w:p>
        <w:p>
          <w:pPr>
            <w:jc w:val="both"/>
            <w:rPr>
              <w:rFonts w:ascii="Times New Roman" w:hAnsi="Times New Roman"/>
            </w:rPr>
          </w:pPr>
          <w:r>
            <w:rPr>
              <w:rFonts w:ascii="Times New Roman" w:hAnsi="Times New Roman"/>
              <w:sz w:val="20"/>
            </w:rPr>
            <w:t>Dėl Lietuvos Respublikos teisėjų atlyginimų įstatymo (2008 m. lapkričio 6 d. redakcija) 4 straipsnio 2 dalies 2 punkto, 5 straipsnio 1 dalies, 6 straipsnio 1 dalies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DBB3AC5706">
            <w:r w:rsidRPr="00532B9F">
              <w:rPr>
                <w:rFonts w:ascii="Times New Roman" w:eastAsia="MS Mincho" w:hAnsi="Times New Roman"/>
                <w:sz w:val="20"/>
                <w:iCs/>
                <w:color w:val="0000FF" w:themeColor="hyperlink"/>
                <w:u w:val="single"/>
              </w:rPr>
              <w:t>XI-1728</w:t>
            </w:r>
          </w:fldSimple>
          <w:r>
            <w:rPr>
              <w:rFonts w:ascii="Times New Roman" w:eastAsia="MS Mincho" w:hAnsi="Times New Roman"/>
              <w:sz w:val="20"/>
              <w:iCs/>
            </w:rPr>
            <w:t>,
2011-11-22,
Žin., 2011, Nr.
150-7043 (2011-12-08), i. k. 1111010ISTA0XI-1728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16E438E6D9">
            <w:r w:rsidRPr="00532B9F">
              <w:rPr>
                <w:rFonts w:ascii="Times New Roman" w:eastAsia="MS Mincho" w:hAnsi="Times New Roman"/>
                <w:sz w:val="20"/>
                <w:iCs/>
                <w:color w:val="0000FF" w:themeColor="hyperlink"/>
                <w:u w:val="single"/>
              </w:rPr>
              <w:t>XI-1729</w:t>
            </w:r>
          </w:fldSimple>
          <w:r>
            <w:rPr>
              <w:rFonts w:ascii="Times New Roman" w:eastAsia="MS Mincho" w:hAnsi="Times New Roman"/>
              <w:sz w:val="20"/>
              <w:iCs/>
            </w:rPr>
            <w:t>,
2011-11-22,
Žin., 2011, Nr.
150-7044 (2011-12-08), i. k. 1111010ISTA0XI-1729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C6F2C1607DD">
            <w:r w:rsidRPr="00532B9F">
              <w:rPr>
                <w:rFonts w:ascii="Times New Roman" w:eastAsia="MS Mincho" w:hAnsi="Times New Roman"/>
                <w:sz w:val="20"/>
                <w:iCs/>
                <w:color w:val="0000FF" w:themeColor="hyperlink"/>
                <w:u w:val="single"/>
              </w:rPr>
              <w:t>XII-112</w:t>
            </w:r>
          </w:fldSimple>
          <w:r>
            <w:rPr>
              <w:rFonts w:ascii="Times New Roman" w:eastAsia="MS Mincho" w:hAnsi="Times New Roman"/>
              <w:sz w:val="20"/>
              <w:iCs/>
            </w:rPr>
            <w:t>,
2012-12-20,
Žin., 2012, Nr.
155-7990 (2012-12-31), i. k. 1121010ISTA0XII-112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6E606CD5AC">
            <w:r w:rsidRPr="00532B9F">
              <w:rPr>
                <w:rFonts w:ascii="Times New Roman" w:eastAsia="MS Mincho" w:hAnsi="Times New Roman"/>
                <w:sz w:val="20"/>
                <w:iCs/>
                <w:color w:val="0000FF" w:themeColor="hyperlink"/>
                <w:u w:val="single"/>
              </w:rPr>
              <w:t>XII-113</w:t>
            </w:r>
          </w:fldSimple>
          <w:r>
            <w:rPr>
              <w:rFonts w:ascii="Times New Roman" w:eastAsia="MS Mincho" w:hAnsi="Times New Roman"/>
              <w:sz w:val="20"/>
              <w:iCs/>
            </w:rPr>
            <w:t>,
2012-12-20,
Žin., 2012, Nr.
155-7991 (2012-12-31), i. k. 1121010ISTA0XII-113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1A2BDD9A79">
            <w:r w:rsidRPr="00532B9F">
              <w:rPr>
                <w:rFonts w:ascii="Times New Roman" w:eastAsia="MS Mincho" w:hAnsi="Times New Roman"/>
                <w:sz w:val="20"/>
                <w:iCs/>
                <w:color w:val="0000FF" w:themeColor="hyperlink"/>
                <w:u w:val="single"/>
              </w:rPr>
              <w:t>XII-518</w:t>
            </w:r>
          </w:fldSimple>
          <w:r>
            <w:rPr>
              <w:rFonts w:ascii="Times New Roman" w:eastAsia="MS Mincho" w:hAnsi="Times New Roman"/>
              <w:sz w:val="20"/>
              <w:iCs/>
            </w:rPr>
            <w:t>,
2013-09-19,
Žin., 2013, Nr.
102-5027 (2013-09-28), i. k. 1131010ISTA0XII-518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1B563A9B43">
            <w:r w:rsidRPr="00532B9F">
              <w:rPr>
                <w:rFonts w:ascii="Times New Roman" w:eastAsia="MS Mincho" w:hAnsi="Times New Roman"/>
                <w:sz w:val="20"/>
                <w:iCs/>
                <w:color w:val="0000FF" w:themeColor="hyperlink"/>
                <w:u w:val="single"/>
              </w:rPr>
              <w:t>XII-519</w:t>
            </w:r>
          </w:fldSimple>
          <w:r>
            <w:rPr>
              <w:rFonts w:ascii="Times New Roman" w:eastAsia="MS Mincho" w:hAnsi="Times New Roman"/>
              <w:sz w:val="20"/>
              <w:iCs/>
            </w:rPr>
            <w:t>,
2013-09-19,
Žin., 2013, Nr.
102-5028 (2013-09-28), i. k. 1131010ISTA0XII-519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1ec720fc8011e8a969c20aa4d38bd4">
            <w:r w:rsidRPr="00532B9F">
              <w:rPr>
                <w:rFonts w:ascii="Times New Roman" w:eastAsia="MS Mincho" w:hAnsi="Times New Roman"/>
                <w:sz w:val="20"/>
                <w:iCs/>
                <w:color w:val="0000FF" w:themeColor="hyperlink"/>
                <w:u w:val="single"/>
              </w:rPr>
              <w:t>XIII-1689</w:t>
            </w:r>
          </w:fldSimple>
          <w:r>
            <w:rPr>
              <w:rFonts w:ascii="Times New Roman" w:eastAsia="MS Mincho" w:hAnsi="Times New Roman"/>
              <w:sz w:val="20"/>
              <w:iCs/>
            </w:rPr>
            <w:t>,
2018-12-04,
paskelbta TAR 2018-12-10, i. k. 2018-20188                </w:t>
          </w:r>
        </w:p>
        <w:p>
          <w:pPr>
            <w:jc w:val="both"/>
            <w:rPr>
              <w:rFonts w:ascii="Times New Roman" w:hAnsi="Times New Roman"/>
            </w:rPr>
          </w:pPr>
          <w:r>
            <w:rPr>
              <w:rFonts w:ascii="Times New Roman" w:hAnsi="Times New Roman"/>
              <w:sz w:val="20"/>
            </w:rPr>
            <w:t>Lietuvos Respublikos teisėjų atlyginimų įstatymo Nr. X-1771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f21e0eac311eb9f09e7df20500045">
            <w:r w:rsidRPr="00532B9F">
              <w:rPr>
                <w:rFonts w:ascii="Times New Roman" w:eastAsia="MS Mincho" w:hAnsi="Times New Roman"/>
                <w:sz w:val="20"/>
                <w:iCs/>
                <w:color w:val="0000FF" w:themeColor="hyperlink"/>
                <w:u w:val="single"/>
              </w:rPr>
              <w:t>XIV-509</w:t>
            </w:r>
          </w:fldSimple>
          <w:r>
            <w:rPr>
              <w:rFonts w:ascii="Times New Roman" w:eastAsia="MS Mincho" w:hAnsi="Times New Roman"/>
              <w:sz w:val="20"/>
              <w:iCs/>
            </w:rPr>
            <w:t>,
2021-07-13,
paskelbta TAR 2021-07-22, i. k. 2021-16270                </w:t>
          </w:r>
        </w:p>
        <w:p>
          <w:pPr>
            <w:jc w:val="both"/>
            <w:rPr>
              <w:rFonts w:ascii="Times New Roman" w:hAnsi="Times New Roman"/>
            </w:rPr>
          </w:pPr>
          <w:r>
            <w:rPr>
              <w:rFonts w:ascii="Times New Roman" w:hAnsi="Times New Roman"/>
              <w:sz w:val="20"/>
            </w:rPr>
            <w:t>Lietuvos Respublikos teisėjų atlyginimų įstatymo Nr. X-1771 4 straipsnio pakeitimo ir Įstatymo papildymo 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add1a0540711ec862fdcbc8b3e3e05">
            <w:r w:rsidRPr="00532B9F">
              <w:rPr>
                <w:rFonts w:ascii="Times New Roman" w:eastAsia="MS Mincho" w:hAnsi="Times New Roman"/>
                <w:sz w:val="20"/>
                <w:iCs/>
                <w:color w:val="0000FF" w:themeColor="hyperlink"/>
                <w:u w:val="single"/>
              </w:rPr>
              <w:t>XIV-708</w:t>
            </w:r>
          </w:fldSimple>
          <w:r>
            <w:rPr>
              <w:rFonts w:ascii="Times New Roman" w:eastAsia="MS Mincho" w:hAnsi="Times New Roman"/>
              <w:sz w:val="20"/>
              <w:iCs/>
            </w:rPr>
            <w:t>,
2021-11-25,
paskelbta TAR 2021-12-03, i. k. 2021-25134                </w:t>
          </w:r>
        </w:p>
        <w:p>
          <w:pPr>
            <w:jc w:val="both"/>
            <w:rPr>
              <w:rFonts w:ascii="Times New Roman" w:hAnsi="Times New Roman"/>
            </w:rPr>
          </w:pPr>
          <w:r>
            <w:rPr>
              <w:rFonts w:ascii="Times New Roman" w:hAnsi="Times New Roman"/>
              <w:sz w:val="20"/>
            </w:rPr>
            <w:t>Lietuvos Respublikos teisėjų atlyginimų įstatymo Nr. X-1771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63B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18861CD"/>
  <w15:docId w15:val="{7B479FC7-1E57-4206-ACFF-1279E82926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28.xml"/>
  <Relationship Id="rId13" Type="http://schemas.openxmlformats.org/officeDocument/2006/relationships/header" Target="header29.xml"/>
  <Relationship Id="rId14" Type="http://schemas.openxmlformats.org/officeDocument/2006/relationships/footer" Target="footer28.xml"/>
  <Relationship Id="rId15" Type="http://schemas.openxmlformats.org/officeDocument/2006/relationships/footer" Target="footer29.xml"/>
  <Relationship Id="rId16" Type="http://schemas.openxmlformats.org/officeDocument/2006/relationships/header" Target="header30.xml"/>
  <Relationship Id="rId17" Type="http://schemas.openxmlformats.org/officeDocument/2006/relationships/footer" Target="footer30.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hyperlink" TargetMode="External" Target="https://www.e-tar.lt/portal/lt/legalAct/TAR.1522CADCB7A8"/>
  <Relationship Id="rId6" Type="http://schemas.openxmlformats.org/officeDocument/2006/relationships/hyperlink" TargetMode="External" Target="https://www.e-tar.lt/portal/lt/legalAct/TAR.AB0DC76B69A0"/>
  <Relationship Id="rId7" Type="http://schemas.openxmlformats.org/officeDocument/2006/relationships/image" Target="media/image1.wmf"/>
  <Relationship Id="rId8" Type="http://schemas.openxmlformats.org/officeDocument/2006/relationships/settings" Target="settings.xml"/>
  <Relationship Id="rId9" Type="http://schemas.openxmlformats.org/officeDocument/2006/relationships/styles" Target="styl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f5b439ebcce4d908efcabeac6bf71e4" PartId="6345b9021a2e45249c8363ec487cda01">
    <Part Type="straipsnis" Nr="1" Abbr="1 str." Title="Įstatymo paskirtis" DocPartId="63f747c3bf4e4bbe898d9b177ff065cf" PartId="03ec66ff330c498fb87abadacc74ed82">
      <Part Type="strDalis" Nr="1" Abbr="1 str. 1 d." DocPartId="38017b1fe7da4af0a19fadbc84a99822" PartId="6aaa7b7045f64ca18f414ba805696dfc"/>
    </Part>
    <Part Type="straipsnis" Nr="2" Abbr="2 str." Title="Įstatymo taikymas" DocPartId="3645f1c0ac1a49aaa5f74b3fa9c27e69" PartId="b2e6cb6c0b53451b9642ee7470a2ce0c">
      <Part Type="strDalis" Nr="1" Abbr="2 str. 1 d." DocPartId="ec7980a483de4e4a9502cdf992e8eb35" PartId="bd32876e2d3648419b82836f48daa8a8">
        <Part Type="strPunktas" Nr="1" Abbr="2 str. 1 d. 1 p." DocPartId="3559fd61d2b64d44ab40a52dc63e054b" PartId="ccfc3e14fc0441f3afedc586c54ff1c0"/>
        <Part Type="strPunktas" Nr="2" Abbr="2 str. 1 d. 2 p." DocPartId="0a8a5c79f17842619302acde2486bf92" PartId="cddfe8c88b2f42b1b0f2ff372ce185ad"/>
      </Part>
    </Part>
    <Part Type="straipsnis" Nr="3" Abbr="3 str." Title="Teisėjų atlyginimo ir pareiginės algos bazinis dydis" DocPartId="34fefd6822f64a409119b525ff65cb5c" PartId="5bdad38a06424e6f86e449d811c8c20f">
      <Part Type="strDalis" Nr="1" Abbr="3 str. 1 d." DocPartId="a80e34ce382247b78c9c173201de2646" PartId="723f373245454f5f8daba8eccac628a5"/>
    </Part>
    <Part Type="straipsnis" Nr="4" Abbr="4 str." Title="Teisėjų atlyginimas" DocPartId="a4889e07a4dc414690bf733fc5661914" PartId="719ba1cdac38405aa57162279c22edb0">
      <Part Type="strDalis" Nr="1" Abbr="4 str. 1 d." DocPartId="40128e2188da4061aab2c30322b8613c" PartId="af1322a2de0d4ced9bd6b5f31a44dd41"/>
      <Part Type="strDalis" Nr="2" Abbr="4 str. 2 d." DocPartId="cea2c559526e42f2b38b6f8f6a36244a" PartId="b0fd32ecfae04942a8d81282257f62ac">
        <Part Type="strPunktas" Nr="1" Abbr="4 str. 2 d. 1 p." DocPartId="7c277cfe40ee418d8f68b69917c340c9" PartId="6f9eb92b7b86406d82e73103b1eecf31"/>
        <Part Type="strPunktas" Nr="2" Abbr="4 str. 2 d. 2 p." DocPartId="fc5059a63f394027b64af00512bd3456" PartId="893bedfd0cb04e7ab9e05f9c8309dbc8"/>
        <Part Type="strPunktas" Nr="3" Abbr="4 str. 2 d. 3 p." DocPartId="f5d974c99dca4b84992a1458c572ebd0" PartId="4d33b1d8df824d42af94ab19de7acc2f"/>
        <Part Type="strPunktas" Nr="4" Abbr="4 str. 2 d. 4 p." DocPartId="bd3bb33a4e80465b9c548fc85e115398" PartId="69fd3a074c1b4faa8f49511f0be6f1a4"/>
      </Part>
      <Part Type="strDalis" Nr="3" Abbr="4 str. 3 d." DocPartId="bae59baf62e04992b98759da878630a3" PartId="d7dc53a010c249feb928cdf40dc508d8"/>
      <Part Type="strDalis" Nr="4" Abbr="4 str. 4 d." DocPartId="5a83df026c324031a76783ef014cd8d8" PartId="47e139ea62c7424eb790ca5f87aa280f"/>
    </Part>
    <Part Type="straipsnis" Nr="5" Abbr="5 str." Title="Priedas už tarnybos Lietuvos valstybei stažą" DocPartId="fe44b604d80844a6a76aaabe6aa5d252" PartId="c60ff2c14cac4985ad5e12bcb70a9295">
      <Part Type="strDalis" Nr="1" Abbr="5 str. 1 d." DocPartId="784adb66a0be43ce95bca65e784372cf" PartId="87e39936f70344cdbdccad6cbf6ed6f7"/>
      <Part Type="strDalis" Nr="2" Abbr="5 str. 2 d." DocPartId="0412242d74f14aa6b32b4930914135d3" PartId="f6cb667250cc4785ae5eb0846971f73b"/>
    </Part>
    <Part Type="straipsnis" Nr="6" Abbr="6 str." Title="Mokėjimas už bendrosios kompetencijos ir specializuotų teismų teisėjų darbą ir budėjimą poilsio ir švenčių dienomis bei pavadavimą" DocPartId="36e3c9e0f962427da14cbb9d18402509" PartId="f02268ba82eb46b1844db0eeb79b8b67">
      <Part Type="strDalis" Nr="1" Abbr="6 str. 1 d." DocPartId="6bbe318ebb3b4e3f82fa1499b8320477" PartId="ff33cfb4385648e7a400da147329b6c6"/>
      <Part Type="strDalis" Nr="2" Abbr="6 str. 2 d." DocPartId="bc54163fd025434997a480e1b25ea419" PartId="6551ce80cab34da8bb51c82e7fba7854"/>
      <Part Type="strDalis" Nr="3" Abbr="6 str. 3 d." DocPartId="d57db274559346a9acc63bacfbff6bc9" PartId="9293d0f63397473eb23eaf787fe1226e"/>
      <Part Type="strDalis" Nr="4" Abbr="6 str. 4 d." DocPartId="6702fa84d97c491c94672de26cf63865" PartId="be4046a410b54dada1312aa574a34777"/>
      <Part Type="strDalis" Nr="5" Abbr="6 str. 5 d." DocPartId="d7c1c15b3cd34cb385e0c42c03323c82" PartId="3b0268efc7544e239bd11dd4d8d9ac53"/>
      <Part Type="strDalis" Nr="6" Abbr="6 str. 6 d." DocPartId="ee6e80ae88db4cf1a60cceed9ff47ab4" PartId="6692dd4bfd5b4ddcb2c17e27ec638e01"/>
      <Part Type="strDalis" Nr="7" Abbr="6 str. 7 d." DocPartId="8738c4f9697949e6928c24084099996f" PartId="7a961eab06644975acdca128b01cf1e3"/>
    </Part>
    <Part Type="straipsnis" Nr="7" Abbr="7 str." Title="Priemoka už padidėjusį darbo krūvį" DocPartId="c858fbffbcf24582a9e5e237f4ba06fc" PartId="436e5b5a0796448fbd2ff692331f8429">
      <Part Type="strDalis" Nr="1" Abbr="7 str. 1 d." DocPartId="4e99e9ca615d4adf9cfd7af30dc0aaa2" PartId="9c4c0bfcfcd1411aac7f8569df3ebbf5"/>
      <Part Type="strDalis" Nr="2" Abbr="7 str. 2 d." DocPartId="efbf73093f2e4d85849e27fd772845b2" PartId="0c2f68e4f7874f208c2ee2920dc3cb7a"/>
    </Part>
    <Part Type="signatura" DocPartId="86dc3841ff8641739f10a05943a71d63" PartId="a916b3fff8f9440484144be69b3999cb"/>
  </Part>
  <Part Type="priedas" Abbr="pr." Title="LIETUVOS RESPUBLIKOS KONSTITUCINIO TEISMO TEISĖJŲ ATLYGINIMO IR BENDROSIOS KOMPETENCIJOS IR SPECIALIZUOTŲ TEISMŲ TEISĖJŲ PAREIGINĖS ALGOS KOEFICIENTAI" DocPartId="416f3f5d0f2749629ca9eec3d65d3a33" PartId="ad85159a6d104d78bb2e96533e31a294">
    <Part Type="skyrius" Nr="1" Title="LIETUVOS RESPUBLIKOS KONSTITUCINIO TEISMO TEISĖJŲ ATLYGINIMO KOEFICIENTAI" DocPartId="00043a8eeabb46bd8fb8444a38621062" PartId="ea29f7f72c9144acbff2d4c183916982"/>
    <Part Type="skyrius" Nr="2" Title="BENDROSIOS KOMPETENCIJOS IR SPECIALIZUOTŲ TEISMŲ TEISĖJŲ PAREIGINĖS ALGOS KOEFICIENTAI" DocPartId="ebf1b78ab29e4235b78fae0b9ff74405" PartId="bb6c685b09364711a75bb723e427e4ee"/>
  </Part>
</Parts>
</file>

<file path=customXml/itemProps1.xml><?xml version="1.0" encoding="utf-8"?>
<ds:datastoreItem xmlns:ds="http://schemas.openxmlformats.org/officeDocument/2006/customXml" ds:itemID="{1B8F165A-4346-4080-8B3E-A67952BFC2D2}">
  <ds:schemaRefs>
    <ds:schemaRef ds:uri="http://lrs.lt/TAIS/DocParts"/>
  </ds:schemaRefs>
</ds:datastoreItem>
</file>

<file path=docProps/app.xml><?xml version="1.0" encoding="utf-8"?>
<Properties xmlns="http://schemas.openxmlformats.org/officeDocument/2006/extended-properties">
  <Template>Normal.dotm</Template>
  <TotalTime>17</TotalTime>
  <Pages>9</Pages>
  <Words>10585</Words>
  <Characters>6034</Characters>
  <Application>Microsoft Office Word</Application>
  <DocSecurity>0</DocSecurity>
  <Lines>50</Lines>
  <Paragraphs>33</Paragraphs>
  <ScaleCrop>false</ScaleCrop>
  <Company/>
  <LinksUpToDate>false</LinksUpToDate>
  <CharactersWithSpaces>16586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2015-08-28T20:06:00Z</dcterms:created>
  <dc:creator>Rima</dc:creator>
  <lastModifiedBy>TRAPINSKIENĖ Aušrinė</lastModifiedBy>
  <dcterms:modified xsi:type="dcterms:W3CDTF">2021-12-06T14:40:00Z</dcterms:modified>
  <revision>35</revision>
  <dc:title>LIETUVOS RESPUBLIKOS TEISĖJŲ ATLYGINIMŲ ĮSTATYMAS</dc:title>
</coreProperties>
</file>