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8c06d2d8d4772873d291edf3870d6"/>
        <w:lock w:val="sdtLocked"/>
        <w:richText/>
      </w:sdtPr>
      <w:sdtContent>
        <w:p>
          <w:pPr>
            <w:jc w:val="both"/>
            <w:rPr>
              <w:rFonts w:ascii="Times New Roman" w:hAnsi="Times New Roman"/>
            </w:rPr>
          </w:pPr>
          <w:r>
            <w:rPr>
              <w:rFonts w:ascii="Times New Roman" w:hAnsi="Times New Roman"/>
              <w:b/>
              <w:i/>
            </w:rPr>
            <w:t>Suvestinė redakcija nuo 2009-05-01 iki 2009-07-31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jc w:val="center"/>
            <w:rPr>
              <w:b/>
              <w:bCs/>
              <w:smallCaps/>
            </w:rPr>
          </w:pPr>
          <w:r>
            <w:rPr>
              <w:b/>
              <w:bCs/>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rPr>
            <w:t>L</w:t>
          </w:r>
          <w:r>
            <w:rPr>
              <w:b/>
              <w:bCs/>
              <w:smallCaps/>
            </w:rPr>
            <w:t xml:space="preserve">IETUVOS RESPUBLIKOS </w:t>
            <w:br/>
            <w:t xml:space="preserve">TEISĖJŲ ATLYGINIMŲ </w:t>
            <w:br/>
            <w:t>ĮSTATYMAS</w:t>
          </w:r>
        </w:p>
        <w:p>
          <w:pPr>
            <w:jc w:val="center"/>
          </w:pPr>
        </w:p>
        <w:p>
          <w:pPr>
            <w:jc w:val="center"/>
          </w:pPr>
          <w:r>
            <w:t>2008 m. lapkričio 6 d. Nr. X-1771</w:t>
          </w:r>
        </w:p>
        <w:p>
          <w:pPr>
            <w:jc w:val="center"/>
          </w:pPr>
          <w:r>
            <w:t>Vilnius</w:t>
          </w:r>
        </w:p>
        <w:p>
          <w:pPr>
            <w:ind w:firstLine="567"/>
            <w:jc w:val="both"/>
          </w:pPr>
        </w:p>
        <w:sdt>
          <w:sdtPr>
            <w:alias w:val="1 str."/>
            <w:tag w:val="part_bc16f6bc1c72429da5761557e751f69b"/>
            <w:lock w:val="sdtLocked"/>
            <w:richText/>
          </w:sdtPr>
          <w:sdtContent>
            <w:p>
              <w:pPr>
                <w:ind w:firstLine="567"/>
                <w:jc w:val="both"/>
                <w:rPr>
                  <w:b/>
                  <w:bCs/>
                </w:rPr>
              </w:pPr>
              <w:sdt>
                <w:sdtPr>
                  <w:alias w:val="Numeris"/>
                  <w:tag w:val="nr_bc16f6bc1c72429da5761557e751f69b"/>
                  <w:lock w:val="sdtLocked"/>
                  <w:richText/>
                </w:sdtPr>
                <w:sdtContent>
                  <w:r>
                    <w:rPr>
                      <w:b/>
                      <w:bCs/>
                    </w:rPr>
                    <w:t>1</w:t>
                  </w:r>
                </w:sdtContent>
              </w:sdt>
              <w:r>
                <w:t xml:space="preserve"> </w:t>
              </w:r>
              <w:r>
                <w:rPr>
                  <w:b/>
                  <w:bCs/>
                </w:rPr>
                <w:t xml:space="preserve">straipsnis. </w:t>
              </w:r>
              <w:sdt>
                <w:sdtPr>
                  <w:alias w:val="Pavadinimas"/>
                  <w:tag w:val="title_bc16f6bc1c72429da5761557e751f69b"/>
                  <w:lock w:val="sdtLocked"/>
                  <w:richText/>
                </w:sdtPr>
                <w:sdtContent>
                  <w:r>
                    <w:rPr>
                      <w:b/>
                      <w:bCs/>
                    </w:rPr>
                    <w:t>Įstatymo paskirtis</w:t>
                  </w:r>
                </w:sdtContent>
              </w:sdt>
            </w:p>
            <w:sdt>
              <w:sdtPr>
                <w:alias w:val="1 str. 1 d."/>
                <w:tag w:val="part_5a6d819173d748e6b487a2f2a734a92f"/>
                <w:lock w:val="sdtLocked"/>
                <w:richText/>
              </w:sdtPr>
              <w:sdtContent>
                <w:p>
                  <w:pPr>
                    <w:ind w:firstLine="567"/>
                    <w:jc w:val="both"/>
                  </w:pPr>
                  <w:r>
                    <w:t>Šis įstatymas nustato Lietuvos Respublikos teisėjų atlyginimų dydžius ir jų skaičiavimo tvarką.</w:t>
                  </w:r>
                </w:p>
                <w:p>
                  <w:pPr>
                    <w:ind w:firstLine="567"/>
                    <w:jc w:val="both"/>
                  </w:pPr>
                </w:p>
              </w:sdtContent>
            </w:sdt>
          </w:sdtContent>
        </w:sdt>
        <w:sdt>
          <w:sdtPr>
            <w:alias w:val="2 str."/>
            <w:tag w:val="part_ad9aa9c4e47f483698a5ab9d004048b7"/>
            <w:lock w:val="sdtLocked"/>
            <w:richText/>
          </w:sdtPr>
          <w:sdtContent>
            <w:p>
              <w:pPr>
                <w:ind w:firstLine="567"/>
                <w:jc w:val="both"/>
                <w:rPr>
                  <w:b/>
                  <w:bCs/>
                </w:rPr>
              </w:pPr>
              <w:sdt>
                <w:sdtPr>
                  <w:alias w:val="Numeris"/>
                  <w:tag w:val="nr_ad9aa9c4e47f483698a5ab9d004048b7"/>
                  <w:lock w:val="sdtLocked"/>
                  <w:richText/>
                </w:sdtPr>
                <w:sdtContent>
                  <w:r>
                    <w:rPr>
                      <w:b/>
                      <w:bCs/>
                    </w:rPr>
                    <w:t>2</w:t>
                  </w:r>
                </w:sdtContent>
              </w:sdt>
              <w:r>
                <w:t xml:space="preserve"> </w:t>
              </w:r>
              <w:r>
                <w:rPr>
                  <w:b/>
                  <w:bCs/>
                </w:rPr>
                <w:t xml:space="preserve">straipsnis. </w:t>
              </w:r>
              <w:sdt>
                <w:sdtPr>
                  <w:alias w:val="Pavadinimas"/>
                  <w:tag w:val="title_ad9aa9c4e47f483698a5ab9d004048b7"/>
                  <w:lock w:val="sdtLocked"/>
                  <w:richText/>
                </w:sdtPr>
                <w:sdtContent>
                  <w:r>
                    <w:rPr>
                      <w:b/>
                      <w:bCs/>
                    </w:rPr>
                    <w:t>Įstatymo taikymas</w:t>
                  </w:r>
                </w:sdtContent>
              </w:sdt>
            </w:p>
            <w:sdt>
              <w:sdtPr>
                <w:alias w:val="2 str. 1 d."/>
                <w:tag w:val="part_50bc21ca9c164a81a1c1971252120a01"/>
                <w:lock w:val="sdtLocked"/>
                <w:richText/>
              </w:sdtPr>
              <w:sdtContent>
                <w:p>
                  <w:pPr>
                    <w:ind w:firstLine="567"/>
                    <w:jc w:val="both"/>
                  </w:pPr>
                  <w:r>
                    <w:t>Šio įstatymo nustatyti atlyginimai taikomi šių teismų pirmininkams, jų pavaduotojams, skyrių pirmininkams ir teisėjams (toliau – teisėjai):</w:t>
                  </w:r>
                </w:p>
                <w:sdt>
                  <w:sdtPr>
                    <w:alias w:val="2 str. 1 d. 1 p."/>
                    <w:tag w:val="part_35d45ef7ec6f492da4b7b87f2970633f"/>
                    <w:lock w:val="sdtLocked"/>
                    <w:richText/>
                  </w:sdtPr>
                  <w:sdtContent>
                    <w:p>
                      <w:pPr>
                        <w:ind w:firstLine="567"/>
                        <w:jc w:val="both"/>
                      </w:pPr>
                      <w:sdt>
                        <w:sdtPr>
                          <w:alias w:val="Numeris"/>
                          <w:tag w:val="nr_35d45ef7ec6f492da4b7b87f2970633f"/>
                          <w:lock w:val="sdtLocked"/>
                          <w:richText/>
                        </w:sdtPr>
                        <w:sdtContent>
                          <w:r>
                            <w:t>1</w:t>
                          </w:r>
                        </w:sdtContent>
                      </w:sdt>
                      <w:r>
                        <w:t>) Lietuvos Respublikos Konstitucinio Teismo;</w:t>
                      </w:r>
                    </w:p>
                  </w:sdtContent>
                </w:sdt>
                <w:sdt>
                  <w:sdtPr>
                    <w:alias w:val="2 str. 1 d. 2 p."/>
                    <w:tag w:val="part_448874eec72548aeb640c765a026f113"/>
                    <w:lock w:val="sdtLocked"/>
                    <w:richText/>
                  </w:sdtPr>
                  <w:sdtContent>
                    <w:p>
                      <w:pPr>
                        <w:ind w:firstLine="567"/>
                        <w:jc w:val="both"/>
                      </w:pPr>
                      <w:sdt>
                        <w:sdtPr>
                          <w:alias w:val="Numeris"/>
                          <w:tag w:val="nr_448874eec72548aeb640c765a026f113"/>
                          <w:lock w:val="sdtLocked"/>
                          <w:richText/>
                        </w:sdtPr>
                        <w:sdtContent>
                          <w:r>
                            <w:t>2</w:t>
                          </w:r>
                        </w:sdtContent>
                      </w:sdt>
                      <w:r>
                        <w:t>) bendrosios kompetencijos ir specializuotų teismų: Lietuvos Aukščiausiojo Teismo, Lietuvos vyriausiojo administracinio teismo, Lietuvos apeliacinio teismo, apygardų teismų, apygardų administracinių teismų, apylinkių teismų.</w:t>
                      </w:r>
                    </w:p>
                    <w:p>
                      <w:pPr>
                        <w:ind w:firstLine="567"/>
                        <w:jc w:val="both"/>
                      </w:pPr>
                    </w:p>
                  </w:sdtContent>
                </w:sdt>
              </w:sdtContent>
            </w:sdt>
          </w:sdtContent>
        </w:sdt>
        <w:sdt>
          <w:sdtPr>
            <w:alias w:val="3 str."/>
            <w:tag w:val="part_485cea9f62334d869e7b252670b44a77"/>
            <w:lock w:val="sdtLocked"/>
            <w:richText/>
          </w:sdtPr>
          <w:sdtContent>
            <w:p>
              <w:pPr>
                <w:ind w:firstLine="567"/>
                <w:jc w:val="both"/>
                <w:rPr>
                  <w:b/>
                  <w:bCs/>
                </w:rPr>
              </w:pPr>
              <w:sdt>
                <w:sdtPr>
                  <w:alias w:val="Numeris"/>
                  <w:tag w:val="nr_485cea9f62334d869e7b252670b44a77"/>
                  <w:lock w:val="sdtLocked"/>
                  <w:richText/>
                </w:sdtPr>
                <w:sdtContent>
                  <w:r>
                    <w:rPr>
                      <w:b/>
                      <w:bCs/>
                    </w:rPr>
                    <w:t>3</w:t>
                  </w:r>
                </w:sdtContent>
              </w:sdt>
              <w:r>
                <w:rPr>
                  <w:b/>
                  <w:bCs/>
                </w:rPr>
                <w:t xml:space="preserve"> straipsnis. </w:t>
              </w:r>
              <w:sdt>
                <w:sdtPr>
                  <w:alias w:val="Pavadinimas"/>
                  <w:tag w:val="title_485cea9f62334d869e7b252670b44a77"/>
                  <w:lock w:val="sdtLocked"/>
                  <w:richText/>
                </w:sdtPr>
                <w:sdtContent>
                  <w:r>
                    <w:rPr>
                      <w:b/>
                      <w:bCs/>
                    </w:rPr>
                    <w:t>Atlyginimo ir pareiginės algos bazinis dydis</w:t>
                  </w:r>
                </w:sdtContent>
              </w:sdt>
            </w:p>
            <w:sdt>
              <w:sdtPr>
                <w:alias w:val="3 str. 1 d."/>
                <w:tag w:val="part_a4b1d78f083443849409e55e4a2a4099"/>
                <w:lock w:val="sdtLocked"/>
                <w:richText/>
              </w:sdtPr>
              <w:sdtContent>
                <w:p>
                  <w:pPr>
                    <w:ind w:firstLine="567"/>
                    <w:jc w:val="both"/>
                  </w:pPr>
                  <w:r>
                    <w:t>Teisėjų atlyginimų skaičiavimui taikomas atlyginimo ir pareiginės algos bazinis dydis (toliau – bazinis dydis), kurį ateinantiems metams Lietuvos Respublikos Vyriausybės teikimu, įvertinus teisėjams atstovaujančių organizacijų pasiūlymus, praėjusių metų vidutinę metinę infliaciją (skaičiuojant nacionalinį vartotojų kainų indeksą) ir kitų vidutinio darbo užmokesčio viešajame sektoriuje dydžiui ir kitimui poveikį turinčių veiksnių įtaką, tvirtina Lietuvos Respublikos Seimas iki Seimo pavasario sesijos pabaigos. Tvirtinamas naujas bazinis dydis negali būti mažesnis už esamą bazinį dydį, išskyrus atvejus, kai iš esmės pablogėja valstybės ekonominė ir finansinė būklė.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EA1CA46D8E">
                <w:r w:rsidRPr="00532B9F">
                  <w:rPr>
                    <w:rFonts w:ascii="Times New Roman" w:eastAsia="MS Mincho" w:hAnsi="Times New Roman"/>
                    <w:sz w:val="20"/>
                    <w:i/>
                    <w:iCs/>
                    <w:color w:val="0000FF" w:themeColor="hyperlink"/>
                    <w:u w:val="single"/>
                  </w:rPr>
                  <w:t>XI-83</w:t>
                </w:r>
              </w:fldSimple>
              <w:r>
                <w:rPr>
                  <w:rFonts w:ascii="Times New Roman" w:eastAsia="MS Mincho" w:hAnsi="Times New Roman"/>
                  <w:sz w:val="20"/>
                  <w:i/>
                  <w:iCs/>
                </w:rPr>
                <w:t>,
2008-12-19,
Žin., 2008, Nr.
149-6009 (2008-12-30), i. k. 1081010ISTA000XI-83            </w:t>
              </w:r>
            </w:p>
            <w:p/>
          </w:sdtContent>
        </w:sdt>
        <w:sdt>
          <w:sdtPr>
            <w:alias w:val="4 str."/>
            <w:tag w:val="part_b386aeb336b140cf9327986184cf8539"/>
            <w:lock w:val="sdtLocked"/>
            <w:richText/>
          </w:sdtPr>
          <w:sdtContent>
            <w:p>
              <w:pPr>
                <w:ind w:firstLine="567"/>
                <w:jc w:val="both"/>
                <w:rPr>
                  <w:b/>
                  <w:bCs/>
                </w:rPr>
              </w:pPr>
              <w:sdt>
                <w:sdtPr>
                  <w:alias w:val="Numeris"/>
                  <w:tag w:val="nr_b386aeb336b140cf9327986184cf8539"/>
                  <w:lock w:val="sdtLocked"/>
                  <w:richText/>
                </w:sdtPr>
                <w:sdtContent>
                  <w:r>
                    <w:rPr>
                      <w:b/>
                      <w:bCs/>
                    </w:rPr>
                    <w:t>4</w:t>
                  </w:r>
                </w:sdtContent>
              </w:sdt>
              <w:r>
                <w:t xml:space="preserve"> </w:t>
              </w:r>
              <w:r>
                <w:rPr>
                  <w:b/>
                  <w:bCs/>
                </w:rPr>
                <w:t xml:space="preserve">straipsnis. </w:t>
              </w:r>
              <w:sdt>
                <w:sdtPr>
                  <w:alias w:val="Pavadinimas"/>
                  <w:tag w:val="title_b386aeb336b140cf9327986184cf8539"/>
                  <w:lock w:val="sdtLocked"/>
                  <w:richText/>
                </w:sdtPr>
                <w:sdtContent>
                  <w:r>
                    <w:rPr>
                      <w:b/>
                      <w:bCs/>
                    </w:rPr>
                    <w:t>Teisėjų atlyginimas</w:t>
                  </w:r>
                </w:sdtContent>
              </w:sdt>
            </w:p>
            <w:sdt>
              <w:sdtPr>
                <w:alias w:val="4 str. 1 d."/>
                <w:tag w:val="part_13383d48d6a149c4a2cf1ac4ad90ade5"/>
                <w:lock w:val="sdtLocked"/>
                <w:richText/>
              </w:sdtPr>
              <w:sdtContent>
                <w:p>
                  <w:pPr>
                    <w:ind w:firstLine="567"/>
                    <w:jc w:val="both"/>
                  </w:pPr>
                  <w:sdt>
                    <w:sdtPr>
                      <w:alias w:val="Numeris"/>
                      <w:tag w:val="nr_13383d48d6a149c4a2cf1ac4ad90ade5"/>
                      <w:lock w:val="sdtLocked"/>
                      <w:richText/>
                    </w:sdtPr>
                    <w:sdtContent>
                      <w:r>
                        <w:t>1</w:t>
                      </w:r>
                    </w:sdtContent>
                  </w:sdt>
                  <w:r>
                    <w:t>. Lietuvos Respublikos Konstitucinio Teismo teisėjų atlyginimas apskaičiuojamas atitinkamą atlyginimo koeficientą, nustatytą šio įstatymo priedėlyje, padauginus iš bazinio dydžio.</w:t>
                  </w:r>
                </w:p>
              </w:sdtContent>
            </w:sdt>
            <w:sdt>
              <w:sdtPr>
                <w:alias w:val="4 str. 2 d."/>
                <w:tag w:val="part_bda1e2d62d394399ba46bb8d24be125d"/>
                <w:lock w:val="sdtLocked"/>
                <w:richText/>
              </w:sdtPr>
              <w:sdtContent>
                <w:p>
                  <w:pPr>
                    <w:ind w:firstLine="567"/>
                    <w:jc w:val="both"/>
                  </w:pPr>
                  <w:sdt>
                    <w:sdtPr>
                      <w:alias w:val="Numeris"/>
                      <w:tag w:val="nr_bda1e2d62d394399ba46bb8d24be125d"/>
                      <w:lock w:val="sdtLocked"/>
                      <w:richText/>
                    </w:sdtPr>
                    <w:sdtContent>
                      <w:r>
                        <w:t>2</w:t>
                      </w:r>
                    </w:sdtContent>
                  </w:sdt>
                  <w:r>
                    <w:t>. Bendrosios kompetencijos ir specializuotų teismų pirmininkų, jų pavaduotojų, skyrių pirmininkų ir teisėjų (toliau – bendrosios kompetencijos ir specializuotų teismų teisėjai) atlyginimas susideda iš:</w:t>
                  </w:r>
                </w:p>
                <w:sdt>
                  <w:sdtPr>
                    <w:alias w:val="4 str. 2 d. 1 p."/>
                    <w:tag w:val="part_530414c79d2c487da0bada4da5d941d1"/>
                    <w:lock w:val="sdtLocked"/>
                    <w:richText/>
                  </w:sdtPr>
                  <w:sdtContent>
                    <w:p>
                      <w:pPr>
                        <w:ind w:firstLine="567"/>
                        <w:jc w:val="both"/>
                      </w:pPr>
                      <w:sdt>
                        <w:sdtPr>
                          <w:alias w:val="Numeris"/>
                          <w:tag w:val="nr_530414c79d2c487da0bada4da5d941d1"/>
                          <w:lock w:val="sdtLocked"/>
                          <w:richText/>
                        </w:sdtPr>
                        <w:sdtContent>
                          <w:r>
                            <w:t>1</w:t>
                          </w:r>
                        </w:sdtContent>
                      </w:sdt>
                      <w:r>
                        <w:t>) pareiginės algos;</w:t>
                      </w:r>
                    </w:p>
                  </w:sdtContent>
                </w:sdt>
                <w:sdt>
                  <w:sdtPr>
                    <w:alias w:val="4 str. 2 d. 2 p."/>
                    <w:tag w:val="part_0a8b72b71acb4b9eb96377ac28246e6c"/>
                    <w:lock w:val="sdtLocked"/>
                    <w:richText/>
                  </w:sdtPr>
                  <w:sdtContent>
                    <w:p>
                      <w:pPr>
                        <w:ind w:firstLine="567"/>
                        <w:jc w:val="both"/>
                      </w:pPr>
                      <w:sdt>
                        <w:sdtPr>
                          <w:alias w:val="Numeris"/>
                          <w:tag w:val="nr_0a8b72b71acb4b9eb96377ac28246e6c"/>
                          <w:lock w:val="sdtLocked"/>
                          <w:richText/>
                        </w:sdtPr>
                        <w:sdtContent>
                          <w:r>
                            <w:t>2</w:t>
                          </w:r>
                        </w:sdtContent>
                      </w:sdt>
                      <w:r>
                        <w:t>) priedo už ištarnautus Lietuvos valstybei metus.</w:t>
                      </w:r>
                    </w:p>
                  </w:sdtContent>
                </w:sdt>
              </w:sdtContent>
            </w:sdt>
            <w:sdt>
              <w:sdtPr>
                <w:alias w:val="4 str. 3 d."/>
                <w:tag w:val="part_ad7147396897478890c84bda5147da1f"/>
                <w:lock w:val="sdtLocked"/>
                <w:richText/>
              </w:sdtPr>
              <w:sdtContent>
                <w:p>
                  <w:pPr>
                    <w:ind w:firstLine="567"/>
                    <w:jc w:val="both"/>
                  </w:pPr>
                  <w:sdt>
                    <w:sdtPr>
                      <w:alias w:val="Numeris"/>
                      <w:tag w:val="nr_ad7147396897478890c84bda5147da1f"/>
                      <w:lock w:val="sdtLocked"/>
                      <w:richText/>
                    </w:sdtPr>
                    <w:sdtContent>
                      <w:r>
                        <w:t>3</w:t>
                      </w:r>
                    </w:sdtContent>
                  </w:sdt>
                  <w:r>
                    <w:t>. Bendrosios kompetencijos ir specializuotų teismų teisėjų pareiginė alga apskaičiuojama atitinkamos pareiginės algos koeficientą, nustatytą šio įstatymo priedėlyje, padauginus iš bazinio dydžio.</w:t>
                  </w:r>
                </w:p>
              </w:sdtContent>
            </w:sdt>
            <w:sdt>
              <w:sdtPr>
                <w:alias w:val="4 str. 4 d."/>
                <w:tag w:val="part_8ad6c9a333d147baab6db425bc759ffe"/>
                <w:lock w:val="sdtLocked"/>
                <w:richText/>
              </w:sdtPr>
              <w:sdtContent>
                <w:p>
                  <w:pPr>
                    <w:ind w:firstLine="567"/>
                    <w:jc w:val="both"/>
                  </w:pPr>
                  <w:sdt>
                    <w:sdtPr>
                      <w:alias w:val="Numeris"/>
                      <w:tag w:val="nr_8ad6c9a333d147baab6db425bc759ffe"/>
                      <w:lock w:val="sdtLocked"/>
                      <w:richText/>
                    </w:sdtPr>
                    <w:sdtContent>
                      <w:r>
                        <w:t>4</w:t>
                      </w:r>
                    </w:sdtContent>
                  </w:sdt>
                  <w:r>
                    <w:t>. Lietuvos Respublikos Konstitucinio Teismo teisėjų atlyginimas ir bendrosios kompetencijos bei specializuotų teismų teisėjų pareiginė alga apvalinama vadovaujantis bendromis skaičių apvalinimo taisyklėmis taip, kad paskutinis skaitmuo būtų 0 arba 5.</w:t>
                  </w:r>
                </w:p>
              </w:sdtContent>
            </w:sdt>
            <w:sdt>
              <w:sdtPr>
                <w:alias w:val="4 str. 5 d."/>
                <w:tag w:val="part_aff7ae82d84144fda56f855fe72335d3"/>
                <w:lock w:val="sdtLocked"/>
                <w:richText/>
              </w:sdtPr>
              <w:sdtContent>
                <w:p>
                  <w:pPr>
                    <w:ind w:firstLine="567"/>
                    <w:jc w:val="both"/>
                  </w:pPr>
                  <w:sdt>
                    <w:sdtPr>
                      <w:alias w:val="Numeris"/>
                      <w:tag w:val="nr_aff7ae82d84144fda56f855fe72335d3"/>
                      <w:lock w:val="sdtLocked"/>
                      <w:richText/>
                    </w:sdtPr>
                    <w:sdtContent>
                      <w:r>
                        <w:t>5</w:t>
                      </w:r>
                    </w:sdtContent>
                  </w:sdt>
                  <w:r>
                    <w:t>. Duomenys apie teisėjų atlyginimus yra vieši. Šie duomenys teikiami vadovaujantis Lietuvos Respublikos teisės gauti informaciją iš valstybės ir savivaldybių institucijų ir įstaigų įstatymo nustatyta tvarka.</w:t>
                  </w:r>
                </w:p>
                <w:p>
                  <w:pPr>
                    <w:ind w:firstLine="567"/>
                    <w:jc w:val="both"/>
                  </w:pPr>
                </w:p>
              </w:sdtContent>
            </w:sdt>
          </w:sdtContent>
        </w:sdt>
        <w:sdt>
          <w:sdtPr>
            <w:alias w:val="5 str."/>
            <w:tag w:val="part_0c9d950868cf4d2a94f607d4cdcfd22a"/>
            <w:lock w:val="sdtLocked"/>
            <w:richText/>
          </w:sdtPr>
          <w:sdtContent>
            <w:p>
              <w:pPr>
                <w:ind w:firstLine="567"/>
                <w:jc w:val="both"/>
                <w:rPr>
                  <w:b/>
                  <w:bCs/>
                </w:rPr>
              </w:pPr>
              <w:sdt>
                <w:sdtPr>
                  <w:alias w:val="Numeris"/>
                  <w:tag w:val="nr_0c9d950868cf4d2a94f607d4cdcfd22a"/>
                  <w:lock w:val="sdtLocked"/>
                  <w:richText/>
                </w:sdtPr>
                <w:sdtContent>
                  <w:r>
                    <w:rPr>
                      <w:b/>
                      <w:bCs/>
                    </w:rPr>
                    <w:t>5</w:t>
                  </w:r>
                </w:sdtContent>
              </w:sdt>
              <w:r>
                <w:t xml:space="preserve"> </w:t>
              </w:r>
              <w:r>
                <w:rPr>
                  <w:b/>
                  <w:bCs/>
                </w:rPr>
                <w:t xml:space="preserve">straipsnis. </w:t>
              </w:r>
              <w:sdt>
                <w:sdtPr>
                  <w:alias w:val="Pavadinimas"/>
                  <w:tag w:val="title_0c9d950868cf4d2a94f607d4cdcfd22a"/>
                  <w:lock w:val="sdtLocked"/>
                  <w:richText/>
                </w:sdtPr>
                <w:sdtContent>
                  <w:r>
                    <w:rPr>
                      <w:b/>
                      <w:bCs/>
                    </w:rPr>
                    <w:t>Priedas už ištarnautus Lietuvos valstybei metus</w:t>
                  </w:r>
                </w:sdtContent>
              </w:sdt>
            </w:p>
            <w:sdt>
              <w:sdtPr>
                <w:alias w:val="5 str. 1 d."/>
                <w:tag w:val="part_5927cacbd912437d9c3efe47807f59b3"/>
                <w:lock w:val="sdtLocked"/>
                <w:richText/>
              </w:sdtPr>
              <w:sdtContent>
                <w:p>
                  <w:pPr>
                    <w:ind w:firstLine="567"/>
                    <w:jc w:val="both"/>
                  </w:pPr>
                  <w:sdt>
                    <w:sdtPr>
                      <w:alias w:val="Numeris"/>
                      <w:tag w:val="nr_5927cacbd912437d9c3efe47807f59b3"/>
                      <w:lock w:val="sdtLocked"/>
                      <w:richText/>
                    </w:sdtPr>
                    <w:sdtContent>
                      <w:r>
                        <w:t>1</w:t>
                      </w:r>
                    </w:sdtContent>
                  </w:sdt>
                  <w:r>
                    <w:t>. Bendrosios kompetencijos ir specializuotų teismų teisėjams mokamas priedas už ištarnautus Lietuvos valstybei metus nuo 1990 m.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w:t>
                  </w:r>
                </w:p>
              </w:sdtContent>
            </w:sdt>
            <w:sdt>
              <w:sdtPr>
                <w:alias w:val="5 str. 2 d."/>
                <w:tag w:val="part_b7d198068a674d86adec96efcb7542a1"/>
                <w:lock w:val="sdtLocked"/>
                <w:richText/>
              </w:sdtPr>
              <w:sdtContent>
                <w:p>
                  <w:pPr>
                    <w:ind w:firstLine="567"/>
                    <w:jc w:val="both"/>
                  </w:pPr>
                  <w:sdt>
                    <w:sdtPr>
                      <w:alias w:val="Numeris"/>
                      <w:tag w:val="nr_b7d198068a674d86adec96efcb7542a1"/>
                      <w:lock w:val="sdtLocked"/>
                      <w:richText/>
                    </w:sdtPr>
                    <w:sdtContent>
                      <w:r>
                        <w:t>2</w:t>
                      </w:r>
                    </w:sdtContent>
                  </w:sdt>
                  <w:r>
                    <w:t>. Priedą už ištarnautus valstybei metus sudaro 3 procentai teisėjo pareiginės algos už kiekvienus trejus metus, tačiau priedo dydis neturi viršyti 30 procentų pareiginės algos.</w:t>
                  </w:r>
                </w:p>
                <w:p>
                  <w:pPr>
                    <w:ind w:firstLine="567"/>
                    <w:jc w:val="both"/>
                  </w:pPr>
                </w:p>
              </w:sdtContent>
            </w:sdt>
          </w:sdtContent>
        </w:sdt>
        <w:sdt>
          <w:sdtPr>
            <w:alias w:val="6 str."/>
            <w:tag w:val="part_0a69446e436a4f00937da2b368ea292d"/>
            <w:lock w:val="sdtLocked"/>
            <w:richText/>
          </w:sdtPr>
          <w:sdtContent>
            <w:p>
              <w:pPr>
                <w:ind w:firstLine="567"/>
                <w:jc w:val="both"/>
                <w:rPr>
                  <w:b/>
                  <w:bCs/>
                </w:rPr>
              </w:pPr>
              <w:sdt>
                <w:sdtPr>
                  <w:alias w:val="Numeris"/>
                  <w:tag w:val="nr_0a69446e436a4f00937da2b368ea292d"/>
                  <w:lock w:val="sdtLocked"/>
                  <w:richText/>
                </w:sdtPr>
                <w:sdtContent>
                  <w:r>
                    <w:rPr>
                      <w:b/>
                      <w:bCs/>
                    </w:rPr>
                    <w:t>6</w:t>
                  </w:r>
                </w:sdtContent>
              </w:sdt>
              <w:r>
                <w:t xml:space="preserve"> </w:t>
              </w:r>
              <w:r>
                <w:rPr>
                  <w:b/>
                  <w:bCs/>
                </w:rPr>
                <w:t xml:space="preserve">straipsnis. </w:t>
              </w:r>
              <w:sdt>
                <w:sdtPr>
                  <w:alias w:val="Pavadinimas"/>
                  <w:tag w:val="title_0a69446e436a4f00937da2b368ea292d"/>
                  <w:lock w:val="sdtLocked"/>
                  <w:richText/>
                </w:sdtPr>
                <w:sdtContent>
                  <w:r>
                    <w:rPr>
                      <w:b/>
                      <w:bCs/>
                    </w:rPr>
                    <w:t>Vienkartinė priemoka</w:t>
                  </w:r>
                </w:sdtContent>
              </w:sdt>
            </w:p>
            <w:sdt>
              <w:sdtPr>
                <w:alias w:val="6 str. 1 d."/>
                <w:tag w:val="part_d90ad56dfc3c4dec999b12a250617cbd"/>
                <w:lock w:val="sdtLocked"/>
                <w:richText/>
              </w:sdtPr>
              <w:sdtContent>
                <w:p>
                  <w:pPr>
                    <w:ind w:firstLine="567"/>
                    <w:jc w:val="both"/>
                  </w:pPr>
                  <w:sdt>
                    <w:sdtPr>
                      <w:alias w:val="Numeris"/>
                      <w:tag w:val="nr_d90ad56dfc3c4dec999b12a250617cbd"/>
                      <w:lock w:val="sdtLocked"/>
                      <w:richText/>
                    </w:sdtPr>
                    <w:sdtContent>
                      <w:r>
                        <w:t>1</w:t>
                      </w:r>
                    </w:sdtContent>
                  </w:sdt>
                  <w:r>
                    <w:t>. Bendrosios kompetencijos ir specializuotų teismų teisėjams metų pabaigoje už viršvalandinį darbą, darbą poilsio ir švenčių dienomis atliekant teisėjo funkcijas, nurodytas Baudžiamojo proceso kodekse, Civilinio proceso kodekse bei kituose įstatymuose, išmokama ne didesnė kaip pareiginės algos dydžio vienkartinė priemoka. Ji mokama neviršijant atitinkamų metų Lietuvos Respublikos valstybės biudžeto ir savivaldybių biudžetų finansinių rodiklių patvirtinimo įstatyme teismui nustatytų asignavimų darbo užmokesčiui. Jeigu šių lėšų nepakanka, taip pat jei teisėjas institucijoje nėra išdirbęs visų metų, priemokos dydis perskaičiuojamas proporcingai esamoms darbo užmokesčio lėšoms ir tais metais dirbtam laikui.</w:t>
                  </w:r>
                </w:p>
              </w:sdtContent>
            </w:sdt>
            <w:sdt>
              <w:sdtPr>
                <w:alias w:val="6 str. 2 d."/>
                <w:tag w:val="part_4a925f65980b497a8b4c2cf3eaab294c"/>
                <w:lock w:val="sdtLocked"/>
                <w:richText/>
              </w:sdtPr>
              <w:sdtContent>
                <w:p>
                  <w:pPr>
                    <w:ind w:firstLine="567"/>
                    <w:jc w:val="both"/>
                  </w:pPr>
                  <w:sdt>
                    <w:sdtPr>
                      <w:alias w:val="Numeris"/>
                      <w:tag w:val="nr_4a925f65980b497a8b4c2cf3eaab294c"/>
                      <w:lock w:val="sdtLocked"/>
                      <w:richText/>
                    </w:sdtPr>
                    <w:sdtContent>
                      <w:r>
                        <w:t>2</w:t>
                      </w:r>
                    </w:sdtContent>
                  </w:sdt>
                  <w:r>
                    <w:t>. Šio straipsnio 1 dalyje nurodytų priemokų dydžių nustatymo ir išmokėjimo sąlygas ir tvarką nustato Teisėjų taryba.</w:t>
                  </w:r>
                </w:p>
                <w:p>
                  <w:pPr>
                    <w:ind w:firstLine="567"/>
                    <w:jc w:val="both"/>
                  </w:pPr>
                </w:p>
              </w:sdtContent>
            </w:sdt>
          </w:sdtContent>
        </w:sdt>
        <w:sdt>
          <w:sdtPr>
            <w:alias w:val="7 str."/>
            <w:tag w:val="part_e6c1f85214c044478edb7dc1b92fed22"/>
            <w:lock w:val="sdtLocked"/>
            <w:richText/>
          </w:sdtPr>
          <w:sdtContent>
            <w:p>
              <w:pPr>
                <w:ind w:firstLine="567"/>
                <w:jc w:val="both"/>
                <w:rPr>
                  <w:b/>
                  <w:bCs/>
                </w:rPr>
              </w:pPr>
              <w:sdt>
                <w:sdtPr>
                  <w:alias w:val="Numeris"/>
                  <w:tag w:val="nr_e6c1f85214c044478edb7dc1b92fed22"/>
                  <w:lock w:val="sdtLocked"/>
                  <w:richText/>
                </w:sdtPr>
                <w:sdtContent>
                  <w:r>
                    <w:rPr>
                      <w:b/>
                      <w:bCs/>
                    </w:rPr>
                    <w:t>7</w:t>
                  </w:r>
                </w:sdtContent>
              </w:sdt>
              <w:r>
                <w:t xml:space="preserve"> </w:t>
              </w:r>
              <w:r>
                <w:rPr>
                  <w:b/>
                  <w:bCs/>
                </w:rPr>
                <w:t xml:space="preserve">straipsnis. </w:t>
              </w:r>
              <w:sdt>
                <w:sdtPr>
                  <w:alias w:val="Pavadinimas"/>
                  <w:tag w:val="title_e6c1f85214c044478edb7dc1b92fed22"/>
                  <w:lock w:val="sdtLocked"/>
                  <w:richText/>
                </w:sdtPr>
                <w:sdtContent>
                  <w:r>
                    <w:rPr>
                      <w:b/>
                      <w:bCs/>
                    </w:rPr>
                    <w:t>Įstatymo įgyvendinimas</w:t>
                  </w:r>
                </w:sdtContent>
              </w:sdt>
            </w:p>
            <w:sdt>
              <w:sdtPr>
                <w:alias w:val="7 str. 1 d."/>
                <w:tag w:val="part_c31a84b7f8c045c5b59e4ea287d4fef8"/>
                <w:lock w:val="sdtLocked"/>
                <w:richText/>
              </w:sdtPr>
              <w:sdtContent>
                <w:p>
                  <w:pPr>
                    <w:ind w:firstLine="567"/>
                    <w:jc w:val="both"/>
                  </w:pPr>
                  <w:r>
                    <w:t xml:space="preserve">Kol bus patvirtintas naujas bazinis dydis, skaičiuojant teisėjų atlyginimus, vadovaujamasi Lietuvos Respublikos valstybės politikų, teisėjų, valstybės pareigūnų ir valstybės tarnautojų pareiginės algos bazinio dydžio, taikomo 2008 metais, įstatymu (Žin., 2007, Nr. </w:t>
                  </w:r>
                  <w:hyperlink r:id="rId17" w:tgtFrame="_blank" w:history="1">
                    <w:r>
                      <w:rPr>
                        <w:color w:val="0000FF" w:themeColor="hyperlink"/>
                        <w:u w:val="single"/>
                      </w:rPr>
                      <w:t>80-3224</w:t>
                    </w:r>
                  </w:hyperlink>
                  <w:r>
                    <w:t>).</w:t>
                  </w:r>
                </w:p>
                <w:p>
                  <w:pPr>
                    <w:ind w:firstLine="567"/>
                    <w:jc w:val="both"/>
                  </w:pPr>
                </w:p>
              </w:sdtContent>
            </w:sdt>
          </w:sdtContent>
        </w:sdt>
        <w:sdt>
          <w:sdtPr>
            <w:alias w:val="signatura"/>
            <w:tag w:val="part_17a8edd8eec04e2ba5cef60fcc57e461"/>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sdtContent>
        </w:sdt>
      </w:sdtContent>
    </w:sdt>
    <w:sdt>
      <w:sdtPr>
        <w:alias w:val="pr."/>
        <w:tag w:val="part_f021182bf3da43dcb81212e746b35be4"/>
        <w:lock w:val="sdtLocked"/>
        <w:richText/>
      </w:sdtPr>
      <w:sdtContent>
        <w:p>
          <w:pPr>
            <w:ind w:left="5103"/>
          </w:pPr>
          <w:r>
            <w:t xml:space="preserve">Lietuvos Respublikos </w:t>
          </w:r>
        </w:p>
        <w:p>
          <w:pPr>
            <w:ind w:left="5103"/>
          </w:pPr>
          <w:r>
            <w:t xml:space="preserve">teisėjų atlyginimų įstatymo </w:t>
          </w:r>
        </w:p>
        <w:p>
          <w:pPr>
            <w:ind w:left="5103"/>
          </w:pPr>
          <w:r>
            <w:t>priedėlis</w:t>
          </w:r>
        </w:p>
        <w:p>
          <w:pPr>
            <w:ind w:firstLine="567"/>
            <w:jc w:val="both"/>
          </w:pPr>
        </w:p>
        <w:p>
          <w:pPr>
            <w:jc w:val="center"/>
            <w:rPr>
              <w:b/>
              <w:bCs/>
            </w:rPr>
          </w:pPr>
          <w:r>
            <w:rPr>
              <w:b/>
              <w:bCs/>
            </w:rPr>
            <w:t>I. LIETUVOS RESPUBLIKOS KONSTITUCINIO TEISMO TEISĖJŲ ATLYGINIMAI</w:t>
          </w:r>
        </w:p>
        <w:p>
          <w:pPr>
            <w:ind w:firstLine="567"/>
            <w:jc w:val="both"/>
          </w:pPr>
        </w:p>
        <w:p>
          <w:pPr>
            <w:ind w:firstLine="567"/>
            <w:jc w:val="right"/>
          </w:pPr>
          <w:r>
            <w:t>(Baziniais dydžiais)</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738"/>
            <w:gridCol w:w="4757"/>
            <w:gridCol w:w="3575"/>
          </w:tblGrid>
          <w:tr>
            <w:trPr>
              <w:cantSplit/>
              <w:trHeight w:val="23"/>
            </w:trPr>
            <w:tc>
              <w:tcPr>
                <w:tcW w:w="792" w:type="dxa"/>
                <w:tcBorders>
                  <w:top w:val="single" w:sz="6" w:space="0" w:color="auto"/>
                  <w:left w:val="single" w:sz="6" w:space="0" w:color="auto"/>
                  <w:bottom w:val="single" w:sz="6" w:space="0" w:color="auto"/>
                  <w:right w:val="single" w:sz="6" w:space="0" w:color="auto"/>
                </w:tcBorders>
              </w:tcPr>
              <w:p>
                <w:pPr>
                  <w:jc w:val="center"/>
                </w:pPr>
                <w:r>
                  <w:t>Eil. Nr.</w:t>
                </w:r>
              </w:p>
            </w:tc>
            <w:tc>
              <w:tcPr>
                <w:tcW w:w="5150" w:type="dxa"/>
                <w:tcBorders>
                  <w:top w:val="single" w:sz="6" w:space="0" w:color="auto"/>
                  <w:left w:val="single" w:sz="6" w:space="0" w:color="auto"/>
                  <w:bottom w:val="single" w:sz="6" w:space="0" w:color="auto"/>
                  <w:right w:val="single" w:sz="6" w:space="0" w:color="auto"/>
                </w:tcBorders>
              </w:tcPr>
              <w:p>
                <w:pPr>
                  <w:jc w:val="center"/>
                </w:pPr>
                <w:r>
                  <w:t>Pareigybės</w:t>
                </w:r>
              </w:p>
            </w:tc>
            <w:tc>
              <w:tcPr>
                <w:tcW w:w="3869" w:type="dxa"/>
                <w:tcBorders>
                  <w:top w:val="single" w:sz="6" w:space="0" w:color="auto"/>
                  <w:left w:val="single" w:sz="6" w:space="0" w:color="auto"/>
                  <w:bottom w:val="single" w:sz="6" w:space="0" w:color="auto"/>
                  <w:right w:val="single" w:sz="6" w:space="0" w:color="auto"/>
                </w:tcBorders>
              </w:tcPr>
              <w:p>
                <w:pPr>
                  <w:jc w:val="center"/>
                </w:pPr>
                <w:r>
                  <w:t>Atlyginimo koeficientas</w:t>
                </w:r>
              </w:p>
            </w:tc>
          </w:tr>
          <w:tr>
            <w:trPr>
              <w:cantSplit/>
              <w:trHeight w:val="23"/>
            </w:trPr>
            <w:tc>
              <w:tcPr>
                <w:tcW w:w="792" w:type="dxa"/>
                <w:tcBorders>
                  <w:top w:val="single" w:sz="6" w:space="0" w:color="auto"/>
                  <w:left w:val="single" w:sz="6" w:space="0" w:color="auto"/>
                  <w:bottom w:val="single" w:sz="6" w:space="0" w:color="auto"/>
                  <w:right w:val="single" w:sz="6" w:space="0" w:color="auto"/>
                </w:tcBorders>
              </w:tcPr>
              <w:p>
                <w:pPr>
                  <w:jc w:val="center"/>
                </w:pPr>
                <w:r>
                  <w:t>1.</w:t>
                </w:r>
              </w:p>
            </w:tc>
            <w:tc>
              <w:tcPr>
                <w:tcW w:w="5150" w:type="dxa"/>
                <w:tcBorders>
                  <w:top w:val="single" w:sz="6" w:space="0" w:color="auto"/>
                  <w:left w:val="single" w:sz="6" w:space="0" w:color="auto"/>
                  <w:bottom w:val="single" w:sz="6" w:space="0" w:color="auto"/>
                  <w:right w:val="single" w:sz="6" w:space="0" w:color="auto"/>
                </w:tcBorders>
              </w:tcPr>
              <w:p>
                <w:pPr/>
                <w:r>
                  <w:t>Lietuvos Respublikos Konstitucinio Teismo pirmininkas (ar jį pavaduojantis teisėjas)</w:t>
                </w:r>
              </w:p>
            </w:tc>
            <w:tc>
              <w:tcPr>
                <w:tcW w:w="3869" w:type="dxa"/>
                <w:tcBorders>
                  <w:top w:val="single" w:sz="6" w:space="0" w:color="auto"/>
                  <w:left w:val="single" w:sz="6" w:space="0" w:color="auto"/>
                  <w:bottom w:val="single" w:sz="6" w:space="0" w:color="auto"/>
                  <w:right w:val="single" w:sz="6" w:space="0" w:color="auto"/>
                </w:tcBorders>
              </w:tcPr>
              <w:p>
                <w:pPr>
                  <w:jc w:val="center"/>
                </w:pPr>
                <w:r>
                  <w:t>22,7</w:t>
                </w:r>
              </w:p>
            </w:tc>
          </w:tr>
          <w:tr>
            <w:trPr>
              <w:cantSplit/>
              <w:trHeight w:val="23"/>
            </w:trPr>
            <w:tc>
              <w:tcPr>
                <w:tcW w:w="792" w:type="dxa"/>
                <w:tcBorders>
                  <w:top w:val="single" w:sz="6" w:space="0" w:color="auto"/>
                  <w:left w:val="single" w:sz="6" w:space="0" w:color="auto"/>
                  <w:bottom w:val="single" w:sz="6" w:space="0" w:color="auto"/>
                  <w:right w:val="single" w:sz="6" w:space="0" w:color="auto"/>
                </w:tcBorders>
              </w:tcPr>
              <w:p>
                <w:pPr>
                  <w:jc w:val="center"/>
                </w:pPr>
                <w:r>
                  <w:t>2.</w:t>
                </w:r>
              </w:p>
            </w:tc>
            <w:tc>
              <w:tcPr>
                <w:tcW w:w="5150" w:type="dxa"/>
                <w:tcBorders>
                  <w:top w:val="single" w:sz="6" w:space="0" w:color="auto"/>
                  <w:left w:val="single" w:sz="6" w:space="0" w:color="auto"/>
                  <w:bottom w:val="single" w:sz="6" w:space="0" w:color="auto"/>
                  <w:right w:val="single" w:sz="6" w:space="0" w:color="auto"/>
                </w:tcBorders>
              </w:tcPr>
              <w:p>
                <w:pPr/>
                <w:r>
                  <w:t>Lietuvos Respublikos Konstitucinio Teismo teisėjas</w:t>
                </w:r>
              </w:p>
            </w:tc>
            <w:tc>
              <w:tcPr>
                <w:tcW w:w="3869" w:type="dxa"/>
                <w:tcBorders>
                  <w:top w:val="single" w:sz="6" w:space="0" w:color="auto"/>
                  <w:left w:val="single" w:sz="6" w:space="0" w:color="auto"/>
                  <w:bottom w:val="single" w:sz="6" w:space="0" w:color="auto"/>
                  <w:right w:val="single" w:sz="6" w:space="0" w:color="auto"/>
                </w:tcBorders>
              </w:tcPr>
              <w:p>
                <w:pPr>
                  <w:jc w:val="center"/>
                </w:pPr>
                <w:r>
                  <w:t>20,6</w:t>
                </w:r>
              </w:p>
            </w:tc>
          </w:tr>
        </w:tbl>
        <w:p>
          <w:pPr>
            <w:ind w:firstLine="567"/>
            <w:jc w:val="both"/>
          </w:pPr>
        </w:p>
        <w:p>
          <w:pPr>
            <w:jc w:val="center"/>
            <w:rPr>
              <w:b/>
              <w:bCs/>
            </w:rPr>
          </w:pPr>
          <w:r>
            <w:rPr>
              <w:b/>
              <w:bCs/>
            </w:rPr>
            <w:t>II. BENDROSIOS KOMPETENCIJOS IR SPECIALIZUOTŲ TEISMŲ TEISĖJŲ PAREIGINĖS ALGOS</w:t>
          </w:r>
        </w:p>
        <w:p>
          <w:pPr>
            <w:ind w:firstLine="567"/>
            <w:jc w:val="both"/>
          </w:pPr>
        </w:p>
        <w:p>
          <w:pPr>
            <w:ind w:firstLine="567"/>
            <w:jc w:val="right"/>
          </w:pPr>
          <w:r>
            <w:t>(Baziniais dydžiais)</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635"/>
            <w:gridCol w:w="2609"/>
            <w:gridCol w:w="1705"/>
            <w:gridCol w:w="1441"/>
            <w:gridCol w:w="1397"/>
            <w:gridCol w:w="1283"/>
          </w:tblGrid>
          <w:tr>
            <w:trPr>
              <w:cantSplit/>
              <w:trHeight w:val="23"/>
              <w:tblHeader/>
            </w:trPr>
            <w:tc>
              <w:tcPr>
                <w:tcW w:w="635" w:type="dxa"/>
                <w:vMerge w:val="restart"/>
                <w:tcBorders>
                  <w:top w:val="single" w:sz="6" w:space="0" w:color="auto"/>
                  <w:left w:val="single" w:sz="6" w:space="0" w:color="auto"/>
                  <w:right w:val="single" w:sz="6" w:space="0" w:color="auto"/>
                </w:tcBorders>
                <w:vAlign w:val="center"/>
              </w:tcPr>
              <w:p>
                <w:pPr>
                  <w:jc w:val="center"/>
                </w:pPr>
                <w:r>
                  <w:t>Eil. Nr.</w:t>
                </w:r>
              </w:p>
            </w:tc>
            <w:tc>
              <w:tcPr>
                <w:tcW w:w="2609" w:type="dxa"/>
                <w:vMerge w:val="restart"/>
                <w:tcBorders>
                  <w:top w:val="single" w:sz="6" w:space="0" w:color="auto"/>
                  <w:left w:val="single" w:sz="6" w:space="0" w:color="auto"/>
                  <w:right w:val="single" w:sz="6" w:space="0" w:color="auto"/>
                </w:tcBorders>
                <w:vAlign w:val="center"/>
              </w:tcPr>
              <w:p>
                <w:pPr>
                  <w:jc w:val="center"/>
                </w:pPr>
                <w:r>
                  <w:t>Įstaigos pavadinimas</w:t>
                </w:r>
              </w:p>
            </w:tc>
            <w:tc>
              <w:tcPr>
                <w:tcW w:w="5826" w:type="dxa"/>
                <w:gridSpan w:val="4"/>
                <w:tcBorders>
                  <w:top w:val="single" w:sz="6" w:space="0" w:color="auto"/>
                  <w:left w:val="single" w:sz="6" w:space="0" w:color="auto"/>
                  <w:bottom w:val="single" w:sz="6" w:space="0" w:color="auto"/>
                  <w:right w:val="single" w:sz="6" w:space="0" w:color="auto"/>
                </w:tcBorders>
                <w:vAlign w:val="center"/>
              </w:tcPr>
              <w:p>
                <w:pPr>
                  <w:jc w:val="center"/>
                </w:pPr>
                <w:r>
                  <w:t>Pareiginės algos koeficientas</w:t>
                </w:r>
              </w:p>
            </w:tc>
          </w:tr>
          <w:tr>
            <w:trPr>
              <w:cantSplit/>
              <w:trHeight w:val="23"/>
              <w:tblHeader/>
            </w:trPr>
            <w:tc>
              <w:tcPr>
                <w:tcW w:w="635" w:type="dxa"/>
                <w:vMerge/>
                <w:tcBorders>
                  <w:left w:val="single" w:sz="6" w:space="0" w:color="auto"/>
                  <w:bottom w:val="single" w:sz="6" w:space="0" w:color="auto"/>
                  <w:right w:val="single" w:sz="6" w:space="0" w:color="auto"/>
                </w:tcBorders>
                <w:vAlign w:val="center"/>
              </w:tcPr>
              <w:p>
                <w:pPr>
                  <w:jc w:val="center"/>
                </w:pPr>
              </w:p>
            </w:tc>
            <w:tc>
              <w:tcPr>
                <w:tcW w:w="2609" w:type="dxa"/>
                <w:vMerge/>
                <w:tcBorders>
                  <w:left w:val="single" w:sz="6" w:space="0" w:color="auto"/>
                  <w:bottom w:val="single" w:sz="6" w:space="0" w:color="auto"/>
                  <w:right w:val="single" w:sz="6" w:space="0" w:color="auto"/>
                </w:tcBorders>
                <w:vAlign w:val="center"/>
              </w:tcPr>
              <w:p>
                <w:pPr>
                  <w:jc w:val="center"/>
                </w:pPr>
              </w:p>
            </w:tc>
            <w:tc>
              <w:tcPr>
                <w:tcW w:w="1705" w:type="dxa"/>
                <w:tcBorders>
                  <w:top w:val="single" w:sz="6" w:space="0" w:color="auto"/>
                  <w:left w:val="single" w:sz="6" w:space="0" w:color="auto"/>
                  <w:bottom w:val="single" w:sz="6" w:space="0" w:color="auto"/>
                  <w:right w:val="single" w:sz="6" w:space="0" w:color="auto"/>
                </w:tcBorders>
                <w:vAlign w:val="center"/>
              </w:tcPr>
              <w:p>
                <w:pPr>
                  <w:jc w:val="center"/>
                </w:pPr>
                <w:r>
                  <w:t>pirmininko ar jį pavaduojančiojo (kai nėra etatinio pavaduotojo)</w:t>
                </w:r>
              </w:p>
            </w:tc>
            <w:tc>
              <w:tcPr>
                <w:tcW w:w="1441" w:type="dxa"/>
                <w:tcBorders>
                  <w:top w:val="single" w:sz="6" w:space="0" w:color="auto"/>
                  <w:left w:val="single" w:sz="6" w:space="0" w:color="auto"/>
                  <w:bottom w:val="single" w:sz="6" w:space="0" w:color="auto"/>
                  <w:right w:val="single" w:sz="6" w:space="0" w:color="auto"/>
                </w:tcBorders>
                <w:vAlign w:val="center"/>
              </w:tcPr>
              <w:p>
                <w:pPr>
                  <w:jc w:val="center"/>
                </w:pPr>
                <w:r>
                  <w:t>pirmininko pavaduotojo</w:t>
                </w:r>
              </w:p>
            </w:tc>
            <w:tc>
              <w:tcPr>
                <w:tcW w:w="1397" w:type="dxa"/>
                <w:tcBorders>
                  <w:top w:val="single" w:sz="6" w:space="0" w:color="auto"/>
                  <w:left w:val="single" w:sz="6" w:space="0" w:color="auto"/>
                  <w:bottom w:val="single" w:sz="6" w:space="0" w:color="auto"/>
                  <w:right w:val="single" w:sz="6" w:space="0" w:color="auto"/>
                </w:tcBorders>
                <w:vAlign w:val="center"/>
              </w:tcPr>
              <w:p>
                <w:pPr>
                  <w:jc w:val="center"/>
                </w:pPr>
                <w:r>
                  <w:t>skyriaus pirmininko</w:t>
                </w:r>
              </w:p>
            </w:tc>
            <w:tc>
              <w:tcPr>
                <w:tcW w:w="1283" w:type="dxa"/>
                <w:tcBorders>
                  <w:top w:val="single" w:sz="6" w:space="0" w:color="auto"/>
                  <w:left w:val="single" w:sz="6" w:space="0" w:color="auto"/>
                  <w:bottom w:val="single" w:sz="6" w:space="0" w:color="auto"/>
                  <w:right w:val="single" w:sz="6" w:space="0" w:color="auto"/>
                </w:tcBorders>
                <w:vAlign w:val="center"/>
              </w:tcPr>
              <w:p>
                <w:pPr>
                  <w:jc w:val="center"/>
                </w:pPr>
                <w:r>
                  <w:t>teisėjo</w:t>
                </w:r>
              </w:p>
            </w:tc>
          </w:tr>
          <w:tr>
            <w:trPr>
              <w:cantSplit/>
              <w:trHeight w:val="23"/>
            </w:trPr>
            <w:tc>
              <w:tcPr>
                <w:tcW w:w="635" w:type="dxa"/>
                <w:tcBorders>
                  <w:top w:val="single" w:sz="6" w:space="0" w:color="auto"/>
                  <w:left w:val="single" w:sz="6" w:space="0" w:color="auto"/>
                  <w:bottom w:val="nil"/>
                  <w:right w:val="single" w:sz="6" w:space="0" w:color="auto"/>
                </w:tcBorders>
              </w:tcPr>
              <w:p>
                <w:pPr>
                  <w:jc w:val="center"/>
                </w:pPr>
                <w:r>
                  <w:t>1.</w:t>
                </w:r>
              </w:p>
            </w:tc>
            <w:tc>
              <w:tcPr>
                <w:tcW w:w="2609" w:type="dxa"/>
                <w:tcBorders>
                  <w:top w:val="single" w:sz="6" w:space="0" w:color="auto"/>
                  <w:left w:val="single" w:sz="6" w:space="0" w:color="auto"/>
                  <w:bottom w:val="nil"/>
                  <w:right w:val="single" w:sz="6" w:space="0" w:color="auto"/>
                </w:tcBorders>
              </w:tcPr>
              <w:p>
                <w:pPr/>
                <w:r>
                  <w:t>Lietuvos Aukščiausiasis Teismas</w:t>
                </w:r>
              </w:p>
            </w:tc>
            <w:tc>
              <w:tcPr>
                <w:tcW w:w="1705" w:type="dxa"/>
                <w:tcBorders>
                  <w:top w:val="single" w:sz="6" w:space="0" w:color="auto"/>
                  <w:left w:val="single" w:sz="6" w:space="0" w:color="auto"/>
                  <w:bottom w:val="nil"/>
                  <w:right w:val="single" w:sz="6" w:space="0" w:color="auto"/>
                </w:tcBorders>
                <w:vAlign w:val="center"/>
              </w:tcPr>
              <w:p>
                <w:pPr>
                  <w:jc w:val="center"/>
                </w:pPr>
                <w:r>
                  <w:t>19,1</w:t>
                </w:r>
              </w:p>
            </w:tc>
            <w:tc>
              <w:tcPr>
                <w:tcW w:w="1441" w:type="dxa"/>
                <w:tcBorders>
                  <w:top w:val="single" w:sz="6" w:space="0" w:color="auto"/>
                  <w:left w:val="single" w:sz="6" w:space="0" w:color="auto"/>
                  <w:bottom w:val="nil"/>
                  <w:right w:val="single" w:sz="6" w:space="0" w:color="auto"/>
                </w:tcBorders>
                <w:vAlign w:val="center"/>
              </w:tcPr>
              <w:p>
                <w:pPr>
                  <w:jc w:val="center"/>
                </w:pPr>
                <w:r>
                  <w:t>–</w:t>
                </w:r>
              </w:p>
            </w:tc>
            <w:tc>
              <w:tcPr>
                <w:tcW w:w="1397" w:type="dxa"/>
                <w:tcBorders>
                  <w:top w:val="single" w:sz="6" w:space="0" w:color="auto"/>
                  <w:left w:val="single" w:sz="6" w:space="0" w:color="auto"/>
                  <w:bottom w:val="nil"/>
                  <w:right w:val="single" w:sz="6" w:space="0" w:color="auto"/>
                </w:tcBorders>
                <w:vAlign w:val="center"/>
              </w:tcPr>
              <w:p>
                <w:pPr>
                  <w:jc w:val="center"/>
                </w:pPr>
                <w:r>
                  <w:t>17,78</w:t>
                </w:r>
              </w:p>
            </w:tc>
            <w:tc>
              <w:tcPr>
                <w:tcW w:w="1283" w:type="dxa"/>
                <w:tcBorders>
                  <w:top w:val="single" w:sz="6" w:space="0" w:color="auto"/>
                  <w:left w:val="single" w:sz="6" w:space="0" w:color="auto"/>
                  <w:bottom w:val="nil"/>
                  <w:right w:val="single" w:sz="6" w:space="0" w:color="auto"/>
                </w:tcBorders>
                <w:vAlign w:val="center"/>
              </w:tcPr>
              <w:p>
                <w:pPr>
                  <w:jc w:val="center"/>
                </w:pPr>
                <w:r>
                  <w:t>16,9</w:t>
                </w:r>
              </w:p>
            </w:tc>
          </w:tr>
          <w:tr>
            <w:trPr>
              <w:cantSplit/>
              <w:trHeight w:val="23"/>
            </w:trPr>
            <w:tc>
              <w:tcPr>
                <w:tcW w:w="635" w:type="dxa"/>
                <w:tcBorders>
                  <w:top w:val="single" w:sz="6" w:space="0" w:color="auto"/>
                  <w:left w:val="single" w:sz="6" w:space="0" w:color="auto"/>
                  <w:bottom w:val="nil"/>
                  <w:right w:val="single" w:sz="6" w:space="0" w:color="auto"/>
                </w:tcBorders>
              </w:tcPr>
              <w:p>
                <w:pPr>
                  <w:jc w:val="center"/>
                </w:pPr>
                <w:r>
                  <w:t>2.</w:t>
                </w:r>
              </w:p>
            </w:tc>
            <w:tc>
              <w:tcPr>
                <w:tcW w:w="2609" w:type="dxa"/>
                <w:tcBorders>
                  <w:top w:val="single" w:sz="6" w:space="0" w:color="auto"/>
                  <w:left w:val="single" w:sz="6" w:space="0" w:color="auto"/>
                  <w:bottom w:val="nil"/>
                  <w:right w:val="single" w:sz="6" w:space="0" w:color="auto"/>
                </w:tcBorders>
              </w:tcPr>
              <w:p>
                <w:pPr/>
                <w:r>
                  <w:t>Lietuvos vyriausiasis administracinis teismas</w:t>
                </w:r>
              </w:p>
            </w:tc>
            <w:tc>
              <w:tcPr>
                <w:tcW w:w="1705" w:type="dxa"/>
                <w:tcBorders>
                  <w:top w:val="single" w:sz="6" w:space="0" w:color="auto"/>
                  <w:left w:val="single" w:sz="6" w:space="0" w:color="auto"/>
                  <w:bottom w:val="nil"/>
                  <w:right w:val="single" w:sz="6" w:space="0" w:color="auto"/>
                </w:tcBorders>
                <w:vAlign w:val="center"/>
              </w:tcPr>
              <w:p>
                <w:pPr>
                  <w:jc w:val="center"/>
                </w:pPr>
                <w:r>
                  <w:t>18,39</w:t>
                </w:r>
              </w:p>
            </w:tc>
            <w:tc>
              <w:tcPr>
                <w:tcW w:w="1441" w:type="dxa"/>
                <w:tcBorders>
                  <w:top w:val="single" w:sz="6" w:space="0" w:color="auto"/>
                  <w:left w:val="single" w:sz="6" w:space="0" w:color="auto"/>
                  <w:bottom w:val="nil"/>
                  <w:right w:val="single" w:sz="6" w:space="0" w:color="auto"/>
                </w:tcBorders>
                <w:vAlign w:val="center"/>
              </w:tcPr>
              <w:p>
                <w:pPr>
                  <w:jc w:val="center"/>
                </w:pPr>
                <w:r>
                  <w:t>17,34</w:t>
                </w:r>
              </w:p>
            </w:tc>
            <w:tc>
              <w:tcPr>
                <w:tcW w:w="1397" w:type="dxa"/>
                <w:tcBorders>
                  <w:top w:val="single" w:sz="6" w:space="0" w:color="auto"/>
                  <w:left w:val="single" w:sz="6" w:space="0" w:color="auto"/>
                  <w:bottom w:val="nil"/>
                  <w:right w:val="single" w:sz="6" w:space="0" w:color="auto"/>
                </w:tcBorders>
                <w:vAlign w:val="center"/>
              </w:tcPr>
              <w:p>
                <w:pPr>
                  <w:jc w:val="center"/>
                </w:pPr>
                <w:r>
                  <w:t>–</w:t>
                </w:r>
              </w:p>
            </w:tc>
            <w:tc>
              <w:tcPr>
                <w:tcW w:w="1283" w:type="dxa"/>
                <w:tcBorders>
                  <w:top w:val="single" w:sz="6" w:space="0" w:color="auto"/>
                  <w:left w:val="single" w:sz="6" w:space="0" w:color="auto"/>
                  <w:bottom w:val="nil"/>
                  <w:right w:val="single" w:sz="6" w:space="0" w:color="auto"/>
                </w:tcBorders>
                <w:vAlign w:val="center"/>
              </w:tcPr>
              <w:p>
                <w:pPr>
                  <w:jc w:val="center"/>
                </w:pPr>
                <w:r>
                  <w:t>16,46</w:t>
                </w:r>
              </w:p>
            </w:tc>
          </w:tr>
          <w:tr>
            <w:trPr>
              <w:cantSplit/>
              <w:trHeight w:val="23"/>
            </w:trPr>
            <w:tc>
              <w:tcPr>
                <w:tcW w:w="635" w:type="dxa"/>
                <w:tcBorders>
                  <w:top w:val="single" w:sz="6" w:space="0" w:color="auto"/>
                  <w:left w:val="single" w:sz="6" w:space="0" w:color="auto"/>
                  <w:bottom w:val="single" w:sz="6" w:space="0" w:color="auto"/>
                  <w:right w:val="single" w:sz="6" w:space="0" w:color="auto"/>
                </w:tcBorders>
              </w:tcPr>
              <w:p>
                <w:pPr>
                  <w:jc w:val="center"/>
                </w:pPr>
                <w:r>
                  <w:t>3.</w:t>
                </w:r>
              </w:p>
            </w:tc>
            <w:tc>
              <w:tcPr>
                <w:tcW w:w="2609" w:type="dxa"/>
                <w:tcBorders>
                  <w:top w:val="single" w:sz="6" w:space="0" w:color="auto"/>
                  <w:left w:val="single" w:sz="6" w:space="0" w:color="auto"/>
                  <w:bottom w:val="single" w:sz="6" w:space="0" w:color="auto"/>
                  <w:right w:val="single" w:sz="6" w:space="0" w:color="auto"/>
                </w:tcBorders>
              </w:tcPr>
              <w:p>
                <w:pPr/>
                <w:r>
                  <w:t>Lietuvos apeliacinis teismas</w:t>
                </w:r>
              </w:p>
            </w:tc>
            <w:tc>
              <w:tcPr>
                <w:tcW w:w="1705" w:type="dxa"/>
                <w:tcBorders>
                  <w:top w:val="single" w:sz="6" w:space="0" w:color="auto"/>
                  <w:left w:val="single" w:sz="6" w:space="0" w:color="auto"/>
                  <w:bottom w:val="single" w:sz="6" w:space="0" w:color="auto"/>
                  <w:right w:val="single" w:sz="6" w:space="0" w:color="auto"/>
                </w:tcBorders>
                <w:vAlign w:val="center"/>
              </w:tcPr>
              <w:p>
                <w:pPr>
                  <w:jc w:val="center"/>
                </w:pPr>
                <w:r>
                  <w:t>17,78</w:t>
                </w:r>
              </w:p>
            </w:tc>
            <w:tc>
              <w:tcPr>
                <w:tcW w:w="1441"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1397" w:type="dxa"/>
                <w:tcBorders>
                  <w:top w:val="single" w:sz="6" w:space="0" w:color="auto"/>
                  <w:left w:val="single" w:sz="6" w:space="0" w:color="auto"/>
                  <w:bottom w:val="single" w:sz="6" w:space="0" w:color="auto"/>
                  <w:right w:val="single" w:sz="6" w:space="0" w:color="auto"/>
                </w:tcBorders>
                <w:vAlign w:val="center"/>
              </w:tcPr>
              <w:p>
                <w:pPr>
                  <w:jc w:val="center"/>
                </w:pPr>
                <w:r>
                  <w:t>16,9</w:t>
                </w:r>
              </w:p>
            </w:tc>
            <w:tc>
              <w:tcPr>
                <w:tcW w:w="1283" w:type="dxa"/>
                <w:tcBorders>
                  <w:top w:val="single" w:sz="6" w:space="0" w:color="auto"/>
                  <w:left w:val="single" w:sz="6" w:space="0" w:color="auto"/>
                  <w:bottom w:val="single" w:sz="6" w:space="0" w:color="auto"/>
                  <w:right w:val="single" w:sz="6" w:space="0" w:color="auto"/>
                </w:tcBorders>
                <w:vAlign w:val="center"/>
              </w:tcPr>
              <w:p>
                <w:pPr>
                  <w:jc w:val="center"/>
                </w:pPr>
                <w:r>
                  <w:t>16,02</w:t>
                </w:r>
              </w:p>
            </w:tc>
          </w:tr>
          <w:tr>
            <w:trPr>
              <w:cantSplit/>
              <w:trHeight w:val="23"/>
            </w:trPr>
            <w:tc>
              <w:tcPr>
                <w:tcW w:w="635" w:type="dxa"/>
                <w:tcBorders>
                  <w:top w:val="single" w:sz="6" w:space="0" w:color="auto"/>
                  <w:left w:val="single" w:sz="6" w:space="0" w:color="auto"/>
                  <w:bottom w:val="single" w:sz="6" w:space="0" w:color="auto"/>
                  <w:right w:val="single" w:sz="6" w:space="0" w:color="auto"/>
                </w:tcBorders>
              </w:tcPr>
              <w:p>
                <w:pPr>
                  <w:jc w:val="center"/>
                </w:pPr>
                <w:r>
                  <w:t>4.</w:t>
                </w:r>
              </w:p>
            </w:tc>
            <w:tc>
              <w:tcPr>
                <w:tcW w:w="2609" w:type="dxa"/>
                <w:tcBorders>
                  <w:top w:val="single" w:sz="6" w:space="0" w:color="auto"/>
                  <w:left w:val="single" w:sz="6" w:space="0" w:color="auto"/>
                  <w:bottom w:val="single" w:sz="6" w:space="0" w:color="auto"/>
                  <w:right w:val="single" w:sz="6" w:space="0" w:color="auto"/>
                </w:tcBorders>
              </w:tcPr>
              <w:p>
                <w:pPr/>
                <w:r>
                  <w:t>Apygardų teismai</w:t>
                </w:r>
              </w:p>
            </w:tc>
            <w:tc>
              <w:tcPr>
                <w:tcW w:w="1705" w:type="dxa"/>
                <w:tcBorders>
                  <w:top w:val="single" w:sz="6" w:space="0" w:color="auto"/>
                  <w:left w:val="single" w:sz="6" w:space="0" w:color="auto"/>
                  <w:bottom w:val="single" w:sz="6" w:space="0" w:color="auto"/>
                  <w:right w:val="single" w:sz="6" w:space="0" w:color="auto"/>
                </w:tcBorders>
                <w:vAlign w:val="center"/>
              </w:tcPr>
              <w:p>
                <w:pPr>
                  <w:jc w:val="center"/>
                </w:pPr>
                <w:r>
                  <w:t>16,9</w:t>
                </w:r>
              </w:p>
            </w:tc>
            <w:tc>
              <w:tcPr>
                <w:tcW w:w="1441"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1397" w:type="dxa"/>
                <w:tcBorders>
                  <w:top w:val="single" w:sz="6" w:space="0" w:color="auto"/>
                  <w:left w:val="single" w:sz="6" w:space="0" w:color="auto"/>
                  <w:bottom w:val="single" w:sz="6" w:space="0" w:color="auto"/>
                  <w:right w:val="single" w:sz="6" w:space="0" w:color="auto"/>
                </w:tcBorders>
                <w:vAlign w:val="center"/>
              </w:tcPr>
              <w:p>
                <w:pPr>
                  <w:jc w:val="center"/>
                </w:pPr>
                <w:r>
                  <w:t>16,02</w:t>
                </w:r>
              </w:p>
            </w:tc>
            <w:tc>
              <w:tcPr>
                <w:tcW w:w="1283" w:type="dxa"/>
                <w:tcBorders>
                  <w:top w:val="single" w:sz="6" w:space="0" w:color="auto"/>
                  <w:left w:val="single" w:sz="6" w:space="0" w:color="auto"/>
                  <w:bottom w:val="single" w:sz="6" w:space="0" w:color="auto"/>
                  <w:right w:val="single" w:sz="6" w:space="0" w:color="auto"/>
                </w:tcBorders>
                <w:vAlign w:val="center"/>
              </w:tcPr>
              <w:p>
                <w:pPr>
                  <w:jc w:val="center"/>
                </w:pPr>
                <w:r>
                  <w:t>15,14</w:t>
                </w:r>
              </w:p>
            </w:tc>
          </w:tr>
          <w:tr>
            <w:trPr>
              <w:cantSplit/>
              <w:trHeight w:val="23"/>
            </w:trPr>
            <w:tc>
              <w:tcPr>
                <w:tcW w:w="635" w:type="dxa"/>
                <w:tcBorders>
                  <w:top w:val="single" w:sz="6" w:space="0" w:color="auto"/>
                  <w:left w:val="single" w:sz="6" w:space="0" w:color="auto"/>
                  <w:bottom w:val="single" w:sz="6" w:space="0" w:color="auto"/>
                  <w:right w:val="single" w:sz="6" w:space="0" w:color="auto"/>
                </w:tcBorders>
              </w:tcPr>
              <w:p>
                <w:pPr>
                  <w:jc w:val="center"/>
                </w:pPr>
                <w:r>
                  <w:t>5.</w:t>
                </w:r>
              </w:p>
            </w:tc>
            <w:tc>
              <w:tcPr>
                <w:tcW w:w="2609" w:type="dxa"/>
                <w:tcBorders>
                  <w:top w:val="single" w:sz="6" w:space="0" w:color="auto"/>
                  <w:left w:val="single" w:sz="6" w:space="0" w:color="auto"/>
                  <w:bottom w:val="single" w:sz="6" w:space="0" w:color="auto"/>
                  <w:right w:val="single" w:sz="6" w:space="0" w:color="auto"/>
                </w:tcBorders>
              </w:tcPr>
              <w:p>
                <w:pPr/>
                <w:r>
                  <w:t>Apygardų administraciniai teismai</w:t>
                </w:r>
              </w:p>
            </w:tc>
            <w:tc>
              <w:tcPr>
                <w:tcW w:w="1705" w:type="dxa"/>
                <w:tcBorders>
                  <w:top w:val="single" w:sz="6" w:space="0" w:color="auto"/>
                  <w:left w:val="single" w:sz="6" w:space="0" w:color="auto"/>
                  <w:bottom w:val="single" w:sz="6" w:space="0" w:color="auto"/>
                  <w:right w:val="single" w:sz="6" w:space="0" w:color="auto"/>
                </w:tcBorders>
                <w:vAlign w:val="center"/>
              </w:tcPr>
              <w:p>
                <w:pPr>
                  <w:jc w:val="center"/>
                </w:pPr>
                <w:r>
                  <w:t>16,9</w:t>
                </w:r>
              </w:p>
            </w:tc>
            <w:tc>
              <w:tcPr>
                <w:tcW w:w="1441" w:type="dxa"/>
                <w:tcBorders>
                  <w:top w:val="single" w:sz="6" w:space="0" w:color="auto"/>
                  <w:left w:val="single" w:sz="6" w:space="0" w:color="auto"/>
                  <w:bottom w:val="single" w:sz="6" w:space="0" w:color="auto"/>
                  <w:right w:val="single" w:sz="6" w:space="0" w:color="auto"/>
                </w:tcBorders>
                <w:vAlign w:val="center"/>
              </w:tcPr>
              <w:p>
                <w:pPr>
                  <w:jc w:val="center"/>
                </w:pPr>
                <w:r>
                  <w:t>16,02</w:t>
                </w:r>
              </w:p>
            </w:tc>
            <w:tc>
              <w:tcPr>
                <w:tcW w:w="1397"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1283" w:type="dxa"/>
                <w:tcBorders>
                  <w:top w:val="single" w:sz="6" w:space="0" w:color="auto"/>
                  <w:left w:val="single" w:sz="6" w:space="0" w:color="auto"/>
                  <w:bottom w:val="single" w:sz="6" w:space="0" w:color="auto"/>
                  <w:right w:val="single" w:sz="6" w:space="0" w:color="auto"/>
                </w:tcBorders>
                <w:vAlign w:val="center"/>
              </w:tcPr>
              <w:p>
                <w:pPr>
                  <w:jc w:val="center"/>
                </w:pPr>
                <w:r>
                  <w:t>15,14</w:t>
                </w:r>
              </w:p>
            </w:tc>
          </w:tr>
          <w:tr>
            <w:trPr>
              <w:cantSplit/>
              <w:trHeight w:val="23"/>
            </w:trPr>
            <w:tc>
              <w:tcPr>
                <w:tcW w:w="635" w:type="dxa"/>
                <w:tcBorders>
                  <w:top w:val="single" w:sz="6" w:space="0" w:color="auto"/>
                  <w:left w:val="single" w:sz="6" w:space="0" w:color="auto"/>
                  <w:bottom w:val="single" w:sz="6" w:space="0" w:color="auto"/>
                  <w:right w:val="single" w:sz="6" w:space="0" w:color="auto"/>
                </w:tcBorders>
              </w:tcPr>
              <w:p>
                <w:pPr>
                  <w:jc w:val="center"/>
                </w:pPr>
                <w:r>
                  <w:t>6.</w:t>
                </w:r>
              </w:p>
            </w:tc>
            <w:tc>
              <w:tcPr>
                <w:tcW w:w="2609" w:type="dxa"/>
                <w:tcBorders>
                  <w:top w:val="single" w:sz="6" w:space="0" w:color="auto"/>
                  <w:left w:val="single" w:sz="6" w:space="0" w:color="auto"/>
                  <w:bottom w:val="single" w:sz="6" w:space="0" w:color="auto"/>
                  <w:right w:val="single" w:sz="6" w:space="0" w:color="auto"/>
                </w:tcBorders>
              </w:tcPr>
              <w:p>
                <w:pPr/>
                <w:r>
                  <w:t>Apylinkių teismai:</w:t>
                </w:r>
              </w:p>
            </w:tc>
            <w:tc>
              <w:tcPr>
                <w:tcW w:w="1705" w:type="dxa"/>
                <w:tcBorders>
                  <w:top w:val="single" w:sz="6" w:space="0" w:color="auto"/>
                  <w:left w:val="single" w:sz="6" w:space="0" w:color="auto"/>
                  <w:bottom w:val="single" w:sz="6" w:space="0" w:color="auto"/>
                  <w:right w:val="single" w:sz="6" w:space="0" w:color="auto"/>
                </w:tcBorders>
                <w:vAlign w:val="center"/>
              </w:tcPr>
              <w:p>
                <w:pPr>
                  <w:jc w:val="center"/>
                </w:pPr>
              </w:p>
            </w:tc>
            <w:tc>
              <w:tcPr>
                <w:tcW w:w="1441" w:type="dxa"/>
                <w:tcBorders>
                  <w:top w:val="single" w:sz="6" w:space="0" w:color="auto"/>
                  <w:left w:val="single" w:sz="6" w:space="0" w:color="auto"/>
                  <w:bottom w:val="single" w:sz="6" w:space="0" w:color="auto"/>
                  <w:right w:val="single" w:sz="6" w:space="0" w:color="auto"/>
                </w:tcBorders>
                <w:vAlign w:val="center"/>
              </w:tcPr>
              <w:p>
                <w:pPr>
                  <w:jc w:val="center"/>
                </w:pPr>
              </w:p>
            </w:tc>
            <w:tc>
              <w:tcPr>
                <w:tcW w:w="1397" w:type="dxa"/>
                <w:tcBorders>
                  <w:top w:val="single" w:sz="6" w:space="0" w:color="auto"/>
                  <w:left w:val="single" w:sz="6" w:space="0" w:color="auto"/>
                  <w:bottom w:val="single" w:sz="6" w:space="0" w:color="auto"/>
                  <w:right w:val="single" w:sz="6" w:space="0" w:color="auto"/>
                </w:tcBorders>
                <w:vAlign w:val="center"/>
              </w:tcPr>
              <w:p>
                <w:pPr>
                  <w:jc w:val="center"/>
                </w:pPr>
              </w:p>
            </w:tc>
            <w:tc>
              <w:tcPr>
                <w:tcW w:w="1283" w:type="dxa"/>
                <w:tcBorders>
                  <w:top w:val="single" w:sz="6" w:space="0" w:color="auto"/>
                  <w:left w:val="single" w:sz="6" w:space="0" w:color="auto"/>
                  <w:bottom w:val="single" w:sz="6" w:space="0" w:color="auto"/>
                  <w:right w:val="single" w:sz="6" w:space="0" w:color="auto"/>
                </w:tcBorders>
                <w:vAlign w:val="center"/>
              </w:tcPr>
              <w:p>
                <w:pPr>
                  <w:jc w:val="center"/>
                </w:pPr>
              </w:p>
            </w:tc>
          </w:tr>
          <w:tr>
            <w:trPr>
              <w:cantSplit/>
              <w:trHeight w:val="23"/>
            </w:trPr>
            <w:tc>
              <w:tcPr>
                <w:tcW w:w="635" w:type="dxa"/>
                <w:tcBorders>
                  <w:top w:val="single" w:sz="6" w:space="0" w:color="auto"/>
                  <w:left w:val="single" w:sz="6" w:space="0" w:color="auto"/>
                  <w:bottom w:val="single" w:sz="6" w:space="0" w:color="auto"/>
                  <w:right w:val="single" w:sz="6" w:space="0" w:color="auto"/>
                </w:tcBorders>
              </w:tcPr>
              <w:p>
                <w:pPr>
                  <w:jc w:val="center"/>
                </w:pPr>
                <w:r>
                  <w:t>6.1.</w:t>
                </w:r>
              </w:p>
            </w:tc>
            <w:tc>
              <w:tcPr>
                <w:tcW w:w="2609" w:type="dxa"/>
                <w:tcBorders>
                  <w:top w:val="single" w:sz="6" w:space="0" w:color="auto"/>
                  <w:left w:val="single" w:sz="6" w:space="0" w:color="auto"/>
                  <w:bottom w:val="single" w:sz="6" w:space="0" w:color="auto"/>
                  <w:right w:val="single" w:sz="6" w:space="0" w:color="auto"/>
                </w:tcBorders>
              </w:tcPr>
              <w:p>
                <w:pPr/>
                <w:r>
                  <w:t>kuriuose dirba 15 ir daugiau teisėjų</w:t>
                </w:r>
              </w:p>
            </w:tc>
            <w:tc>
              <w:tcPr>
                <w:tcW w:w="1705" w:type="dxa"/>
                <w:tcBorders>
                  <w:top w:val="single" w:sz="6" w:space="0" w:color="auto"/>
                  <w:left w:val="single" w:sz="6" w:space="0" w:color="auto"/>
                  <w:bottom w:val="single" w:sz="6" w:space="0" w:color="auto"/>
                  <w:right w:val="single" w:sz="6" w:space="0" w:color="auto"/>
                </w:tcBorders>
                <w:vAlign w:val="center"/>
              </w:tcPr>
              <w:p>
                <w:pPr>
                  <w:jc w:val="center"/>
                </w:pPr>
                <w:r>
                  <w:t>15,58</w:t>
                </w:r>
              </w:p>
            </w:tc>
            <w:tc>
              <w:tcPr>
                <w:tcW w:w="1441" w:type="dxa"/>
                <w:tcBorders>
                  <w:top w:val="single" w:sz="6" w:space="0" w:color="auto"/>
                  <w:left w:val="single" w:sz="6" w:space="0" w:color="auto"/>
                  <w:bottom w:val="single" w:sz="6" w:space="0" w:color="auto"/>
                  <w:right w:val="single" w:sz="6" w:space="0" w:color="auto"/>
                </w:tcBorders>
                <w:vAlign w:val="center"/>
              </w:tcPr>
              <w:p>
                <w:pPr>
                  <w:jc w:val="center"/>
                </w:pPr>
                <w:r>
                  <w:t>14,08</w:t>
                </w:r>
              </w:p>
            </w:tc>
            <w:tc>
              <w:tcPr>
                <w:tcW w:w="1397"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1283" w:type="dxa"/>
                <w:tcBorders>
                  <w:top w:val="single" w:sz="6" w:space="0" w:color="auto"/>
                  <w:left w:val="single" w:sz="6" w:space="0" w:color="auto"/>
                  <w:bottom w:val="single" w:sz="6" w:space="0" w:color="auto"/>
                  <w:right w:val="single" w:sz="6" w:space="0" w:color="auto"/>
                </w:tcBorders>
                <w:vAlign w:val="center"/>
              </w:tcPr>
              <w:p>
                <w:pPr>
                  <w:jc w:val="center"/>
                </w:pPr>
                <w:r>
                  <w:t>12,5</w:t>
                </w:r>
              </w:p>
            </w:tc>
          </w:tr>
          <w:tr>
            <w:trPr>
              <w:cantSplit/>
              <w:trHeight w:val="23"/>
            </w:trPr>
            <w:tc>
              <w:tcPr>
                <w:tcW w:w="635" w:type="dxa"/>
                <w:tcBorders>
                  <w:top w:val="single" w:sz="6" w:space="0" w:color="auto"/>
                  <w:left w:val="single" w:sz="6" w:space="0" w:color="auto"/>
                  <w:bottom w:val="single" w:sz="6" w:space="0" w:color="auto"/>
                  <w:right w:val="single" w:sz="6" w:space="0" w:color="auto"/>
                </w:tcBorders>
              </w:tcPr>
              <w:p>
                <w:pPr>
                  <w:jc w:val="center"/>
                </w:pPr>
                <w:r>
                  <w:t>6.2.</w:t>
                </w:r>
              </w:p>
            </w:tc>
            <w:tc>
              <w:tcPr>
                <w:tcW w:w="2609" w:type="dxa"/>
                <w:tcBorders>
                  <w:top w:val="single" w:sz="6" w:space="0" w:color="auto"/>
                  <w:left w:val="single" w:sz="6" w:space="0" w:color="auto"/>
                  <w:bottom w:val="single" w:sz="6" w:space="0" w:color="auto"/>
                  <w:right w:val="single" w:sz="6" w:space="0" w:color="auto"/>
                </w:tcBorders>
              </w:tcPr>
              <w:p>
                <w:pPr/>
                <w:r>
                  <w:t>kuriuose dirba 14 ir mažiau teisėjų</w:t>
                </w:r>
              </w:p>
            </w:tc>
            <w:tc>
              <w:tcPr>
                <w:tcW w:w="1705" w:type="dxa"/>
                <w:tcBorders>
                  <w:top w:val="single" w:sz="6" w:space="0" w:color="auto"/>
                  <w:left w:val="single" w:sz="6" w:space="0" w:color="auto"/>
                  <w:bottom w:val="single" w:sz="6" w:space="0" w:color="auto"/>
                  <w:right w:val="single" w:sz="6" w:space="0" w:color="auto"/>
                </w:tcBorders>
                <w:vAlign w:val="center"/>
              </w:tcPr>
              <w:p>
                <w:pPr>
                  <w:jc w:val="center"/>
                </w:pPr>
                <w:r>
                  <w:t>14,7</w:t>
                </w:r>
              </w:p>
            </w:tc>
            <w:tc>
              <w:tcPr>
                <w:tcW w:w="1441" w:type="dxa"/>
                <w:tcBorders>
                  <w:top w:val="single" w:sz="6" w:space="0" w:color="auto"/>
                  <w:left w:val="single" w:sz="6" w:space="0" w:color="auto"/>
                  <w:bottom w:val="single" w:sz="6" w:space="0" w:color="auto"/>
                  <w:right w:val="single" w:sz="6" w:space="0" w:color="auto"/>
                </w:tcBorders>
                <w:vAlign w:val="center"/>
              </w:tcPr>
              <w:p>
                <w:pPr>
                  <w:jc w:val="center"/>
                </w:pPr>
                <w:r>
                  <w:t>13,46</w:t>
                </w:r>
              </w:p>
            </w:tc>
            <w:tc>
              <w:tcPr>
                <w:tcW w:w="1397"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1283" w:type="dxa"/>
                <w:tcBorders>
                  <w:top w:val="single" w:sz="6" w:space="0" w:color="auto"/>
                  <w:left w:val="single" w:sz="6" w:space="0" w:color="auto"/>
                  <w:bottom w:val="single" w:sz="6" w:space="0" w:color="auto"/>
                  <w:right w:val="single" w:sz="6" w:space="0" w:color="auto"/>
                </w:tcBorders>
                <w:vAlign w:val="center"/>
              </w:tcPr>
              <w:p>
                <w:pPr>
                  <w:jc w:val="center"/>
                </w:pPr>
                <w:r>
                  <w:t>12,5</w:t>
                </w:r>
              </w:p>
            </w:tc>
          </w:tr>
        </w:tbl>
        <w:p>
          <w:pPr>
            <w:ind w:firstLine="567"/>
            <w:jc w:val="both"/>
            <w:rPr>
              <w:rFonts w:hAnsi="Calibri"/>
            </w:rPr>
          </w:pPr>
        </w:p>
        <w:p>
          <w:pPr>
            <w:jc w:val="both"/>
            <w:rPr>
              <w:b/>
              <w:i/>
            </w:rPr>
          </w:pPr>
          <w:r>
            <w:rPr>
              <w:b/>
              <w:i/>
            </w:rPr>
            <w:t>Priedėlio redakcija nuo 2011-01-01:</w:t>
          </w:r>
        </w:p>
        <w:sdt>
          <w:sdtPr>
            <w:alias w:val="pr."/>
            <w:tag w:val="part_74de0b8b07434fb59ea7e7e3d9c643e6"/>
            <w:lock w:val="sdtLocked"/>
            <w:richText/>
          </w:sdtPr>
          <w:sdtContent>
            <w:p>
              <w:pPr>
                <w:ind w:left="5103"/>
              </w:pPr>
              <w:r>
                <w:t xml:space="preserve">Lietuvos Respublikos </w:t>
              </w:r>
            </w:p>
            <w:p>
              <w:pPr>
                <w:ind w:left="5103"/>
              </w:pPr>
              <w:r>
                <w:t xml:space="preserve">teisėjų atlyginimų įstatymo </w:t>
              </w:r>
            </w:p>
            <w:p>
              <w:pPr>
                <w:ind w:left="5103"/>
              </w:pPr>
              <w:r>
                <w:t>priedėlis</w:t>
              </w:r>
            </w:p>
            <w:p>
              <w:pPr>
                <w:ind w:firstLine="567"/>
                <w:jc w:val="both"/>
              </w:pPr>
            </w:p>
            <w:p>
              <w:pPr>
                <w:jc w:val="center"/>
                <w:rPr>
                  <w:b/>
                  <w:bCs/>
                </w:rPr>
              </w:pPr>
              <w:r>
                <w:rPr>
                  <w:b/>
                  <w:bCs/>
                </w:rPr>
                <w:t>I. LIETUVOS RESPUBLIKOS KONSTITUCINIO TEISMO TEISĖJŲ ATLYGINIMAI</w:t>
              </w:r>
            </w:p>
            <w:p>
              <w:pPr>
                <w:ind w:firstLine="567"/>
                <w:jc w:val="both"/>
              </w:pPr>
            </w:p>
            <w:p>
              <w:pPr>
                <w:ind w:firstLine="567"/>
                <w:jc w:val="right"/>
              </w:pPr>
              <w:r>
                <w:t>(Baziniais dydžiais)</w:t>
              </w:r>
            </w:p>
            <w:p>
              <w:pPr>
                <w:ind w:firstLine="567"/>
                <w:jc w:val="both"/>
                <w:rPr>
                  <w:rFonts w:hAnsi="Calibri"/>
                </w:rPr>
              </w:pPr>
            </w:p>
            <w:tbl>
              <w:tblPr>
                <w:tblW w:w="9070" w:type="dxa"/>
                <w:tblLayout w:type="fixed"/>
                <w:tblCellMar>
                  <w:left w:w="40" w:type="dxa"/>
                  <w:right w:w="40" w:type="dxa"/>
                </w:tblCellMar>
                <w:tblLook w:val="0000" w:firstRow="0" w:lastRow="0" w:firstColumn="0" w:lastColumn="0" w:noHBand="0" w:noVBand="0"/>
              </w:tblPr>
              <w:tblGrid>
                <w:gridCol w:w="742"/>
                <w:gridCol w:w="4751"/>
                <w:gridCol w:w="3577"/>
              </w:tblGrid>
              <w:tr>
                <w:trPr>
                  <w:cantSplit/>
                  <w:trHeight w:val="23"/>
                </w:trPr>
                <w:tc>
                  <w:tcPr>
                    <w:tcW w:w="797" w:type="dxa"/>
                    <w:tcBorders>
                      <w:top w:val="single" w:sz="6" w:space="0" w:color="auto"/>
                      <w:left w:val="single" w:sz="6" w:space="0" w:color="auto"/>
                      <w:bottom w:val="single" w:sz="6" w:space="0" w:color="auto"/>
                      <w:right w:val="single" w:sz="6" w:space="0" w:color="auto"/>
                    </w:tcBorders>
                  </w:tcPr>
                  <w:p>
                    <w:pPr>
                      <w:jc w:val="center"/>
                    </w:pPr>
                    <w:r>
                      <w:t>Eil. Nr.</w:t>
                    </w:r>
                  </w:p>
                </w:tc>
                <w:tc>
                  <w:tcPr>
                    <w:tcW w:w="5150" w:type="dxa"/>
                    <w:tcBorders>
                      <w:top w:val="single" w:sz="6" w:space="0" w:color="auto"/>
                      <w:left w:val="single" w:sz="6" w:space="0" w:color="auto"/>
                      <w:bottom w:val="single" w:sz="6" w:space="0" w:color="auto"/>
                      <w:right w:val="single" w:sz="6" w:space="0" w:color="auto"/>
                    </w:tcBorders>
                  </w:tcPr>
                  <w:p>
                    <w:pPr>
                      <w:jc w:val="center"/>
                    </w:pPr>
                    <w:r>
                      <w:t>Pareigybės</w:t>
                    </w:r>
                  </w:p>
                </w:tc>
                <w:tc>
                  <w:tcPr>
                    <w:tcW w:w="3875" w:type="dxa"/>
                    <w:tcBorders>
                      <w:top w:val="single" w:sz="6" w:space="0" w:color="auto"/>
                      <w:left w:val="single" w:sz="6" w:space="0" w:color="auto"/>
                      <w:bottom w:val="single" w:sz="6" w:space="0" w:color="auto"/>
                      <w:right w:val="single" w:sz="6" w:space="0" w:color="auto"/>
                    </w:tcBorders>
                  </w:tcPr>
                  <w:p>
                    <w:pPr>
                      <w:jc w:val="center"/>
                    </w:pPr>
                    <w:r>
                      <w:t>Atlyginimo koeficientas</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tcPr>
                  <w:p>
                    <w:pPr>
                      <w:jc w:val="center"/>
                    </w:pPr>
                    <w:r>
                      <w:t>1.</w:t>
                    </w:r>
                  </w:p>
                </w:tc>
                <w:tc>
                  <w:tcPr>
                    <w:tcW w:w="5150" w:type="dxa"/>
                    <w:tcBorders>
                      <w:top w:val="single" w:sz="6" w:space="0" w:color="auto"/>
                      <w:left w:val="single" w:sz="6" w:space="0" w:color="auto"/>
                      <w:bottom w:val="single" w:sz="6" w:space="0" w:color="auto"/>
                      <w:right w:val="single" w:sz="6" w:space="0" w:color="auto"/>
                    </w:tcBorders>
                  </w:tcPr>
                  <w:p>
                    <w:pPr/>
                    <w:r>
                      <w:t>Lietuvos Respublikos Konstitucinio Teismo pirmininkas (ar jį pavaduojantis teisėjas)</w:t>
                    </w:r>
                  </w:p>
                </w:tc>
                <w:tc>
                  <w:tcPr>
                    <w:tcW w:w="3875" w:type="dxa"/>
                    <w:tcBorders>
                      <w:top w:val="single" w:sz="6" w:space="0" w:color="auto"/>
                      <w:left w:val="single" w:sz="6" w:space="0" w:color="auto"/>
                      <w:bottom w:val="single" w:sz="6" w:space="0" w:color="auto"/>
                      <w:right w:val="single" w:sz="6" w:space="0" w:color="auto"/>
                    </w:tcBorders>
                  </w:tcPr>
                  <w:p>
                    <w:pPr>
                      <w:jc w:val="center"/>
                    </w:pPr>
                    <w:r>
                      <w:t>32,3</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tcPr>
                  <w:p>
                    <w:pPr>
                      <w:jc w:val="center"/>
                    </w:pPr>
                    <w:r>
                      <w:t>2.</w:t>
                    </w:r>
                  </w:p>
                </w:tc>
                <w:tc>
                  <w:tcPr>
                    <w:tcW w:w="5150" w:type="dxa"/>
                    <w:tcBorders>
                      <w:top w:val="single" w:sz="6" w:space="0" w:color="auto"/>
                      <w:left w:val="single" w:sz="6" w:space="0" w:color="auto"/>
                      <w:bottom w:val="single" w:sz="6" w:space="0" w:color="auto"/>
                      <w:right w:val="single" w:sz="6" w:space="0" w:color="auto"/>
                    </w:tcBorders>
                  </w:tcPr>
                  <w:p>
                    <w:pPr/>
                    <w:r>
                      <w:t>Lietuvos Respublikos Konstitucinio Teismo teisėjas</w:t>
                    </w:r>
                  </w:p>
                </w:tc>
                <w:tc>
                  <w:tcPr>
                    <w:tcW w:w="3875" w:type="dxa"/>
                    <w:tcBorders>
                      <w:top w:val="single" w:sz="6" w:space="0" w:color="auto"/>
                      <w:left w:val="single" w:sz="6" w:space="0" w:color="auto"/>
                      <w:bottom w:val="single" w:sz="6" w:space="0" w:color="auto"/>
                      <w:right w:val="single" w:sz="6" w:space="0" w:color="auto"/>
                    </w:tcBorders>
                  </w:tcPr>
                  <w:p>
                    <w:pPr>
                      <w:jc w:val="center"/>
                    </w:pPr>
                    <w:r>
                      <w:t>29,35</w:t>
                    </w:r>
                  </w:p>
                </w:tc>
              </w:tr>
            </w:tbl>
            <w:p>
              <w:pPr>
                <w:ind w:firstLine="567"/>
                <w:jc w:val="both"/>
                <w:rPr>
                  <w:rFonts w:hAnsi="Calibri"/>
                </w:rPr>
              </w:pPr>
            </w:p>
            <w:p>
              <w:pPr>
                <w:jc w:val="center"/>
                <w:rPr>
                  <w:b/>
                  <w:bCs/>
                </w:rPr>
              </w:pPr>
              <w:r>
                <w:rPr>
                  <w:b/>
                  <w:bCs/>
                </w:rPr>
                <w:t>II. BENDROSIOS KOMPETENCIJOS IR SPECIALIZUOTŲ TEISMŲ TEISĖJŲ PAREIGINĖS ALGOS</w:t>
              </w:r>
            </w:p>
            <w:p>
              <w:pPr>
                <w:ind w:firstLine="567"/>
                <w:jc w:val="both"/>
              </w:pPr>
            </w:p>
            <w:p>
              <w:pPr>
                <w:ind w:firstLine="567"/>
                <w:jc w:val="right"/>
              </w:pPr>
              <w:r>
                <w:t>(Baziniais dydžiais)</w:t>
              </w:r>
            </w:p>
            <w:p>
              <w:pPr>
                <w:ind w:firstLine="567"/>
                <w:jc w:val="both"/>
                <w:rPr>
                  <w:rFonts w:hAnsi="Calibri"/>
                </w:rPr>
              </w:pPr>
            </w:p>
            <w:tbl>
              <w:tblPr>
                <w:tblW w:w="9070" w:type="dxa"/>
                <w:tblLayout w:type="fixed"/>
                <w:tblCellMar>
                  <w:left w:w="40" w:type="dxa"/>
                  <w:right w:w="40" w:type="dxa"/>
                </w:tblCellMar>
                <w:tblLook w:val="0000" w:firstRow="0" w:lastRow="0" w:firstColumn="0" w:lastColumn="0" w:noHBand="0" w:noVBand="0"/>
              </w:tblPr>
              <w:tblGrid>
                <w:gridCol w:w="542"/>
                <w:gridCol w:w="2978"/>
                <w:gridCol w:w="1941"/>
                <w:gridCol w:w="1436"/>
                <w:gridCol w:w="1186"/>
                <w:gridCol w:w="987"/>
              </w:tblGrid>
              <w:tr>
                <w:trPr>
                  <w:cantSplit/>
                  <w:trHeight w:val="23"/>
                  <w:tblHeader/>
                </w:trPr>
                <w:tc>
                  <w:tcPr>
                    <w:tcW w:w="542" w:type="dxa"/>
                    <w:vMerge w:val="restart"/>
                    <w:tcBorders>
                      <w:top w:val="single" w:sz="6" w:space="0" w:color="auto"/>
                      <w:left w:val="single" w:sz="6" w:space="0" w:color="auto"/>
                      <w:right w:val="single" w:sz="6" w:space="0" w:color="auto"/>
                    </w:tcBorders>
                    <w:vAlign w:val="center"/>
                  </w:tcPr>
                  <w:p>
                    <w:pPr>
                      <w:jc w:val="center"/>
                    </w:pPr>
                    <w:r>
                      <w:t>Eil. Nr.</w:t>
                    </w:r>
                  </w:p>
                </w:tc>
                <w:tc>
                  <w:tcPr>
                    <w:tcW w:w="2978" w:type="dxa"/>
                    <w:vMerge w:val="restart"/>
                    <w:tcBorders>
                      <w:top w:val="single" w:sz="6" w:space="0" w:color="auto"/>
                      <w:left w:val="single" w:sz="6" w:space="0" w:color="auto"/>
                      <w:right w:val="single" w:sz="6" w:space="0" w:color="auto"/>
                    </w:tcBorders>
                    <w:vAlign w:val="center"/>
                  </w:tcPr>
                  <w:p>
                    <w:pPr>
                      <w:jc w:val="center"/>
                    </w:pPr>
                    <w:r>
                      <w:t>Įstaigos pavadinimas</w:t>
                    </w:r>
                  </w:p>
                </w:tc>
                <w:tc>
                  <w:tcPr>
                    <w:tcW w:w="5550" w:type="dxa"/>
                    <w:gridSpan w:val="4"/>
                    <w:tcBorders>
                      <w:top w:val="single" w:sz="6" w:space="0" w:color="auto"/>
                      <w:left w:val="single" w:sz="6" w:space="0" w:color="auto"/>
                      <w:bottom w:val="single" w:sz="6" w:space="0" w:color="auto"/>
                      <w:right w:val="single" w:sz="6" w:space="0" w:color="auto"/>
                    </w:tcBorders>
                    <w:vAlign w:val="center"/>
                  </w:tcPr>
                  <w:p>
                    <w:pPr>
                      <w:jc w:val="center"/>
                    </w:pPr>
                    <w:r>
                      <w:t>Pareiginės algos koeficientas</w:t>
                    </w:r>
                  </w:p>
                </w:tc>
              </w:tr>
              <w:tr>
                <w:trPr>
                  <w:cantSplit/>
                  <w:trHeight w:val="23"/>
                  <w:tblHeader/>
                </w:trPr>
                <w:tc>
                  <w:tcPr>
                    <w:tcW w:w="542" w:type="dxa"/>
                    <w:vMerge/>
                    <w:tcBorders>
                      <w:left w:val="single" w:sz="6" w:space="0" w:color="auto"/>
                      <w:bottom w:val="single" w:sz="6" w:space="0" w:color="auto"/>
                      <w:right w:val="single" w:sz="6" w:space="0" w:color="auto"/>
                    </w:tcBorders>
                    <w:vAlign w:val="center"/>
                  </w:tcPr>
                  <w:p>
                    <w:pPr>
                      <w:jc w:val="center"/>
                    </w:pPr>
                  </w:p>
                </w:tc>
                <w:tc>
                  <w:tcPr>
                    <w:tcW w:w="2978" w:type="dxa"/>
                    <w:vMerge/>
                    <w:tcBorders>
                      <w:left w:val="single" w:sz="6" w:space="0" w:color="auto"/>
                      <w:bottom w:val="single" w:sz="6" w:space="0" w:color="auto"/>
                      <w:right w:val="single" w:sz="6" w:space="0" w:color="auto"/>
                    </w:tcBorders>
                    <w:vAlign w:val="center"/>
                  </w:tcPr>
                  <w:p>
                    <w:pPr>
                      <w:jc w:val="center"/>
                    </w:pP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r>
                      <w:t>pirmininko ar jį pavaduojančiojo (kai nėra etatinio pavaduotojo)</w:t>
                    </w: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r>
                      <w:t>pirmininko pavaduotojo</w:t>
                    </w: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r>
                      <w:t>skyriaus pirmininko</w:t>
                    </w: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r>
                      <w:t>teisėjo</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pPr>
                    <w:r>
                      <w:t>1.</w:t>
                    </w:r>
                  </w:p>
                </w:tc>
                <w:tc>
                  <w:tcPr>
                    <w:tcW w:w="2978" w:type="dxa"/>
                    <w:tcBorders>
                      <w:top w:val="single" w:sz="6" w:space="0" w:color="auto"/>
                      <w:left w:val="single" w:sz="6" w:space="0" w:color="auto"/>
                      <w:bottom w:val="single" w:sz="6" w:space="0" w:color="auto"/>
                      <w:right w:val="single" w:sz="6" w:space="0" w:color="auto"/>
                    </w:tcBorders>
                  </w:tcPr>
                  <w:p>
                    <w:pPr/>
                    <w:r>
                      <w:t>Lietuvos Aukščiausiasis Teismas</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r>
                      <w:t>21,7</w:t>
                    </w: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r>
                      <w:t>20,2</w:t>
                    </w: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r>
                      <w:t>19,2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pPr>
                    <w:r>
                      <w:t>2.</w:t>
                    </w:r>
                  </w:p>
                </w:tc>
                <w:tc>
                  <w:tcPr>
                    <w:tcW w:w="2978" w:type="dxa"/>
                    <w:tcBorders>
                      <w:top w:val="single" w:sz="6" w:space="0" w:color="auto"/>
                      <w:left w:val="single" w:sz="6" w:space="0" w:color="auto"/>
                      <w:bottom w:val="single" w:sz="6" w:space="0" w:color="auto"/>
                      <w:right w:val="single" w:sz="6" w:space="0" w:color="auto"/>
                    </w:tcBorders>
                  </w:tcPr>
                  <w:p>
                    <w:pPr/>
                    <w:r>
                      <w:t>Lietuvos vyriausiasis administracinis teismas</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r>
                      <w:t>20,9</w:t>
                    </w: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r>
                      <w:t>19,7</w:t>
                    </w: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r>
                      <w:t>18,7</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pPr>
                    <w:r>
                      <w:t>3.</w:t>
                    </w:r>
                  </w:p>
                </w:tc>
                <w:tc>
                  <w:tcPr>
                    <w:tcW w:w="2978" w:type="dxa"/>
                    <w:tcBorders>
                      <w:top w:val="single" w:sz="6" w:space="0" w:color="auto"/>
                      <w:left w:val="single" w:sz="6" w:space="0" w:color="auto"/>
                      <w:bottom w:val="single" w:sz="6" w:space="0" w:color="auto"/>
                      <w:right w:val="single" w:sz="6" w:space="0" w:color="auto"/>
                    </w:tcBorders>
                  </w:tcPr>
                  <w:p>
                    <w:pPr/>
                    <w:r>
                      <w:t>Lietuvos apeliacinis teismas</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r>
                      <w:t>20,2</w:t>
                    </w: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r>
                      <w:t>19,2</w:t>
                    </w: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r>
                      <w:t>18,2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pPr>
                    <w:r>
                      <w:t>4.</w:t>
                    </w:r>
                  </w:p>
                </w:tc>
                <w:tc>
                  <w:tcPr>
                    <w:tcW w:w="2978" w:type="dxa"/>
                    <w:tcBorders>
                      <w:top w:val="single" w:sz="6" w:space="0" w:color="auto"/>
                      <w:left w:val="single" w:sz="6" w:space="0" w:color="auto"/>
                      <w:bottom w:val="single" w:sz="6" w:space="0" w:color="auto"/>
                      <w:right w:val="single" w:sz="6" w:space="0" w:color="auto"/>
                    </w:tcBorders>
                  </w:tcPr>
                  <w:p>
                    <w:pPr/>
                    <w:r>
                      <w:t>Apygardų teismai</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r>
                      <w:t>18,2</w:t>
                    </w: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pPr>
                    <w:r>
                      <w:t>5.</w:t>
                    </w:r>
                  </w:p>
                </w:tc>
                <w:tc>
                  <w:tcPr>
                    <w:tcW w:w="2978" w:type="dxa"/>
                    <w:tcBorders>
                      <w:top w:val="single" w:sz="6" w:space="0" w:color="auto"/>
                      <w:left w:val="single" w:sz="6" w:space="0" w:color="auto"/>
                      <w:bottom w:val="single" w:sz="6" w:space="0" w:color="auto"/>
                      <w:right w:val="single" w:sz="6" w:space="0" w:color="auto"/>
                    </w:tcBorders>
                  </w:tcPr>
                  <w:p>
                    <w:pPr/>
                    <w:r>
                      <w:t>Apygardų administraciniai teismai</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r>
                      <w:t>18,2</w:t>
                    </w: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pPr>
                    <w:r>
                      <w:t>6.</w:t>
                    </w:r>
                  </w:p>
                </w:tc>
                <w:tc>
                  <w:tcPr>
                    <w:tcW w:w="2978" w:type="dxa"/>
                    <w:tcBorders>
                      <w:top w:val="single" w:sz="6" w:space="0" w:color="auto"/>
                      <w:left w:val="single" w:sz="6" w:space="0" w:color="auto"/>
                      <w:bottom w:val="single" w:sz="6" w:space="0" w:color="auto"/>
                      <w:right w:val="single" w:sz="6" w:space="0" w:color="auto"/>
                    </w:tcBorders>
                  </w:tcPr>
                  <w:p>
                    <w:pPr/>
                    <w:r>
                      <w:t>Apylinkių teismai:</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pPr>
                    <w:r>
                      <w:t>6.1.</w:t>
                    </w:r>
                  </w:p>
                </w:tc>
                <w:tc>
                  <w:tcPr>
                    <w:tcW w:w="2978" w:type="dxa"/>
                    <w:tcBorders>
                      <w:top w:val="single" w:sz="6" w:space="0" w:color="auto"/>
                      <w:left w:val="single" w:sz="6" w:space="0" w:color="auto"/>
                      <w:bottom w:val="single" w:sz="6" w:space="0" w:color="auto"/>
                      <w:right w:val="single" w:sz="6" w:space="0" w:color="auto"/>
                    </w:tcBorders>
                  </w:tcPr>
                  <w:p>
                    <w:pPr/>
                    <w:r>
                      <w:t>kuriuose dirba 15 ir daugiau teisėjų</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r>
                      <w:t>17,7</w:t>
                    </w: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r>
                      <w:t>16</w:t>
                    </w: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r>
                      <w:t>14,2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pPr>
                    <w:r>
                      <w:t>6.2.</w:t>
                    </w:r>
                  </w:p>
                </w:tc>
                <w:tc>
                  <w:tcPr>
                    <w:tcW w:w="2978" w:type="dxa"/>
                    <w:tcBorders>
                      <w:top w:val="single" w:sz="6" w:space="0" w:color="auto"/>
                      <w:left w:val="single" w:sz="6" w:space="0" w:color="auto"/>
                      <w:bottom w:val="single" w:sz="6" w:space="0" w:color="auto"/>
                      <w:right w:val="single" w:sz="6" w:space="0" w:color="auto"/>
                    </w:tcBorders>
                  </w:tcPr>
                  <w:p>
                    <w:pPr/>
                    <w:r>
                      <w:t>kuriuose dirba 14 ir mažiau teisėjų</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r>
                      <w:t>16,7</w:t>
                    </w: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r>
                      <w:t>15,3</w:t>
                    </w: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r>
                      <w:t>14,2</w:t>
                    </w:r>
                  </w:p>
                </w:tc>
              </w:tr>
            </w:tbl>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7B48ECFF5F">
            <w:r w:rsidRPr="00532B9F">
              <w:rPr>
                <w:rFonts w:ascii="Times New Roman" w:eastAsia="MS Mincho" w:hAnsi="Times New Roman"/>
                <w:sz w:val="20"/>
                <w:i/>
                <w:iCs/>
                <w:color w:val="0000FF" w:themeColor="hyperlink"/>
                <w:u w:val="single"/>
              </w:rPr>
              <w:t>XI-235</w:t>
            </w:r>
          </w:fldSimple>
          <w:r>
            <w:rPr>
              <w:rFonts w:ascii="Times New Roman" w:eastAsia="MS Mincho" w:hAnsi="Times New Roman"/>
              <w:sz w:val="20"/>
              <w:i/>
              <w:iCs/>
            </w:rPr>
            <w:t>,
2009-04-28,
Žin., 2009, Nr.
49-1940 (2009-04-30), i. k. 1091010ISTA00XI-235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D581E7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yperlink" TargetMode="External" Target="https://www.e-tar.lt/portal/lt/legalAct/TAR.1522CADCB7A8"/>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7758c06d2d8d4772873d291edf3870d6">
    <Part Type="straipsnis" Nr="1" Abbr="1 str." Title="Įstatymo paskirtis" DocPartId="ee2232dc77a84c79bf84c7bf836a0177" PartId="bc16f6bc1c72429da5761557e751f69b">
      <Part Type="strDalis" Nr="1" Abbr="1 str. 1 d." DocPartId="91fd5f34da0c41818c713f891d754309" PartId="5a6d819173d748e6b487a2f2a734a92f"/>
    </Part>
    <Part Type="straipsnis" Nr="2" Abbr="2 str." Title="Įstatymo taikymas" DocPartId="a0216315e1a846f7bd9c8a181806374b" PartId="ad9aa9c4e47f483698a5ab9d004048b7">
      <Part Type="strDalis" Nr="1" Abbr="2 str. 1 d." DocPartId="b277535e38794c3cb93360e05c4a2ad8" PartId="50bc21ca9c164a81a1c1971252120a01">
        <Part Type="strPunktas" Nr="1" Abbr="2 str. 1 d. 1 p." DocPartId="756960b6c8c74369b7c8c29c8bf427ea" PartId="35d45ef7ec6f492da4b7b87f2970633f"/>
        <Part Type="strPunktas" Nr="2" Abbr="2 str. 1 d. 2 p." DocPartId="ecfc1a72737f4edeb5514bf632d3b12d" PartId="448874eec72548aeb640c765a026f113"/>
      </Part>
    </Part>
    <Part Type="straipsnis" Nr="3" Abbr="3 str." Title="Atlyginimo ir pareiginės algos bazinis dydis" DocPartId="5f8f14a6124c4d41917fe6a104615054" PartId="485cea9f62334d869e7b252670b44a77">
      <Part Type="strDalis" Nr="1" Abbr="3 str. 1 d." DocPartId="6789bc40b89c4c2e99bf543c6a9c1bb7" PartId="a4b1d78f083443849409e55e4a2a4099"/>
    </Part>
    <Part Type="straipsnis" Nr="4" Abbr="4 str." Title="Teisėjų atlyginimas" DocPartId="4dcf90bc08a849449502a2390a4318b1" PartId="b386aeb336b140cf9327986184cf8539">
      <Part Type="strDalis" Nr="1" Abbr="4 str. 1 d." DocPartId="4107c183d9a84146858dfd8ac7958c1c" PartId="13383d48d6a149c4a2cf1ac4ad90ade5"/>
      <Part Type="strDalis" Nr="2" Abbr="4 str. 2 d." DocPartId="cb7ee4708ddc409ab2b8e6a3e8c3ac18" PartId="bda1e2d62d394399ba46bb8d24be125d">
        <Part Type="strPunktas" Nr="1" Abbr="4 str. 2 d. 1 p." DocPartId="eae7c1725957440f8387aa180bae5854" PartId="530414c79d2c487da0bada4da5d941d1"/>
        <Part Type="strPunktas" Nr="2" Abbr="4 str. 2 d. 2 p." DocPartId="3ed8df185b8f4c5a8ca14e605459e6f3" PartId="0a8b72b71acb4b9eb96377ac28246e6c"/>
      </Part>
      <Part Type="strDalis" Nr="3" Abbr="4 str. 3 d." DocPartId="6da3e45d873248c0a9b62758e56427c2" PartId="ad7147396897478890c84bda5147da1f"/>
      <Part Type="strDalis" Nr="4" Abbr="4 str. 4 d." DocPartId="5f10b08178114f04b6e766ac12f8a38f" PartId="8ad6c9a333d147baab6db425bc759ffe"/>
      <Part Type="strDalis" Nr="5" Abbr="4 str. 5 d." DocPartId="d574a994a92c454aae57dc3796d82f94" PartId="aff7ae82d84144fda56f855fe72335d3"/>
    </Part>
    <Part Type="straipsnis" Nr="5" Abbr="5 str." Title="Priedas už ištarnautus Lietuvos valstybei metus" DocPartId="5826c173e0db46f59af5e0d5f1942a3c" PartId="0c9d950868cf4d2a94f607d4cdcfd22a">
      <Part Type="strDalis" Nr="1" Abbr="5 str. 1 d." DocPartId="c42ccfeb7bd4491bbe503b43e1297a15" PartId="5927cacbd912437d9c3efe47807f59b3"/>
      <Part Type="strDalis" Nr="2" Abbr="5 str. 2 d." DocPartId="e424d577abfd458fa797a596571de51e" PartId="b7d198068a674d86adec96efcb7542a1"/>
    </Part>
    <Part Type="straipsnis" Nr="6" Abbr="6 str." Title="Vienkartinė priemoka" DocPartId="74eb4190d9e34fe08e2c1b1ba70dee87" PartId="0a69446e436a4f00937da2b368ea292d">
      <Part Type="strDalis" Nr="1" Abbr="6 str. 1 d." DocPartId="f99097923b7c4148ae742b6181c1b2d9" PartId="d90ad56dfc3c4dec999b12a250617cbd"/>
      <Part Type="strDalis" Nr="2" Abbr="6 str. 2 d." DocPartId="3be88c57d49544a2ac9db02030c8fb34" PartId="4a925f65980b497a8b4c2cf3eaab294c"/>
    </Part>
    <Part Type="straipsnis" Nr="7" Abbr="7 str." Title="Įstatymo įgyvendinimas" DocPartId="6bdfe3f6d1b044768e350f2b364c943c" PartId="e6c1f85214c044478edb7dc1b92fed22">
      <Part Type="strDalis" Nr="1" Abbr="7 str. 1 d." DocPartId="6c06ed8603c146558fc5d6d8731adf9a" PartId="c31a84b7f8c045c5b59e4ea287d4fef8"/>
    </Part>
    <Part Type="signatura" DocPartId="a585cc32c8e84ece88311f9871b025e3" PartId="17a8edd8eec04e2ba5cef60fcc57e461"/>
  </Part>
  <Part Type="priedas" Abbr="pr." DocPartId="bee85e59594b4cdf9a00e73d42b00111" PartId="f021182bf3da43dcb81212e746b35be4">
    <Part Type="priedas" Abbr="pr." DocPartId="885084a7f13a489791608f8d9d1489ea" PartId="74de0b8b07434fb59ea7e7e3d9c643e6"/>
  </Part>
</Parts>
</file>

<file path=customXml/itemProps1.xml><?xml version="1.0" encoding="utf-8"?>
<ds:datastoreItem xmlns:ds="http://schemas.openxmlformats.org/officeDocument/2006/customXml" ds:itemID="{CAC9E431-2E30-4639-8308-D6AFDFA6D233}">
  <ds:schemaRefs>
    <ds:schemaRef ds:uri="http://lrs.lt/TAIS/DocParts"/>
  </ds:schemaRefs>
</ds:datastoreItem>
</file>

<file path=docProps/app.xml><?xml version="1.0" encoding="utf-8"?>
<Properties xmlns="http://schemas.openxmlformats.org/officeDocument/2006/extended-properties">
  <Template>Normal.dotm</Template>
  <TotalTime>4</TotalTime>
  <Pages>5</Pages>
  <Words>5118</Words>
  <Characters>2918</Characters>
  <Application>Microsoft Office Word</Application>
  <DocSecurity>0</DocSecurity>
  <Lines>24</Lines>
  <Paragraphs>16</Paragraphs>
  <ScaleCrop>false</ScaleCrop>
  <Company/>
  <LinksUpToDate>false</LinksUpToDate>
  <CharactersWithSpaces>8020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TRAPINSKIENĖ Aušrinė</lastModifiedBy>
  <dcterms:modified xsi:type="dcterms:W3CDTF">2018-12-11T12:36:00Z</dcterms:modified>
  <revision>9</revision>
  <dc:title>LIETUVOS RESPUBLIKOS TEISĖJŲ ATLYGINIMŲ ĮSTATYMAS</dc:title>
</coreProperties>
</file>