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2020-07-11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393f673652404bb5969e1cfaff0f4017"/>
                    <w:lock w:val="sdtLocked"/>
                    <w:richText/>
                  </w:sdtPr>
                  <w:sdtContent>
                    <w:p>
                      <w:pPr>
                        <w:spacing w:line="360" w:lineRule="auto"/>
                        <w:ind w:firstLine="720"/>
                        <w:jc w:val="both"/>
                        <w:rPr>
                          <w:szCs w:val="24"/>
                          <w:lang w:eastAsia="lt-LT"/>
                        </w:rPr>
                      </w:pPr>
                      <w:sdt>
                        <w:sdtPr>
                          <w:alias w:val="Numeris"/>
                          <w:tag w:val="nr_393f673652404bb5969e1cfaff0f4017"/>
                          <w:lock w:val="sdtLocked"/>
                          <w:richText/>
                        </w:sdtPr>
                        <w:sdtContent>
                          <w:r>
                            <w:rPr>
                              <w:szCs w:val="24"/>
                              <w:lang w:eastAsia="lt-LT"/>
                            </w:rPr>
                            <w:t>1</w:t>
                          </w:r>
                        </w:sdtContent>
                      </w:sdt>
                      <w:r>
                        <w:rPr>
                          <w:szCs w:val="24"/>
                          <w:lang w:eastAsia="lt-LT"/>
                        </w:rPr>
                        <w:t>. VTEK, atlikdama savo funkcijas ir priimdama sprendimus, yra nepriklausoma ir veikia pagal įstatymuose nustatytus įgaliojimus. Valstybės politikams, pareigūnams, politinėms partijoms, valstybės tarnautojams, asociacijoms, kitiems juridiniams ar fiziniams asmenims draudžiama kištis į VTEK veiklą.</w:t>
                      </w:r>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304868e431d247de8ce1b32b2ad20df4"/>
                <w:lock w:val="sdtLocked"/>
                <w:richText/>
              </w:sdtPr>
              <w:sdtContent>
                <w:p>
                  <w:pPr>
                    <w:keepNext/>
                    <w:keepLines/>
                    <w:spacing w:line="360" w:lineRule="auto"/>
                    <w:ind w:firstLine="720"/>
                    <w:jc w:val="both"/>
                    <w:outlineLvl w:val="2"/>
                    <w:rPr>
                      <w:bCs/>
                      <w:szCs w:val="24"/>
                      <w:lang w:eastAsia="lt-LT"/>
                    </w:rPr>
                  </w:pPr>
                  <w:sdt>
                    <w:sdtPr>
                      <w:alias w:val="Numeris"/>
                      <w:tag w:val="nr_304868e431d247de8ce1b32b2ad20df4"/>
                      <w:lock w:val="sdtLocked"/>
                      <w:richText/>
                    </w:sdtPr>
                    <w:sdtContent>
                      <w:r>
                        <w:rPr>
                          <w:b/>
                          <w:bCs/>
                          <w:szCs w:val="24"/>
                          <w:lang w:eastAsia="lt-LT"/>
                        </w:rPr>
                        <w:t>6</w:t>
                      </w:r>
                    </w:sdtContent>
                  </w:sdt>
                  <w:r>
                    <w:rPr>
                      <w:b/>
                      <w:bCs/>
                      <w:szCs w:val="24"/>
                      <w:lang w:eastAsia="lt-LT"/>
                    </w:rPr>
                    <w:t xml:space="preserve"> straipsnis. </w:t>
                  </w:r>
                  <w:sdt>
                    <w:sdtPr>
                      <w:alias w:val="Pavadinimas"/>
                      <w:tag w:val="title_304868e431d247de8ce1b32b2ad20df4"/>
                      <w:lock w:val="sdtLocked"/>
                      <w:richText/>
                    </w:sdtPr>
                    <w:sdtContent>
                      <w:r>
                        <w:rPr>
                          <w:b/>
                          <w:bCs/>
                          <w:szCs w:val="24"/>
                          <w:lang w:eastAsia="lt-LT"/>
                        </w:rPr>
                        <w:t>Reikalavimai VTEK nariui</w:t>
                      </w:r>
                    </w:sdtContent>
                  </w:sdt>
                </w:p>
                <w:sdt>
                  <w:sdtPr>
                    <w:alias w:val="6 str. 1 d."/>
                    <w:tag w:val="part_edd38a9e683547319f2a324fe9d27285"/>
                    <w:lock w:val="sdtLocked"/>
                    <w:richText/>
                  </w:sdtPr>
                  <w:sdtContent>
                    <w:p>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pPr>
                        <w:spacing w:line="360" w:lineRule="auto"/>
                        <w:ind w:leftChars="1000" w:left="2400" w:firstLine="720"/>
                        <w:rPr>
                          <w:szCs w:val="24"/>
                        </w:rPr>
                      </w:pPr>
                    </w:p>
                  </w:sdtContent>
                </w:sdt>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04cc0cb7a0d141a8bb602dbb4faa69cb"/>
                    <w:lock w:val="sdtLocked"/>
                    <w:richText/>
                  </w:sdtPr>
                  <w:sdtContent>
                    <w:p>
                      <w:pPr>
                        <w:spacing w:line="360" w:lineRule="auto"/>
                        <w:ind w:firstLine="720"/>
                        <w:jc w:val="both"/>
                        <w:rPr>
                          <w:bCs/>
                          <w:szCs w:val="24"/>
                        </w:rPr>
                      </w:pPr>
                      <w:sdt>
                        <w:sdtPr>
                          <w:alias w:val="Numeris"/>
                          <w:tag w:val="nr_04cc0cb7a0d141a8bb602dbb4faa69cb"/>
                          <w:lock w:val="sdtLocked"/>
                          <w:richText/>
                        </w:sdtPr>
                        <w:sdtContent>
                          <w:r>
                            <w:rPr>
                              <w:szCs w:val="24"/>
                            </w:rPr>
                            <w:t>3</w:t>
                          </w:r>
                        </w:sdtContent>
                      </w:sdt>
                      <w:r>
                        <w:rPr>
                          <w:szCs w:val="24"/>
                        </w:rPr>
                        <w:t>. VTEK pirmininkas, pirmininko pavaduotojas ir nariai negali būti politinių partijų nariais, dalyvauti jų veikloje ar kitaip pažeisti politinio neutralumo principą</w:t>
                      </w:r>
                      <w:r>
                        <w:rPr>
                          <w:bCs/>
                          <w:szCs w:val="24"/>
                        </w:rPr>
                        <w:t>.</w:t>
                      </w:r>
                    </w:p>
                    <w:p>
                      <w:pPr>
                        <w:spacing w:line="360" w:lineRule="auto"/>
                        <w:ind w:firstLine="720"/>
                        <w:jc w:val="both"/>
                        <w:rPr>
                          <w:b/>
                          <w:szCs w:val="24"/>
                        </w:rPr>
                      </w:pPr>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be0e18658e404c9a9825c6337ec60bd7"/>
                        <w:lock w:val="sdtLocked"/>
                        <w:richText/>
                      </w:sdtPr>
                      <w:sdtContent>
                        <w:p>
                          <w:pPr>
                            <w:spacing w:line="360" w:lineRule="auto"/>
                            <w:ind w:firstLine="720"/>
                            <w:jc w:val="both"/>
                            <w:rPr>
                              <w:szCs w:val="24"/>
                            </w:rPr>
                          </w:pPr>
                          <w:sdt>
                            <w:sdtPr>
                              <w:alias w:val="Numeris"/>
                              <w:tag w:val="nr_be0e18658e404c9a9825c6337ec60bd7"/>
                              <w:lock w:val="sdtLocked"/>
                              <w:richText/>
                            </w:sdtPr>
                            <w:sdtContent>
                              <w:r>
                                <w:rPr>
                                  <w:szCs w:val="24"/>
                                  <w:lang w:eastAsia="lt-LT"/>
                                </w:rPr>
                                <w:t>3</w:t>
                              </w:r>
                            </w:sdtContent>
                          </w:sdt>
                          <w:r>
                            <w:rPr>
                              <w:szCs w:val="24"/>
                              <w:lang w:eastAsia="lt-LT"/>
                            </w:rPr>
                            <w:t>) tvirtina VTEK strateginį veiklos planą;</w:t>
                          </w:r>
                          <w:r>
                            <w:rPr>
                              <w:szCs w:val="24"/>
                            </w:rPr>
                            <w:t xml:space="preserve"> </w:t>
                          </w:r>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0f2ce73c748347f28d7a4f82a5703ead"/>
                        <w:lock w:val="sdtLocked"/>
                        <w:richText/>
                      </w:sdtPr>
                      <w:sdtContent>
                        <w:p>
                          <w:pPr>
                            <w:spacing w:line="360" w:lineRule="auto"/>
                            <w:ind w:firstLine="720"/>
                            <w:jc w:val="both"/>
                            <w:rPr>
                              <w:szCs w:val="24"/>
                            </w:rPr>
                          </w:pPr>
                          <w:sdt>
                            <w:sdtPr>
                              <w:alias w:val="Numeris"/>
                              <w:tag w:val="nr_0f2ce73c748347f28d7a4f82a5703ead"/>
                              <w:lock w:val="sdtLocked"/>
                              <w:richText/>
                            </w:sdtPr>
                            <w:sdtContent>
                              <w:r>
                                <w:rPr>
                                  <w:szCs w:val="24"/>
                                </w:rPr>
                                <w:t>8</w:t>
                              </w:r>
                            </w:sdtContent>
                          </w:sdt>
                          <w:r>
                            <w:rPr>
                              <w:szCs w:val="24"/>
                            </w:rPr>
                            <w:t>) tvirtina VTEK išlaidų sąmatą;</w:t>
                          </w:r>
                        </w:p>
                      </w:sdtContent>
                    </w:sdt>
                    <w:sdt>
                      <w:sdtPr>
                        <w:alias w:val="13 str. 1 d. 9 p."/>
                        <w:tag w:val="part_2d011a2e73be4cefb3291cc1c2263fb8"/>
                        <w:lock w:val="sdtLocked"/>
                        <w:richText/>
                      </w:sdtPr>
                      <w:sdtContent>
                        <w:p>
                          <w:pPr>
                            <w:spacing w:line="360" w:lineRule="auto"/>
                            <w:ind w:firstLine="720"/>
                            <w:jc w:val="both"/>
                            <w:rPr>
                              <w:szCs w:val="24"/>
                            </w:rPr>
                          </w:pPr>
                          <w:sdt>
                            <w:sdtPr>
                              <w:alias w:val="Numeris"/>
                              <w:tag w:val="nr_2d011a2e73be4cefb3291cc1c2263fb8"/>
                              <w:lock w:val="sdtLocked"/>
                              <w:richText/>
                            </w:sdtPr>
                            <w:sdtContent>
                              <w:r>
                                <w:rPr>
                                  <w:szCs w:val="24"/>
                                </w:rPr>
                                <w:t>9</w:t>
                              </w:r>
                            </w:sdtContent>
                          </w:sdt>
                          <w:r>
                            <w:rPr>
                              <w:szCs w:val="24"/>
                            </w:rPr>
                            <w:t>) tvirtina Komisijos sekretoriato struktūrą;</w:t>
                          </w:r>
                        </w:p>
                      </w:sdtContent>
                    </w:sdt>
                    <w:sdt>
                      <w:sdtPr>
                        <w:alias w:val="13 str. 1 d. 10 p."/>
                        <w:tag w:val="part_d11aec5164bc4bfea8ac10e001e99b41"/>
                        <w:lock w:val="sdtLocked"/>
                        <w:richText/>
                      </w:sdtPr>
                      <w:sdtContent>
                        <w:p>
                          <w:pPr>
                            <w:spacing w:line="360" w:lineRule="auto"/>
                            <w:ind w:firstLine="720"/>
                            <w:jc w:val="both"/>
                            <w:rPr>
                              <w:szCs w:val="24"/>
                            </w:rPr>
                          </w:pPr>
                          <w:sdt>
                            <w:sdtPr>
                              <w:alias w:val="Numeris"/>
                              <w:tag w:val="nr_d11aec5164bc4bfea8ac10e001e99b41"/>
                              <w:lock w:val="sdtLocked"/>
                              <w:richText/>
                            </w:sdtPr>
                            <w:sdtContent>
                              <w:r>
                                <w:rPr>
                                  <w:szCs w:val="24"/>
                                </w:rPr>
                                <w:t>10</w:t>
                              </w:r>
                            </w:sdtContent>
                          </w:sdt>
                          <w:r>
                            <w:rPr>
                              <w:szCs w:val="24"/>
                            </w:rPr>
                            <w:t xml:space="preserve">) tvirtina Komisijos sekretoriato </w:t>
                          </w:r>
                          <w:r>
                            <w:rPr>
                              <w:szCs w:val="24"/>
                              <w:lang w:eastAsia="lt-LT"/>
                            </w:rPr>
                            <w:t>padalinių nuostatus, pareigybių sąrašą ir pareigybių aprašymus</w:t>
                          </w:r>
                          <w:r>
                            <w:rPr>
                              <w:szCs w:val="24"/>
                            </w:rPr>
                            <w:t xml:space="preserve">; </w:t>
                          </w:r>
                        </w:p>
                      </w:sdtContent>
                    </w:sdt>
                    <w:sdt>
                      <w:sdtPr>
                        <w:alias w:val="13 str. 1 d. 11 p."/>
                        <w:tag w:val="part_47a29018f6cf412da727cac83460aa95"/>
                        <w:lock w:val="sdtLocked"/>
                        <w:richText/>
                      </w:sdtPr>
                      <w:sdtContent>
                        <w:p>
                          <w:pPr>
                            <w:spacing w:line="360" w:lineRule="auto"/>
                            <w:ind w:firstLine="720"/>
                            <w:jc w:val="both"/>
                            <w:rPr>
                              <w:szCs w:val="24"/>
                            </w:rPr>
                          </w:pPr>
                          <w:sdt>
                            <w:sdtPr>
                              <w:alias w:val="Numeris"/>
                              <w:tag w:val="nr_47a29018f6cf412da727cac83460aa95"/>
                              <w:lock w:val="sdtLocked"/>
                              <w:richText/>
                            </w:sdtPr>
                            <w:sdtContent>
                              <w:r>
                                <w:rPr>
                                  <w:szCs w:val="24"/>
                                </w:rPr>
                                <w:t>11</w:t>
                              </w:r>
                            </w:sdtContent>
                          </w:sdt>
                          <w:r>
                            <w:rPr>
                              <w:szCs w:val="24"/>
                            </w:rPr>
                            <w:t>)</w:t>
                          </w:r>
                          <w:r>
                            <w:rPr>
                              <w:szCs w:val="24"/>
                              <w:lang w:eastAsia="lt-LT"/>
                            </w:rPr>
                            <w:t xml:space="preserve"> įstatymų nustatyta tvarka priima</w:t>
                          </w:r>
                          <w:r>
                            <w:rPr>
                              <w:bCs/>
                              <w:szCs w:val="24"/>
                              <w:lang w:eastAsia="lt-LT"/>
                            </w:rPr>
                            <w:t xml:space="preserve"> </w:t>
                          </w:r>
                          <w:r>
                            <w:rPr>
                              <w:szCs w:val="24"/>
                              <w:lang w:eastAsia="lt-LT"/>
                            </w:rPr>
                            <w:t>į pareigas ir atleidžia iš pareigų sekretoriato darbuotojus, juos skatina ir skiria jiems nuobaudas, įformina su Komisijos narių įgaliojimų pabaiga susijusius dokumentus</w:t>
                          </w:r>
                          <w:r>
                            <w:rPr>
                              <w:szCs w:val="24"/>
                            </w:rPr>
                            <w:t>;</w:t>
                          </w:r>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10885bec480d424ab0a1236cb7f67218"/>
                    <w:lock w:val="sdtLocked"/>
                    <w:richText/>
                  </w:sdtPr>
                  <w:sdtContent>
                    <w:p>
                      <w:pPr>
                        <w:spacing w:line="360" w:lineRule="auto"/>
                        <w:ind w:firstLine="720"/>
                        <w:jc w:val="both"/>
                        <w:rPr>
                          <w:szCs w:val="24"/>
                        </w:rPr>
                      </w:pPr>
                      <w:sdt>
                        <w:sdtPr>
                          <w:alias w:val="Numeris"/>
                          <w:tag w:val="nr_10885bec480d424ab0a1236cb7f67218"/>
                          <w:lock w:val="sdtLocked"/>
                          <w:richText/>
                        </w:sdtPr>
                        <w:sdtContent>
                          <w:r>
                            <w:rPr>
                              <w:szCs w:val="24"/>
                            </w:rPr>
                            <w:t>3</w:t>
                          </w:r>
                        </w:sdtContent>
                      </w:sdt>
                      <w:r>
                        <w:rPr>
                          <w:szCs w:val="24"/>
                        </w:rPr>
                        <w:t>. Sprendimus dėl VTEK pirmininko atostogų, tarnybinių komandiruočių, nusišalinimo, vienkartinių priemokų skyrimo ir kitais klausimais priima Komisija posėdyje.</w:t>
                      </w:r>
                    </w:p>
                    <w:p>
                      <w:pPr>
                        <w:spacing w:line="360" w:lineRule="auto"/>
                        <w:ind w:firstLine="720"/>
                        <w:jc w:val="both"/>
                        <w:rPr>
                          <w:szCs w:val="24"/>
                        </w:rPr>
                      </w:pPr>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6247f45b7ea446c4a58e126e41cb17fd"/>
                <w:lock w:val="sdtLocked"/>
                <w:richText/>
              </w:sdtPr>
              <w:sdtContent>
                <w:p>
                  <w:pPr>
                    <w:keepNext/>
                    <w:keepLines/>
                    <w:spacing w:line="360" w:lineRule="auto"/>
                    <w:ind w:left="2268" w:hanging="1548"/>
                    <w:jc w:val="both"/>
                    <w:outlineLvl w:val="2"/>
                    <w:rPr>
                      <w:b/>
                      <w:szCs w:val="24"/>
                    </w:rPr>
                  </w:pPr>
                  <w:sdt>
                    <w:sdtPr>
                      <w:alias w:val="Numeris"/>
                      <w:tag w:val="nr_6247f45b7ea446c4a58e126e41cb17fd"/>
                      <w:lock w:val="sdtLocked"/>
                      <w:richText/>
                    </w:sdtPr>
                    <w:sdtContent>
                      <w:r>
                        <w:rPr>
                          <w:b/>
                          <w:szCs w:val="24"/>
                        </w:rPr>
                        <w:t>15</w:t>
                      </w:r>
                    </w:sdtContent>
                  </w:sdt>
                  <w:r>
                    <w:rPr>
                      <w:b/>
                      <w:szCs w:val="24"/>
                    </w:rPr>
                    <w:t xml:space="preserve"> straipsnis. </w:t>
                  </w:r>
                  <w:sdt>
                    <w:sdtPr>
                      <w:alias w:val="Pavadinimas"/>
                      <w:tag w:val="title_6247f45b7ea446c4a58e126e41cb17fd"/>
                      <w:lock w:val="sdtLocked"/>
                      <w:richText/>
                    </w:sdtPr>
                    <w:sdtContent>
                      <w:r>
                        <w:rPr>
                          <w:b/>
                          <w:szCs w:val="24"/>
                        </w:rPr>
                        <w:t>VTEK narių darbo apmokėjimas, socialinės garantijos ir garantijos atleidus iš pareigų</w:t>
                      </w:r>
                    </w:sdtContent>
                  </w:sdt>
                </w:p>
                <w:sdt>
                  <w:sdtPr>
                    <w:alias w:val="15 str. 1 d."/>
                    <w:tag w:val="part_0016169e05f54cef8e07aa7691ffdd36"/>
                    <w:lock w:val="sdtLocked"/>
                    <w:richText/>
                  </w:sdtPr>
                  <w:sdtContent>
                    <w:p>
                      <w:pPr>
                        <w:spacing w:line="360" w:lineRule="auto"/>
                        <w:ind w:firstLine="720"/>
                        <w:jc w:val="both"/>
                        <w:rPr>
                          <w:szCs w:val="24"/>
                        </w:rPr>
                      </w:pPr>
                      <w:sdt>
                        <w:sdtPr>
                          <w:alias w:val="Numeris"/>
                          <w:tag w:val="nr_0016169e05f54cef8e07aa7691ffdd36"/>
                          <w:lock w:val="sdtLocked"/>
                          <w:richText/>
                        </w:sdtPr>
                        <w:sdtContent>
                          <w:r>
                            <w:rPr>
                              <w:szCs w:val="24"/>
                            </w:rPr>
                            <w:t>1</w:t>
                          </w:r>
                        </w:sdtContent>
                      </w:sdt>
                      <w:r>
                        <w:rPr>
                          <w:szCs w:val="24"/>
                        </w:rPr>
                        <w:t xml:space="preserve">. VTEK nariams darbo užmokestis mokamas Lietuvos Respublikos valstybės politikų ir valstybės pareigūnų darbo apmokėjimo įstatymo nustatyta tvarka. VTEK nariui, kuris VTEK dirba ne visą darbo dieną, už jo darbą atliekant VTEK nario pareigas apmokama atsižvelgiant į jo faktiškai dirbtą darbo laiką. </w:t>
                      </w:r>
                    </w:p>
                  </w:sdtContent>
                </w:sdt>
                <w:sdt>
                  <w:sdtPr>
                    <w:alias w:val="15 str. 2 d."/>
                    <w:tag w:val="part_eeaa637c4d4c4128821231b5582c5715"/>
                    <w:lock w:val="sdtLocked"/>
                    <w:richText/>
                  </w:sdtPr>
                  <w:sdtContent>
                    <w:p>
                      <w:pPr>
                        <w:spacing w:line="360" w:lineRule="auto"/>
                        <w:ind w:firstLine="720"/>
                        <w:jc w:val="both"/>
                        <w:rPr>
                          <w:szCs w:val="24"/>
                        </w:rPr>
                      </w:pPr>
                      <w:sdt>
                        <w:sdtPr>
                          <w:alias w:val="Numeris"/>
                          <w:tag w:val="nr_eeaa637c4d4c4128821231b5582c5715"/>
                          <w:lock w:val="sdtLocked"/>
                          <w:richText/>
                        </w:sdtPr>
                        <w:sdtContent>
                          <w:r>
                            <w:rPr>
                              <w:szCs w:val="24"/>
                            </w:rPr>
                            <w:t>2</w:t>
                          </w:r>
                        </w:sdtContent>
                      </w:sdt>
                      <w:r>
                        <w:rPr>
                          <w:szCs w:val="24"/>
                        </w:rPr>
                        <w:t>. VTEK nariai valstybiniu socialiniu draudimu draudžiami Lietuvos Respublikos valstybinio socialinio draudimo įstatymo nustatyta tvarka. Kitas VTEK narių socialines garantijas nustato kiti įstatymai.</w:t>
                      </w:r>
                    </w:p>
                  </w:sdtContent>
                </w:sdt>
                <w:sdt>
                  <w:sdtPr>
                    <w:alias w:val="15 str. 3 d."/>
                    <w:tag w:val="part_1f7af9ebba5846cfb9bbc77868bca8dc"/>
                    <w:lock w:val="sdtLocked"/>
                    <w:richText/>
                  </w:sdtPr>
                  <w:sdtContent>
                    <w:p>
                      <w:pPr>
                        <w:spacing w:line="360" w:lineRule="auto"/>
                        <w:ind w:firstLine="720"/>
                        <w:jc w:val="both"/>
                        <w:rPr>
                          <w:szCs w:val="24"/>
                          <w:shd w:val="clear" w:color="auto" w:fill="FFFFFF"/>
                        </w:rPr>
                      </w:pPr>
                      <w:sdt>
                        <w:sdtPr>
                          <w:alias w:val="Numeris"/>
                          <w:tag w:val="nr_1f7af9ebba5846cfb9bbc77868bca8dc"/>
                          <w:lock w:val="sdtLocked"/>
                          <w:richText/>
                        </w:sdtPr>
                        <w:sdtContent>
                          <w:r>
                            <w:rPr>
                              <w:szCs w:val="24"/>
                              <w:shd w:val="clear" w:color="auto" w:fill="FFFFFF"/>
                            </w:rPr>
                            <w:t>3</w:t>
                          </w:r>
                        </w:sdtContent>
                      </w:sdt>
                      <w:r>
                        <w:rPr>
                          <w:szCs w:val="24"/>
                          <w:shd w:val="clear" w:color="auto" w:fill="FFFFFF"/>
                        </w:rPr>
                        <w:t>. VTEK nariui, kurio kadencija pasibaigia (jeigu jis nebuvo paskirtas antrai kadencijai) arba įgaliojimai nutrūksta šio įstatymo 14 straipsnio 1 dalies 3 punkte nustatytu pagrindu, išmokama dviejų mėnesių jo vidutinio darbo užmokesčio dydžio išeitinė išmoka, o VTEK nariui mirus, – jo šeimos nariams (sutuoktiniui, partneriui, sugyventiniui, jeigu jis nurodytas VTEK nario privačių interesų deklaracijoje,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spacing w:line="360" w:lineRule="auto"/>
                        <w:ind w:firstLine="720"/>
                        <w:jc w:val="both"/>
                        <w:rPr>
                          <w:b/>
                          <w:bCs/>
                          <w:szCs w:val="24"/>
                        </w:rPr>
                      </w:pPr>
                    </w:p>
                    <w:p>
                      <w:pPr>
                        <w:spacing w:line="360" w:lineRule="auto"/>
                        <w:ind w:firstLine="720"/>
                        <w:jc w:val="both"/>
                        <w:rPr>
                          <w:b/>
                          <w:bCs/>
                          <w:szCs w:val="24"/>
                        </w:rPr>
                      </w:pPr>
                    </w:p>
                  </w:sdtContent>
                </w:sdt>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cd089dac7cb843ceb567b2f858a0637c"/>
                    <w:lock w:val="sdtLocked"/>
                    <w:richText/>
                  </w:sdtPr>
                  <w:sdtContent>
                    <w:p>
                      <w:pPr>
                        <w:spacing w:line="360" w:lineRule="auto"/>
                        <w:ind w:firstLine="720"/>
                        <w:jc w:val="both"/>
                        <w:rPr>
                          <w:szCs w:val="24"/>
                        </w:rPr>
                      </w:pPr>
                      <w:sdt>
                        <w:sdtPr>
                          <w:alias w:val="Numeris"/>
                          <w:tag w:val="nr_cd089dac7cb843ceb567b2f858a0637c"/>
                          <w:lock w:val="sdtLocked"/>
                          <w:richText/>
                        </w:sdtPr>
                        <w:sdtContent>
                          <w:r>
                            <w:rPr>
                              <w:szCs w:val="24"/>
                              <w:shd w:val="clear" w:color="auto" w:fill="FFFFFF"/>
                            </w:rPr>
                            <w:t>6</w:t>
                          </w:r>
                        </w:sdtContent>
                      </w:sdt>
                      <w:r>
                        <w:rPr>
                          <w:szCs w:val="24"/>
                          <w:shd w:val="clear" w:color="auto" w:fill="FFFFFF"/>
                        </w:rPr>
                        <w:t xml:space="preserve">. VTEK posėdžiai protokoluojami. VTEK posėdžio eigai fiksuoti daromas garso įrašas; jis įforminamas ir saugomas Reglamento nustatyta tvarka. VTEK posėdžių protokolai ar jų išrašai ir garso įrašai gali būti teikiami susipažinti teismams, kitoms teisėsaugos institucijoms, parlamentinę kontrolę atliekantiems Seimo komitetams ar komisijoms, taip pat leidžiama su jais susipažinti asmenims, dėl kurių veikos atitikties teisės aktų nuostatoms VTEK priėmė sprendimą, ir visuomenės informavimo priemonių atstovams jų oficialiu prašymu. </w:t>
                      </w:r>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06f4c3b93fad46629d2987bce7527925"/>
                        <w:lock w:val="sdtLocked"/>
                        <w:richText/>
                      </w:sdtPr>
                      <w:sdtContent>
                        <w:p>
                          <w:pPr>
                            <w:spacing w:line="360" w:lineRule="auto"/>
                            <w:ind w:firstLine="720"/>
                            <w:jc w:val="both"/>
                            <w:rPr>
                              <w:szCs w:val="24"/>
                            </w:rPr>
                          </w:pPr>
                          <w:sdt>
                            <w:sdtPr>
                              <w:alias w:val="Numeris"/>
                              <w:tag w:val="nr_06f4c3b93fad46629d2987bce7527925"/>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826860b822a544e4885f0864d4440843"/>
                        <w:lock w:val="sdtLocked"/>
                        <w:richText/>
                      </w:sdtPr>
                      <w:sdtContent>
                        <w:p>
                          <w:pPr>
                            <w:spacing w:line="360" w:lineRule="auto"/>
                            <w:ind w:firstLine="720"/>
                            <w:jc w:val="both"/>
                            <w:rPr>
                              <w:szCs w:val="24"/>
                            </w:rPr>
                          </w:pPr>
                          <w:sdt>
                            <w:sdtPr>
                              <w:alias w:val="Numeris"/>
                              <w:tag w:val="nr_826860b822a544e4885f0864d4440843"/>
                              <w:lock w:val="sdtLocked"/>
                              <w:richText/>
                            </w:sdtPr>
                            <w:sdtContent>
                              <w:r>
                                <w:rPr>
                                  <w:szCs w:val="24"/>
                                </w:rPr>
                                <w:t>15</w:t>
                              </w:r>
                            </w:sdtContent>
                          </w:sdt>
                          <w:r>
                            <w:rPr>
                              <w:szCs w:val="24"/>
                            </w:rPr>
                            <w:t>) priimti rekomendacijas, kuriose pateikiama VTEK nuomonė tam tikru klausimu arba apibendrinama VTEK veiklos praktika.</w:t>
                          </w:r>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5e420534a40d41daab725b8313726f9c"/>
                <w:lock w:val="sdtLocked"/>
                <w:richText/>
              </w:sdtPr>
              <w:sdtContent>
                <w:p>
                  <w:pPr>
                    <w:keepNext/>
                    <w:keepLines/>
                    <w:spacing w:line="360" w:lineRule="auto"/>
                    <w:ind w:firstLine="720"/>
                    <w:jc w:val="both"/>
                    <w:outlineLvl w:val="2"/>
                    <w:rPr>
                      <w:b/>
                      <w:bCs/>
                      <w:szCs w:val="24"/>
                    </w:rPr>
                  </w:pPr>
                  <w:sdt>
                    <w:sdtPr>
                      <w:alias w:val="Numeris"/>
                      <w:tag w:val="nr_5e420534a40d41daab725b8313726f9c"/>
                      <w:lock w:val="sdtLocked"/>
                      <w:richText/>
                    </w:sdtPr>
                    <w:sdtContent>
                      <w:r>
                        <w:rPr>
                          <w:b/>
                          <w:bCs/>
                          <w:szCs w:val="24"/>
                        </w:rPr>
                        <w:t>20</w:t>
                      </w:r>
                    </w:sdtContent>
                  </w:sdt>
                  <w:r>
                    <w:rPr>
                      <w:b/>
                      <w:bCs/>
                      <w:szCs w:val="24"/>
                    </w:rPr>
                    <w:t xml:space="preserve"> straipsnis. </w:t>
                  </w:r>
                  <w:sdt>
                    <w:sdtPr>
                      <w:alias w:val="Pavadinimas"/>
                      <w:tag w:val="title_5e420534a40d41daab725b8313726f9c"/>
                      <w:lock w:val="sdtLocked"/>
                      <w:richText/>
                    </w:sdtPr>
                    <w:sdtContent>
                      <w:r>
                        <w:rPr>
                          <w:b/>
                          <w:bCs/>
                          <w:szCs w:val="24"/>
                        </w:rPr>
                        <w:t>Pranešimų ir prašymų pateikimas</w:t>
                      </w:r>
                    </w:sdtContent>
                  </w:sdt>
                </w:p>
                <w:sdt>
                  <w:sdtPr>
                    <w:alias w:val="20 str. 1 d."/>
                    <w:tag w:val="part_044e2eda1cae4ebc8eb2f497a585b10f"/>
                    <w:lock w:val="sdtLocked"/>
                    <w:richText/>
                  </w:sdtPr>
                  <w:sdtContent>
                    <w:p>
                      <w:pPr>
                        <w:tabs>
                          <w:tab w:val="left" w:pos="576"/>
                        </w:tabs>
                        <w:spacing w:line="360" w:lineRule="auto"/>
                        <w:ind w:firstLine="720"/>
                        <w:jc w:val="both"/>
                        <w:rPr>
                          <w:strike/>
                          <w:szCs w:val="24"/>
                        </w:rPr>
                      </w:pPr>
                      <w:sdt>
                        <w:sdtPr>
                          <w:alias w:val="Numeris"/>
                          <w:tag w:val="nr_044e2eda1cae4ebc8eb2f497a585b10f"/>
                          <w:lock w:val="sdtLocked"/>
                          <w:richText/>
                        </w:sdtPr>
                        <w:sdtContent>
                          <w:r>
                            <w:rPr>
                              <w:szCs w:val="24"/>
                            </w:rPr>
                            <w:t>1</w:t>
                          </w:r>
                        </w:sdtContent>
                      </w:sdt>
                      <w:r>
                        <w:rPr>
                          <w:szCs w:val="24"/>
                        </w:rPr>
                        <w:t xml:space="preserve">. </w:t>
                      </w:r>
                      <w:r>
                        <w:rPr>
                          <w:szCs w:val="24"/>
                          <w:lang w:eastAsia="lt-LT"/>
                        </w:rPr>
                        <w:t>Pranešimai ir prašymai VTEK gali būti pateikti raštu arba elektroninių ryšių priemonėmis. Atsakymai į pranešimus ir prašymus bei su jų nagrinėjimu susijusi informacija pateikiama asmenims pranešime ar prašyme nurodytu elektroniniu paštu, o asmens pageidavimu siunčiami paštu jo nurodytu adresu laikantis šio įstatymo nustatytų terminų.</w:t>
                      </w:r>
                    </w:p>
                  </w:sdtContent>
                </w:sdt>
                <w:sdt>
                  <w:sdtPr>
                    <w:alias w:val="20 str. 2 d."/>
                    <w:tag w:val="part_fec7ba54a2324ba2b39644fa9438b557"/>
                    <w:lock w:val="sdtLocked"/>
                    <w:richText/>
                  </w:sdtPr>
                  <w:sdtContent>
                    <w:p>
                      <w:pPr>
                        <w:tabs>
                          <w:tab w:val="left" w:pos="576"/>
                        </w:tabs>
                        <w:spacing w:line="360" w:lineRule="auto"/>
                        <w:ind w:firstLine="720"/>
                        <w:jc w:val="both"/>
                        <w:rPr>
                          <w:szCs w:val="24"/>
                        </w:rPr>
                      </w:pPr>
                      <w:sdt>
                        <w:sdtPr>
                          <w:alias w:val="Numeris"/>
                          <w:tag w:val="nr_fec7ba54a2324ba2b39644fa9438b557"/>
                          <w:lock w:val="sdtLocked"/>
                          <w:richText/>
                        </w:sdtPr>
                        <w:sdtContent>
                          <w:r>
                            <w:rPr>
                              <w:szCs w:val="24"/>
                            </w:rPr>
                            <w:t>2</w:t>
                          </w:r>
                        </w:sdtContent>
                      </w:sdt>
                      <w:r>
                        <w:rPr>
                          <w:szCs w:val="24"/>
                        </w:rPr>
                        <w:t>. Asmenų kreipimaisi, kuriais ne pranešama apie galimus pažeidimus, o prašoma pateikti VTEK nuomonę, rekomendaciją, suteikti konsultaciją, kitą informaciją ar pageidaujamus dokumentus, laikomi prašymais. Šie prašymai turi būti išnagrinėti ir juos pateikusiems asmenims turi būti atsakyta ne vėliau kaip per 20 darbo dienų nuo prašymo gavimo VTEK dienos.</w:t>
                      </w:r>
                    </w:p>
                    <w:p>
                      <w:pPr>
                        <w:tabs>
                          <w:tab w:val="left" w:pos="576"/>
                        </w:tabs>
                        <w:spacing w:line="360" w:lineRule="auto"/>
                        <w:ind w:firstLine="720"/>
                        <w:jc w:val="both"/>
                        <w:rPr>
                          <w:b/>
                          <w:bCs/>
                          <w:szCs w:val="24"/>
                        </w:rPr>
                      </w:pPr>
                    </w:p>
                  </w:sdtContent>
                </w:sdt>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18da2e12c3954d21b1b83cc0d26247bf"/>
                        <w:lock w:val="sdtLocked"/>
                        <w:richText/>
                      </w:sdtPr>
                      <w:sdtContent>
                        <w:p>
                          <w:pPr>
                            <w:tabs>
                              <w:tab w:val="left" w:pos="576"/>
                            </w:tabs>
                            <w:spacing w:line="360" w:lineRule="auto"/>
                            <w:ind w:firstLine="720"/>
                            <w:jc w:val="both"/>
                            <w:rPr>
                              <w:szCs w:val="24"/>
                            </w:rPr>
                          </w:pPr>
                          <w:sdt>
                            <w:sdtPr>
                              <w:alias w:val="Numeris"/>
                              <w:tag w:val="nr_18da2e12c3954d21b1b83cc0d26247bf"/>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0827afb71e964f0a96bafc64b1eee1c2"/>
                <w:lock w:val="sdtLocked"/>
                <w:richText/>
              </w:sdtPr>
              <w:sdtContent>
                <w:p>
                  <w:pPr>
                    <w:keepNext/>
                    <w:keepLines/>
                    <w:spacing w:line="360" w:lineRule="auto"/>
                    <w:ind w:left="2410" w:hanging="1690"/>
                    <w:jc w:val="both"/>
                    <w:outlineLvl w:val="2"/>
                    <w:rPr>
                      <w:b/>
                      <w:szCs w:val="24"/>
                    </w:rPr>
                  </w:pPr>
                  <w:sdt>
                    <w:sdtPr>
                      <w:alias w:val="Numeris"/>
                      <w:tag w:val="nr_0827afb71e964f0a96bafc64b1eee1c2"/>
                      <w:lock w:val="sdtLocked"/>
                      <w:richText/>
                    </w:sdtPr>
                    <w:sdtContent>
                      <w:r>
                        <w:rPr>
                          <w:b/>
                          <w:szCs w:val="24"/>
                        </w:rPr>
                        <w:t>24</w:t>
                      </w:r>
                    </w:sdtContent>
                  </w:sdt>
                  <w:r>
                    <w:rPr>
                      <w:b/>
                      <w:szCs w:val="24"/>
                    </w:rPr>
                    <w:t xml:space="preserve"> straipsnis. </w:t>
                  </w:r>
                  <w:sdt>
                    <w:sdtPr>
                      <w:alias w:val="Pavadinimas"/>
                      <w:tag w:val="title_0827afb71e964f0a96bafc64b1eee1c2"/>
                      <w:lock w:val="sdtLocked"/>
                      <w:richText/>
                    </w:sdtPr>
                    <w:sdtContent>
                      <w:r>
                        <w:rPr>
                          <w:b/>
                          <w:szCs w:val="24"/>
                        </w:rPr>
                        <w:t xml:space="preserve">Tyrimo atlikimas institucijose ir įstaigose ir priimtų sprendimų apskundimas </w:t>
                      </w:r>
                    </w:sdtContent>
                  </w:sdt>
                </w:p>
                <w:sdt>
                  <w:sdtPr>
                    <w:alias w:val="24 str. 1 d."/>
                    <w:tag w:val="part_0469876ca1f64bc9898def5ebaa790ba"/>
                    <w:lock w:val="sdtLocked"/>
                    <w:richText/>
                  </w:sdtPr>
                  <w:sdtContent>
                    <w:p>
                      <w:pPr>
                        <w:tabs>
                          <w:tab w:val="left" w:pos="576"/>
                        </w:tabs>
                        <w:spacing w:line="360" w:lineRule="auto"/>
                        <w:ind w:firstLine="720"/>
                        <w:jc w:val="both"/>
                        <w:rPr>
                          <w:szCs w:val="24"/>
                          <w:lang w:eastAsia="lt-LT"/>
                        </w:rPr>
                      </w:pPr>
                      <w:sdt>
                        <w:sdtPr>
                          <w:alias w:val="Numeris"/>
                          <w:tag w:val="nr_0469876ca1f64bc9898def5ebaa790ba"/>
                          <w:lock w:val="sdtLocked"/>
                          <w:richText/>
                        </w:sdtPr>
                        <w:sdtContent>
                          <w:r>
                            <w:rPr>
                              <w:szCs w:val="24"/>
                            </w:rPr>
                            <w:t>1</w:t>
                          </w:r>
                        </w:sdtContent>
                      </w:sdt>
                      <w:r>
                        <w:rPr>
                          <w:szCs w:val="24"/>
                        </w:rPr>
                        <w:t xml:space="preserve">. </w:t>
                      </w:r>
                      <w:r>
                        <w:rPr>
                          <w:szCs w:val="24"/>
                          <w:lang w:eastAsia="lt-LT"/>
                        </w:rPr>
                        <w:t xml:space="preserve">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skyriaus nuostatos (įskaitant teisę savivaldybių tarybų etikos komisijų priimtą sprendimą skųsti VTEK vadovaujantis šio straipsnio 4 dalimi) </w:t>
                      </w:r>
                      <w:r>
                        <w:rPr>
                          <w:i/>
                          <w:iCs/>
                          <w:szCs w:val="24"/>
                          <w:lang w:eastAsia="lt-LT"/>
                        </w:rPr>
                        <w:t xml:space="preserve">mutatis mutandis </w:t>
                      </w:r>
                      <w:r>
                        <w:rPr>
                          <w:szCs w:val="24"/>
                          <w:lang w:eastAsia="lt-LT"/>
                        </w:rPr>
                        <w:t xml:space="preserve">taikomos ir politikų elgesio tyrimams, atliekamiems pagal Valstybės politikų elgesio kodeksą. </w:t>
                      </w:r>
                    </w:p>
                  </w:sdtContent>
                </w:sdt>
                <w:sdt>
                  <w:sdtPr>
                    <w:alias w:val="24 str. 2 d."/>
                    <w:tag w:val="part_231cac956a7d44f69223825576d62bd8"/>
                    <w:lock w:val="sdtLocked"/>
                    <w:richText/>
                  </w:sdtPr>
                  <w:sdtContent>
                    <w:p>
                      <w:pPr>
                        <w:tabs>
                          <w:tab w:val="left" w:pos="576"/>
                        </w:tabs>
                        <w:spacing w:line="360" w:lineRule="auto"/>
                        <w:ind w:firstLine="720"/>
                        <w:jc w:val="both"/>
                        <w:rPr>
                          <w:szCs w:val="24"/>
                        </w:rPr>
                      </w:pPr>
                      <w:sdt>
                        <w:sdtPr>
                          <w:alias w:val="Numeris"/>
                          <w:tag w:val="nr_231cac956a7d44f69223825576d62bd8"/>
                          <w:lock w:val="sdtLocked"/>
                          <w:richText/>
                        </w:sdtPr>
                        <w:sdtContent>
                          <w:r>
                            <w:rPr>
                              <w:szCs w:val="24"/>
                            </w:rPr>
                            <w:t>2</w:t>
                          </w:r>
                        </w:sdtContent>
                      </w:sdt>
                      <w:r>
                        <w:rPr>
                          <w:szCs w:val="24"/>
                        </w:rPr>
                        <w:t xml:space="preserve">. Šio straipsnio 1 dalyje nurodyti subjektai, atlikę tyrimą, per 5 darbo dienas nuo sprendimo priėmimo pateikia VTEK priimtą sprendimą ir visus jį pagrindžiančius dokumentus (toliau šiame straipsnyje – tyrimo medžiaga). </w:t>
                      </w:r>
                    </w:p>
                  </w:sdtContent>
                </w:sdt>
                <w:sdt>
                  <w:sdtPr>
                    <w:alias w:val="24 str. 3 d."/>
                    <w:tag w:val="part_fca5ffdaa9c943b2818385d462e507e6"/>
                    <w:lock w:val="sdtLocked"/>
                    <w:richText/>
                  </w:sdtPr>
                  <w:sdtContent>
                    <w:p>
                      <w:pPr>
                        <w:tabs>
                          <w:tab w:val="left" w:pos="576"/>
                        </w:tabs>
                        <w:spacing w:line="360" w:lineRule="auto"/>
                        <w:ind w:firstLine="720"/>
                        <w:jc w:val="both"/>
                        <w:rPr>
                          <w:szCs w:val="24"/>
                        </w:rPr>
                      </w:pPr>
                      <w:sdt>
                        <w:sdtPr>
                          <w:alias w:val="Numeris"/>
                          <w:tag w:val="nr_fca5ffdaa9c943b2818385d462e507e6"/>
                          <w:lock w:val="sdtLocked"/>
                          <w:richText/>
                        </w:sdtPr>
                        <w:sdtContent>
                          <w:r>
                            <w:rPr>
                              <w:szCs w:val="24"/>
                            </w:rPr>
                            <w:t>3</w:t>
                          </w:r>
                        </w:sdtContent>
                      </w:sdt>
                      <w:r>
                        <w:rPr>
                          <w:szCs w:val="24"/>
                        </w:rPr>
                        <w:t xml:space="preserve">. VTEK, įvertinusi šio straipsnio 1 dalyje nurodytų subjektų atlikto tyrimo medžiagą ir abejodama dėl galimo netinkamo Viešųjų ir privačių interesų derinimo įstatymo nuostatų taikymo, per vieną mėnesį nuo tyrimo medžiagos gavimo dienos gali nuspręsti pati atlikti tyrimą. </w:t>
                      </w:r>
                    </w:p>
                  </w:sdtContent>
                </w:sdt>
                <w:sdt>
                  <w:sdtPr>
                    <w:alias w:val="24 str. 4 d."/>
                    <w:tag w:val="part_9718bc5cde514e94b310dea1ec401a39"/>
                    <w:lock w:val="sdtLocked"/>
                    <w:richText/>
                  </w:sdtPr>
                  <w:sdtContent>
                    <w:p>
                      <w:pPr>
                        <w:spacing w:line="360" w:lineRule="auto"/>
                        <w:ind w:firstLine="720"/>
                        <w:jc w:val="both"/>
                        <w:rPr>
                          <w:szCs w:val="24"/>
                        </w:rPr>
                      </w:pPr>
                      <w:sdt>
                        <w:sdtPr>
                          <w:alias w:val="Numeris"/>
                          <w:tag w:val="nr_9718bc5cde514e94b310dea1ec401a39"/>
                          <w:lock w:val="sdtLocked"/>
                          <w:richText/>
                        </w:sdtPr>
                        <w:sdtContent>
                          <w:r>
                            <w:rPr>
                              <w:szCs w:val="24"/>
                            </w:rPr>
                            <w:t>4</w:t>
                          </w:r>
                        </w:sdtContent>
                      </w:sdt>
                      <w:r>
                        <w:rPr>
                          <w:szCs w:val="24"/>
                        </w:rPr>
                        <w:t xml:space="preserve">. </w:t>
                      </w:r>
                      <w:r>
                        <w:rPr>
                          <w:szCs w:val="24"/>
                          <w:lang w:eastAsia="lt-LT"/>
                        </w:rPr>
                        <w:t>Pareiškėjas arba asmuo, dėl kurio veikos institucijoje ar įstaigoje yra atliktas tyrimas ir priimtas sprendimas, šio straipsnio 1 dalyje nurodytų subjektų priimtus sprendimus gali skųsti VTEK per vieną mėnesį nuo sprendimo paskelbimo arba jo įteikimo suinteresuotam asmeniui dienos (išskyrus Seimo Etikos ir procedūrų komisijos priimtus sprendimus).</w:t>
                      </w:r>
                    </w:p>
                  </w:sdtContent>
                </w:sdt>
                <w:sdt>
                  <w:sdtPr>
                    <w:alias w:val="24 str. 5 d."/>
                    <w:tag w:val="part_02397877b4644e20983643978b1c342e"/>
                    <w:lock w:val="sdtLocked"/>
                    <w:richText/>
                  </w:sdtPr>
                  <w:sdtContent>
                    <w:p>
                      <w:pPr>
                        <w:tabs>
                          <w:tab w:val="left" w:pos="576"/>
                        </w:tabs>
                        <w:spacing w:line="360" w:lineRule="auto"/>
                        <w:ind w:firstLine="720"/>
                        <w:jc w:val="both"/>
                        <w:rPr>
                          <w:szCs w:val="24"/>
                        </w:rPr>
                      </w:pPr>
                      <w:sdt>
                        <w:sdtPr>
                          <w:alias w:val="Numeris"/>
                          <w:tag w:val="nr_02397877b4644e20983643978b1c342e"/>
                          <w:lock w:val="sdtLocked"/>
                          <w:richText/>
                        </w:sdtPr>
                        <w:sdtContent>
                          <w:r>
                            <w:rPr>
                              <w:szCs w:val="24"/>
                            </w:rPr>
                            <w:t>5</w:t>
                          </w:r>
                        </w:sdtContent>
                      </w:sdt>
                      <w:r>
                        <w:rPr>
                          <w:szCs w:val="24"/>
                        </w:rPr>
                        <w:t xml:space="preserve">. VTEK, nagrinėdama pareiškėjo ar asmens, dėl kurio veikos institucijoje ar įstaigoje yra atliktas tyrimas ir priimtas sprendimas, skundą, veikia kaip privaloma išankstinė ginčų nagrinėjimo institucija. VTEK, išnagrinėjusi skundą, gali jį patenkinti visą ar iš dalies arba atmesti. Skundas VTEK turi būti išnagrinėtas ir sprendimas dėl jo priimtas per vieną mėnesį nuo skundo gavimo Komisijoje dienos. </w:t>
                      </w:r>
                      <w:r>
                        <w:rPr>
                          <w:color w:val="000000"/>
                          <w:szCs w:val="24"/>
                        </w:rPr>
                        <w:t>Motyvuotu VTEK sprendimu skundo nagrinėjimo terminas gali būti pratęstas 14 dienų.</w:t>
                      </w:r>
                    </w:p>
                    <w:p>
                      <w:pPr>
                        <w:tabs>
                          <w:tab w:val="left" w:pos="576"/>
                        </w:tabs>
                        <w:spacing w:line="360" w:lineRule="auto"/>
                        <w:ind w:firstLine="720"/>
                        <w:jc w:val="both"/>
                        <w:rPr>
                          <w:szCs w:val="24"/>
                        </w:rPr>
                      </w:pPr>
                    </w:p>
                  </w:sdtContent>
                </w:sdt>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3c5ba2ae880241da99954ba280f03dc1"/>
                    <w:lock w:val="sdtLocked"/>
                    <w:richText/>
                  </w:sdtPr>
                  <w:sdtContent>
                    <w:p>
                      <w:pPr>
                        <w:tabs>
                          <w:tab w:val="left" w:pos="576"/>
                        </w:tabs>
                        <w:spacing w:line="360" w:lineRule="auto"/>
                        <w:ind w:firstLine="720"/>
                        <w:jc w:val="both"/>
                        <w:rPr>
                          <w:szCs w:val="24"/>
                        </w:rPr>
                      </w:pPr>
                      <w:sdt>
                        <w:sdtPr>
                          <w:alias w:val="Numeris"/>
                          <w:tag w:val="nr_3c5ba2ae880241da99954ba280f03dc1"/>
                          <w:lock w:val="sdtLocked"/>
                          <w:richText/>
                        </w:sdtPr>
                        <w:sdtContent>
                          <w:r>
                            <w:rPr>
                              <w:szCs w:val="24"/>
                              <w:shd w:val="clear" w:color="auto" w:fill="FFFFFF"/>
                            </w:rPr>
                            <w:t>1</w:t>
                          </w:r>
                        </w:sdtContent>
                      </w:sdt>
                      <w:r>
                        <w:rPr>
                          <w:szCs w:val="24"/>
                          <w:shd w:val="clear" w:color="auto" w:fill="FFFFFF"/>
                        </w:rPr>
                        <w:t>.</w:t>
                      </w:r>
                      <w:r>
                        <w:rPr>
                          <w:szCs w:val="24"/>
                          <w:shd w:val="clear" w:color="auto" w:fill="FFFFFF"/>
                          <w:lang w:eastAsia="lt-LT"/>
                        </w:rPr>
                        <w:t xml:space="preserve"> Tyrimas pradedamas VTEK sprendimu per 10 darbo dienų nuo gauto pranešimo registravimo Komisijos sekretoriate dienos </w:t>
                      </w:r>
                      <w:r>
                        <w:rPr>
                          <w:bCs/>
                          <w:szCs w:val="24"/>
                          <w:shd w:val="clear" w:color="auto" w:fill="FFFFFF"/>
                          <w:lang w:eastAsia="lt-LT"/>
                        </w:rPr>
                        <w:t>arba nuo VTEK pateiktame raginime nurodyto termino pabaigos</w:t>
                      </w:r>
                      <w:r>
                        <w:rPr>
                          <w:i/>
                          <w:szCs w:val="24"/>
                          <w:shd w:val="clear" w:color="auto" w:fill="FFFFFF"/>
                          <w:lang w:eastAsia="lt-LT"/>
                        </w:rPr>
                        <w:t>.</w:t>
                      </w:r>
                      <w:r>
                        <w:rPr>
                          <w:szCs w:val="24"/>
                          <w:shd w:val="clear" w:color="auto" w:fill="FFFFFF"/>
                          <w:lang w:eastAsia="lt-LT"/>
                        </w:rPr>
                        <w:t xml:space="preserve"> Apie tyrimo pradžią per 5</w:t>
                      </w:r>
                      <w:r>
                        <w:rPr>
                          <w:bCs/>
                          <w:szCs w:val="24"/>
                          <w:shd w:val="clear" w:color="auto" w:fill="FFFFFF"/>
                          <w:lang w:eastAsia="lt-LT"/>
                        </w:rPr>
                        <w:t xml:space="preserve"> </w:t>
                      </w:r>
                      <w:r>
                        <w:rPr>
                          <w:szCs w:val="24"/>
                          <w:shd w:val="clear" w:color="auto" w:fill="FFFFFF"/>
                          <w:lang w:eastAsia="lt-LT"/>
                        </w:rPr>
                        <w:t xml:space="preserve">darbo dienas nuo sprendimo pradėti tyrimą priėmimo dienos raštu pranešama pareiškėjui, asmeniui, kurio veika tiriama, ir institucijos ar įstaigos, kurioje šis asmuo dirba, vadovui, </w:t>
                      </w:r>
                      <w:r>
                        <w:rPr>
                          <w:szCs w:val="24"/>
                          <w:lang w:eastAsia="lt-LT"/>
                        </w:rPr>
                        <w:t>o kai pranešimas gautas dėl įstaigos vadovo, – šį vadovą į pareigas priimančiam ar skiriančiam subjektui arba kolegialiai valstybės ar savivaldybių institucijai</w:t>
                      </w:r>
                      <w:r>
                        <w:rPr>
                          <w:szCs w:val="24"/>
                          <w:shd w:val="clear" w:color="auto" w:fill="FFFFFF"/>
                          <w:lang w:eastAsia="lt-LT"/>
                        </w:rPr>
                        <w:t>.</w:t>
                      </w:r>
                      <w:r>
                        <w:rPr>
                          <w:szCs w:val="24"/>
                        </w:rPr>
                        <w:t xml:space="preserve"> </w:t>
                      </w:r>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2f7c789a81634f9dbbb15db96da5e81f"/>
                        <w:lock w:val="sdtLocked"/>
                        <w:richText/>
                      </w:sdtPr>
                      <w:sdtContent>
                        <w:p>
                          <w:pPr>
                            <w:tabs>
                              <w:tab w:val="left" w:pos="576"/>
                            </w:tabs>
                            <w:spacing w:line="360" w:lineRule="auto"/>
                            <w:ind w:firstLine="720"/>
                            <w:jc w:val="both"/>
                            <w:rPr>
                              <w:szCs w:val="24"/>
                              <w:lang w:eastAsia="lt-LT"/>
                            </w:rPr>
                          </w:pPr>
                          <w:sdt>
                            <w:sdtPr>
                              <w:alias w:val="Numeris"/>
                              <w:tag w:val="nr_2f7c789a81634f9dbbb15db96da5e81f"/>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 xml:space="preserve">. </w:t>
                          </w:r>
                        </w:p>
                        <w:p>
                          <w:pPr>
                            <w:tabs>
                              <w:tab w:val="left" w:pos="576"/>
                            </w:tabs>
                            <w:spacing w:line="360" w:lineRule="auto"/>
                            <w:ind w:firstLine="720"/>
                            <w:jc w:val="both"/>
                            <w:rPr>
                              <w:szCs w:val="24"/>
                            </w:rPr>
                          </w:pPr>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07954e7198894f70a971a31ac8bb62e1"/>
                        <w:lock w:val="sdtLocked"/>
                        <w:richText/>
                      </w:sdtPr>
                      <w:sdtContent>
                        <w:p>
                          <w:pPr>
                            <w:tabs>
                              <w:tab w:val="left" w:pos="576"/>
                            </w:tabs>
                            <w:spacing w:line="360" w:lineRule="auto"/>
                            <w:ind w:firstLine="720"/>
                            <w:jc w:val="both"/>
                            <w:rPr>
                              <w:szCs w:val="24"/>
                              <w:lang w:eastAsia="lt-LT"/>
                            </w:rPr>
                          </w:pPr>
                          <w:sdt>
                            <w:sdtPr>
                              <w:alias w:val="Numeris"/>
                              <w:tag w:val="nr_07954e7198894f70a971a31ac8bb62e1"/>
                              <w:lock w:val="sdtLocked"/>
                              <w:richText/>
                            </w:sdtPr>
                            <w:sdtContent>
                              <w:r>
                                <w:rPr>
                                  <w:szCs w:val="24"/>
                                  <w:lang w:eastAsia="lt-LT"/>
                                </w:rPr>
                                <w:t>9</w:t>
                              </w:r>
                            </w:sdtContent>
                          </w:sdt>
                          <w:r>
                            <w:rPr>
                              <w:szCs w:val="24"/>
                              <w:lang w:eastAsia="lt-LT"/>
                            </w:rPr>
                            <w:t xml:space="preserve">) įstatymų nustatyta tvarka apskųsti VTEK priimtą sprendimą Vilniaus apygardos administraciniam teismui. </w:t>
                          </w:r>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d8c26d463dea4ecdb18a030dfaabf343"/>
                    <w:lock w:val="sdtLocked"/>
                    <w:richText/>
                  </w:sdtPr>
                  <w:sdtContent>
                    <w:p>
                      <w:pPr>
                        <w:tabs>
                          <w:tab w:val="left" w:pos="576"/>
                        </w:tabs>
                        <w:spacing w:line="360" w:lineRule="auto"/>
                        <w:ind w:firstLine="720"/>
                        <w:jc w:val="both"/>
                        <w:rPr>
                          <w:szCs w:val="24"/>
                        </w:rPr>
                      </w:pPr>
                      <w:sdt>
                        <w:sdtPr>
                          <w:alias w:val="Numeris"/>
                          <w:tag w:val="nr_d8c26d463dea4ecdb18a030dfaabf343"/>
                          <w:lock w:val="sdtLocked"/>
                          <w:richText/>
                        </w:sdtPr>
                        <w:sdtContent>
                          <w:r>
                            <w:rPr>
                              <w:szCs w:val="24"/>
                            </w:rPr>
                            <w:t>1</w:t>
                          </w:r>
                        </w:sdtContent>
                      </w:sdt>
                      <w:r>
                        <w:rPr>
                          <w:szCs w:val="24"/>
                        </w:rPr>
                        <w:t>. VTEK sprendimai gali būti skundžiami Vilniaus apygardos administraciniam teismui per vieną mėnesį nuo sprendimo paskelbimo arba įteikimo suinteresuotam asmeniui dienos.</w:t>
                      </w:r>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BBF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393f673652404bb5969e1cfaff0f4017"/>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304868e431d247de8ce1b32b2ad20df4">
        <Part Type="strDalis" Nr="1" Abbr="6 str. 1 d." DocPartId="797aa975a90b49b4825465355a34c009" PartId="edd38a9e683547319f2a324fe9d27285"/>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04cc0cb7a0d141a8bb602dbb4faa69cb"/>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be0e18658e404c9a9825c6337ec60bd7"/>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0f2ce73c748347f28d7a4f82a5703ead"/>
          <Part Type="strPunktas" Nr="9" Abbr="13 str. 1 d. 9 p." DocPartId="fe248eaf7f5d49a086ab009007ddf98f" PartId="2d011a2e73be4cefb3291cc1c2263fb8"/>
          <Part Type="strPunktas" Nr="10" Abbr="13 str. 1 d. 10 p." DocPartId="9d96db64501b4d9c93992f5d4ea3b5ad" PartId="d11aec5164bc4bfea8ac10e001e99b41"/>
          <Part Type="strPunktas" Nr="11" Abbr="13 str. 1 d. 11 p." DocPartId="c46d214735e6453380628f217e6bfbb0" PartId="47a29018f6cf412da727cac83460aa95"/>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10885bec480d424ab0a1236cb7f67218"/>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6247f45b7ea446c4a58e126e41cb17fd">
        <Part Type="strDalis" Nr="1" Abbr="15 str. 1 d." DocPartId="9b02b0b1433b4005b754bcc1d9479047" PartId="0016169e05f54cef8e07aa7691ffdd36"/>
        <Part Type="strDalis" Nr="2" Abbr="15 str. 2 d." DocPartId="3888b7454bc0427ca1231784607e03f2" PartId="eeaa637c4d4c4128821231b5582c5715"/>
        <Part Type="strDalis" Nr="3" Abbr="15 str. 3 d." DocPartId="eb5755dc82664d8a805a176f0ae3288a" PartId="1f7af9ebba5846cfb9bbc77868bca8dc"/>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cd089dac7cb843ceb567b2f858a0637c"/>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06f4c3b93fad46629d2987bce7527925"/>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826860b822a544e4885f0864d4440843"/>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pateikimas" DocPartId="0c306c82e7584a3981845a67fc57e1cd" PartId="5e420534a40d41daab725b8313726f9c">
        <Part Type="strDalis" Nr="1" Abbr="20 str. 1 d." DocPartId="7af8a3dd25a14477b3e48205bf116dec" PartId="044e2eda1cae4ebc8eb2f497a585b10f"/>
        <Part Type="strDalis" Nr="2" Abbr="20 str. 2 d." DocPartId="6136cf03419b446a86a12f9cdf799a58" PartId="fec7ba54a2324ba2b39644fa9438b557"/>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18da2e12c3954d21b1b83cc0d26247b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0827afb71e964f0a96bafc64b1eee1c2">
        <Part Type="strDalis" Nr="1" Abbr="24 str. 1 d." DocPartId="342f80eade85493a84db97a9667b1ec1" PartId="0469876ca1f64bc9898def5ebaa790ba"/>
        <Part Type="strDalis" Nr="2" Abbr="24 str. 2 d." DocPartId="fa50c7d287cc4f1787356ab35d0bc55f" PartId="231cac956a7d44f69223825576d62bd8"/>
        <Part Type="strDalis" Nr="3" Abbr="24 str. 3 d." DocPartId="f3604241bd2a4b6f93f00b41488db9dd" PartId="fca5ffdaa9c943b2818385d462e507e6"/>
        <Part Type="strDalis" Nr="4" Abbr="24 str. 4 d." DocPartId="2f61eb643e54445abe451f82fb923c17" PartId="9718bc5cde514e94b310dea1ec401a39"/>
        <Part Type="strDalis" Nr="5" Abbr="24 str. 5 d." DocPartId="ae2298ec2c6b45028fd78c02382f5fa4" PartId="02397877b4644e20983643978b1c342e"/>
      </Part>
      <Part Type="straipsnis" Nr="25" Abbr="25 str." Title="Tyrimo pradžia ir tyrimo ribos" DocPartId="051347fb3925440abc007db90a932724" PartId="b2e25790fadb4b17961b4252382bc2de">
        <Part Type="strDalis" Nr="1" Abbr="25 str. 1 d." DocPartId="f472942a291a4073a3c132df0bdbf65e" PartId="3c5ba2ae880241da99954ba280f03dc1"/>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2f7c789a81634f9dbbb15db96da5e81f"/>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07954e7198894f70a971a31ac8bb62e1"/>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d8c26d463dea4ecdb18a030dfaabf343"/>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AC78DD07-197F-4A99-9130-A7E3FD1736F5}">
  <ds:schemaRefs>
    <ds:schemaRef ds:uri="http://lrs.lt/TAIS/DocParts"/>
  </ds:schemaRefs>
</ds:datastoreItem>
</file>

<file path=docProps/app.xml><?xml version="1.0" encoding="utf-8"?>
<Properties xmlns="http://schemas.openxmlformats.org/officeDocument/2006/extended-properties">
  <Template>Normal.dotm</Template>
  <TotalTime>34</TotalTime>
  <Pages>22</Pages>
  <Words>34706</Words>
  <Characters>19783</Characters>
  <Application>Microsoft Office Word</Application>
  <DocSecurity>0</DocSecurity>
  <Lines>164</Lines>
  <Paragraphs>108</Paragraphs>
  <ScaleCrop>false</ScaleCrop>
  <Company/>
  <LinksUpToDate>false</LinksUpToDate>
  <CharactersWithSpaces>54381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2020-07-13T14:07:00Z</dcterms:modified>
  <revision>21</revision>
  <dc:title>LIETUVOS RESPUBLIKOS VYRIAUSIOSIOS TARNYBINĖS ETIKOS KOMISIJOS ĮSTATYMAS</dc:title>
</coreProperties>
</file>