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8483479525c4b39b8cef760c6f99a34"/>
        <w:lock w:val="sdtLocked"/>
        <w:richText/>
      </w:sdtPr>
      <w:sdtContent>
        <w:p>
          <w:pPr>
            <w:jc w:val="both"/>
            <w:rPr>
              <w:rFonts w:ascii="Times New Roman" w:hAnsi="Times New Roman"/>
            </w:rPr>
          </w:pPr>
          <w:r>
            <w:rPr>
              <w:rFonts w:ascii="Times New Roman" w:hAnsi="Times New Roman"/>
              <w:b/>
              <w:i/>
            </w:rPr>
            <w:t>Suvestinė redakcija nuo 2025-02-20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5BDD88088715">
            <w:r w:rsidRPr="00532B9F">
              <w:rPr>
                <w:rFonts w:ascii="Times New Roman" w:eastAsia="MS Mincho" w:hAnsi="Times New Roman"/>
                <w:sz w:val="20"/>
                <w:i/>
                <w:iCs/>
                <w:color w:val="0000FF" w:themeColor="hyperlink"/>
                <w:u w:val="single"/>
              </w:rPr>
              <w:t>75-2976</w:t>
            </w:r>
          </w:fldSimple>
          <w:r>
            <w:rPr>
              <w:rFonts w:ascii="Times New Roman" w:eastAsia="MS Mincho" w:hAnsi="Times New Roman"/>
              <w:sz w:val="20"/>
              <w:i/>
              <w:iCs/>
            </w:rPr>
            <w:t>, i. k. 1082330ISAK003D-357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2021-03-18:</w:t>
          </w:r>
        </w:p>
        <w:p>
          <w:pPr>
            <w:rPr>
              <w:rFonts w:ascii="Times New Roman" w:hAnsi="Times New Roman"/>
              <w:sz w:val="20"/>
              <w:i/>
            </w:rPr>
          </w:pPr>
          <w:r>
            <w:rPr>
              <w:rFonts w:ascii="Times New Roman" w:hAnsi="Times New Roman"/>
              <w:sz w:val="20"/>
              <w:i/>
            </w:rPr>
            <w:t xml:space="preserve">Nr. </w:t>
          </w:r>
          <w:fldSimple w:instr="HYPERLINK https://www.e-tar.lt/portal/legalAct.html?documentId=f617dee0871311eb9fecb5ecd3bd711c">
            <w:r w:rsidRPr="00532B9F">
              <w:rPr>
                <w:rFonts w:ascii="Times New Roman" w:eastAsia="MS Mincho" w:hAnsi="Times New Roman"/>
                <w:sz w:val="20"/>
                <w:i/>
                <w:iCs/>
                <w:color w:val="0000FF" w:themeColor="hyperlink"/>
                <w:u w:val="single"/>
              </w:rPr>
              <w:t>3D-175</w:t>
            </w:r>
          </w:fldSimple>
          <w:r>
            <w:rPr>
              <w:rFonts w:ascii="Times New Roman" w:eastAsia="MS Mincho" w:hAnsi="Times New Roman"/>
              <w:sz w:val="20"/>
              <w:i/>
              <w:iCs/>
            </w:rPr>
            <w:t>,
2021-03-17,
paskelbta TAR 2021-03-17, i. k. 2021-05335                </w:t>
          </w:r>
        </w:p>
        <w:p>
          <w:pPr>
            <w:rPr>
              <w:rFonts w:ascii="Times New Roman" w:hAnsi="Times New Roman"/>
              <w:sz w:val="22"/>
            </w:rPr>
          </w:pP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tabs>
              <w:tab w:val="left" w:pos="0"/>
              <w:tab w:val="left" w:pos="709"/>
            </w:tabs>
            <w:overflowPunct w:val="0"/>
            <w:spacing w:line="276" w:lineRule="auto"/>
            <w:jc w:val="center"/>
            <w:textAlignment w:val="baseline"/>
            <w:rPr>
              <w:b/>
              <w:caps/>
            </w:rPr>
          </w:pPr>
          <w:r>
            <w:rPr>
              <w:b/>
              <w:caps/>
            </w:rPr>
            <w:t>DĖL PARAMOS TEIKIMO BIČIŲ LAIKYTOJAMS UŽ PAPILDOMĄ BIČIŲ MAITINIMĄ TAISYKLIŲ PATVIRTINIMO</w:t>
          </w:r>
        </w:p>
        <w:p>
          <w:pPr>
            <w:tabs>
              <w:tab w:val="left" w:pos="0"/>
              <w:tab w:val="left" w:pos="709"/>
            </w:tabs>
            <w:overflowPunct w:val="0"/>
            <w:spacing w:line="276" w:lineRule="auto"/>
            <w:jc w:val="center"/>
            <w:textAlignment w:val="baseline"/>
            <w:rPr>
              <w:b/>
              <w:caps/>
            </w:rPr>
          </w:pPr>
        </w:p>
        <w:p>
          <w:pPr>
            <w:tabs>
              <w:tab w:val="left" w:pos="0"/>
              <w:tab w:val="left" w:pos="709"/>
            </w:tabs>
            <w:overflowPunct w:val="0"/>
            <w:spacing w:line="276" w:lineRule="auto"/>
            <w:jc w:val="center"/>
            <w:textAlignment w:val="baseline"/>
            <w:rPr>
              <w:b/>
              <w:caps/>
            </w:rPr>
          </w:pPr>
          <w:r>
            <w:t>2008 m. birželio 26 d. Nr. 3D-357</w:t>
          </w:r>
        </w:p>
        <w:p>
          <w:pPr>
            <w:tabs>
              <w:tab w:val="left" w:pos="0"/>
              <w:tab w:val="left" w:pos="709"/>
            </w:tabs>
            <w:overflowPunct w:val="0"/>
            <w:spacing w:line="360" w:lineRule="auto"/>
            <w:jc w:val="center"/>
            <w:textAlignment w:val="baseline"/>
            <w:rPr>
              <w:b/>
              <w:caps/>
            </w:rPr>
          </w:pPr>
          <w:r>
            <w:t>Vilnius</w:t>
          </w:r>
        </w:p>
        <w:p>
          <w:pPr>
            <w:tabs>
              <w:tab w:val="left" w:pos="0"/>
              <w:tab w:val="left" w:pos="709"/>
            </w:tabs>
            <w:overflowPunct w:val="0"/>
            <w:jc w:val="center"/>
            <w:textAlignment w:val="baseline"/>
            <w:rPr>
              <w:b/>
              <w:caps/>
            </w:rPr>
          </w:pPr>
        </w:p>
        <w:p>
          <w:pPr>
            <w:tabs>
              <w:tab w:val="left" w:pos="0"/>
              <w:tab w:val="left" w:pos="709"/>
            </w:tabs>
            <w:overflowPunct w:val="0"/>
            <w:jc w:val="center"/>
            <w:textAlignment w:val="baseline"/>
            <w:rPr>
              <w:b/>
              <w:caps/>
            </w:rPr>
          </w:pPr>
        </w:p>
        <w:sdt>
          <w:sdtPr>
            <w:alias w:val="preambule"/>
            <w:tag w:val="part_e833add7e947419fb3ec4535006caae1"/>
            <w:lock w:val="sdtLocked"/>
            <w:richText/>
          </w:sdtPr>
          <w:sdtContent>
            <w:p>
              <w:pPr>
                <w:spacing w:line="360" w:lineRule="auto"/>
                <w:ind w:firstLine="720"/>
                <w:jc w:val="both"/>
                <w:rPr>
                  <w:color w:val="000000"/>
                  <w:szCs w:val="24"/>
                  <w:lang w:eastAsia="lt-LT"/>
                </w:rPr>
              </w:pPr>
              <w:r>
                <w:rPr>
                  <w:color w:val="000000"/>
                  <w:szCs w:val="24"/>
                  <w:lang w:eastAsia="lt-LT"/>
                </w:rPr>
                <w:t xml:space="preserve">Vadovaudamasis </w:t>
              </w:r>
              <w:r>
                <w:rPr>
                  <w:lang w:eastAsia="lt-LT"/>
                </w:rPr>
                <w:t xml:space="preserve">2013 m. gruodžio 18 d. Komisijos reglamentu (ES) Nr. 1408/2013 dėl Sutarties dėl Europos Sąjungos veikimo 107 ir 108 straipsnių taikymo </w:t>
              </w:r>
              <w:r>
                <w:rPr>
                  <w:i/>
                  <w:iCs/>
                  <w:lang w:eastAsia="lt-LT"/>
                </w:rPr>
                <w:t>de minimis</w:t>
              </w:r>
              <w:r>
                <w:rPr>
                  <w:lang w:eastAsia="lt-LT"/>
                </w:rPr>
                <w:t xml:space="preserve"> pagalbai žemės ūkio sektoriuje su visais pakeitimais</w:t>
              </w:r>
              <w:r>
                <w:rPr>
                  <w:color w:val="000000"/>
                  <w:szCs w:val="24"/>
                  <w:lang w:eastAsia="lt-LT"/>
                </w:rPr>
                <w:t xml:space="preserve">, </w:t>
              </w:r>
            </w:p>
          </w:sdtContent>
        </w:sdt>
        <w:sdt>
          <w:sdtPr>
            <w:alias w:val="pastraipa"/>
            <w:tag w:val="part_863883cec7a142868e81fc9c6ae7be15"/>
            <w:lock w:val="sdtLocked"/>
            <w:richText/>
          </w:sdtPr>
          <w:sdtContent>
            <w:p>
              <w:pPr>
                <w:spacing w:line="360" w:lineRule="auto"/>
                <w:ind w:firstLine="709"/>
                <w:jc w:val="both"/>
                <w:rPr>
                  <w:color w:val="000000"/>
                  <w:szCs w:val="24"/>
                  <w:lang w:eastAsia="lt-LT"/>
                </w:rPr>
              </w:pPr>
              <w:r>
                <w:rPr>
                  <w:color w:val="000000"/>
                  <w:szCs w:val="24"/>
                  <w:lang w:eastAsia="lt-LT"/>
                </w:rPr>
                <w:t>t v i r t i n u Paramos teikimo bičių laikytojams už papildomą bičių maitinimą taisykles (pridedama).</w:t>
              </w:r>
            </w:p>
            <w:p/>
          </w:sdtContent>
        </w:sdt>
        <w:sdt>
          <w:sdtPr>
            <w:alias w:val="signatura"/>
            <w:tag w:val="part_c536f30441b44c7a8f4cb72a08b3e4af"/>
            <w:lock w:val="sdtLocked"/>
            <w:richText/>
          </w:sdtPr>
          <w:sdtContent>
            <w:p>
              <w:pPr>
                <w:tabs>
                  <w:tab w:val="right" w:pos="9071"/>
                </w:tabs>
                <w:jc w:val="both"/>
              </w:pPr>
            </w:p>
            <w:p>
              <w:pPr>
                <w:tabs>
                  <w:tab w:val="right" w:pos="9071"/>
                </w:tabs>
                <w:jc w:val="both"/>
              </w:pPr>
            </w:p>
            <w:p>
              <w:pPr>
                <w:tabs>
                  <w:tab w:val="right" w:pos="9071"/>
                </w:tabs>
                <w:jc w:val="both"/>
              </w:pPr>
            </w:p>
            <w:p>
              <w:pPr>
                <w:tabs>
                  <w:tab w:val="right" w:pos="9071"/>
                </w:tabs>
                <w:jc w:val="both"/>
              </w:pPr>
              <w:r>
                <w:t>ŽEMĖS ŪKIO MINISTRĖ</w:t>
                <w:tab/>
                <w:t>KAZIMIRA DANUTĖ PRUNSKIENĖ</w:t>
              </w:r>
            </w:p>
            <w:p>
              <w:pPr>
                <w:ind w:firstLine="567"/>
                <w:jc w:val="both"/>
              </w:pPr>
            </w:p>
            <w:p>
              <w:pPr>
                <w:ind w:firstLine="567"/>
                <w:jc w:val="both"/>
              </w:pPr>
              <w:r>
                <w:t>SUDERINTA</w:t>
              </w:r>
            </w:p>
            <w:p>
              <w:pPr>
                <w:ind w:firstLine="567"/>
                <w:jc w:val="both"/>
              </w:pPr>
              <w:r>
                <w:t>Lietuvos Respublikos finansų ministerijos</w:t>
              </w:r>
            </w:p>
            <w:p>
              <w:pPr>
                <w:ind w:firstLine="567"/>
                <w:jc w:val="both"/>
              </w:pPr>
              <w:r>
                <w:t>2008-05-14 raštu Nr. ((1.16-0203)-5K-0813550)-6K-0805538</w:t>
              </w:r>
            </w:p>
            <w:p>
              <w:pPr>
                <w:ind w:firstLine="567"/>
                <w:jc w:val="both"/>
              </w:pPr>
            </w:p>
            <w:p>
              <w:pPr>
                <w:ind w:firstLine="567"/>
                <w:jc w:val="both"/>
              </w:pPr>
              <w:r>
                <w:t>SUDERINTA</w:t>
              </w:r>
            </w:p>
            <w:p>
              <w:pPr>
                <w:ind w:firstLine="567"/>
                <w:jc w:val="both"/>
              </w:pPr>
              <w:r>
                <w:t>Lietuvos Respublikos konkurencijos tarybos 2008-05-15 raštu Nr. (18)-SD-439</w:t>
              </w:r>
            </w:p>
            <w:p>
              <w:pPr>
                <w:ind w:firstLine="567"/>
                <w:jc w:val="both"/>
              </w:pPr>
            </w:p>
            <w:p>
              <w:pPr>
                <w:ind w:firstLine="567"/>
                <w:jc w:val="both"/>
              </w:pPr>
              <w:r>
                <w:t>SUDERINTA</w:t>
              </w:r>
            </w:p>
            <w:p>
              <w:pPr>
                <w:ind w:firstLine="567"/>
                <w:jc w:val="both"/>
              </w:pPr>
              <w:r>
                <w:t>Lietuvos savivaldybių asociacijos 2008-05-14 raštu Nr. (9.8-10) 6V-588</w:t>
              </w:r>
            </w:p>
          </w:sdtContent>
        </w:sdt>
        <w:p/>
      </w:sdtContent>
    </w:sdt>
    <w:sdt>
      <w:sdtPr>
        <w:alias w:val="patvirtinta"/>
        <w:tag w:val="part_a0c1ef575ad24ceeb132e65397a1c5fa"/>
        <w:lock w:val="sdtLocked"/>
        <w:richText/>
      </w:sdtPr>
      <w:sdtContent>
        <w:p>
          <w:pPr>
            <w:widowControl w:val="0"/>
            <w:sectPr>
              <w:headerReference w:type="even" r:id="rId26"/>
              <w:headerReference w:type="default" r:id="rId27"/>
              <w:footerReference w:type="even" r:id="rId28"/>
              <w:footerReference w:type="default" r:id="rId29"/>
              <w:headerReference w:type="first" r:id="rId30"/>
              <w:footerReference w:type="first" r:id="rId31"/>
              <w:pgSz w:w="11907" w:h="16840" w:code="9"/>
              <w:pgMar w:top="1134" w:right="567" w:bottom="1134" w:left="1701" w:header="709" w:footer="567" w:gutter="0"/>
              <w:cols w:space="1296"/>
              <w:titlePg/>
              <w:docGrid w:linePitch="326"/>
            </w:sectPr>
          </w:pPr>
        </w:p>
        <w:p>
          <w:pPr>
            <w:widowControl w:val="0"/>
            <w:ind w:left="4535"/>
            <w:rPr>
              <w:color w:val="000000"/>
              <w:szCs w:val="24"/>
              <w:lang w:eastAsia="lt-LT"/>
            </w:rPr>
          </w:pPr>
          <w:r>
            <w:rPr>
              <w:color w:val="000000"/>
              <w:szCs w:val="24"/>
              <w:lang w:eastAsia="lt-LT"/>
            </w:rPr>
            <w:t>PATVIRTINTA</w:t>
          </w:r>
        </w:p>
        <w:p>
          <w:pPr>
            <w:widowControl w:val="0"/>
            <w:ind w:left="4535"/>
            <w:rPr>
              <w:color w:val="000000"/>
              <w:szCs w:val="24"/>
              <w:lang w:eastAsia="lt-LT"/>
            </w:rPr>
          </w:pPr>
          <w:r>
            <w:rPr>
              <w:color w:val="000000"/>
              <w:szCs w:val="24"/>
              <w:lang w:eastAsia="lt-LT"/>
            </w:rPr>
            <w:t>Lietuvos Respublikos žemės ūkio ministro</w:t>
          </w:r>
        </w:p>
        <w:p>
          <w:pPr>
            <w:widowControl w:val="0"/>
            <w:ind w:left="4535"/>
            <w:rPr>
              <w:color w:val="000000"/>
              <w:szCs w:val="24"/>
              <w:lang w:eastAsia="lt-LT"/>
            </w:rPr>
          </w:pPr>
          <w:r>
            <w:rPr>
              <w:color w:val="000000"/>
              <w:szCs w:val="24"/>
              <w:lang w:eastAsia="lt-LT"/>
            </w:rPr>
            <w:t>2008 m. birželio 26 d. įsakymu Nr. 3D-357</w:t>
          </w:r>
        </w:p>
        <w:p>
          <w:pPr>
            <w:widowControl w:val="0"/>
            <w:ind w:left="4535"/>
            <w:rPr>
              <w:color w:val="000000"/>
              <w:szCs w:val="24"/>
              <w:lang w:eastAsia="lt-LT"/>
            </w:rPr>
          </w:pPr>
          <w:r>
            <w:rPr>
              <w:color w:val="000000"/>
              <w:szCs w:val="24"/>
              <w:lang w:eastAsia="lt-LT"/>
            </w:rPr>
            <w:t>(Lietuvos Respublikos žemės ūkio ministro</w:t>
          </w:r>
        </w:p>
        <w:p>
          <w:pPr>
            <w:widowControl w:val="0"/>
            <w:ind w:left="4535"/>
            <w:rPr>
              <w:szCs w:val="24"/>
              <w:lang w:eastAsia="lt-LT"/>
            </w:rPr>
          </w:pPr>
          <w:r>
            <w:rPr>
              <w:color w:val="000000"/>
              <w:szCs w:val="24"/>
              <w:lang w:eastAsia="lt-LT"/>
            </w:rPr>
            <w:t>2025 m. vasario 19 d. įsakymo Nr. </w:t>
          </w:r>
          <w:r>
            <w:rPr>
              <w:szCs w:val="24"/>
              <w:lang w:eastAsia="lt-LT"/>
            </w:rPr>
            <w:t>3D-63</w:t>
          </w:r>
        </w:p>
        <w:p>
          <w:pPr>
            <w:widowControl w:val="0"/>
            <w:ind w:left="4535"/>
            <w:rPr>
              <w:color w:val="000000"/>
              <w:szCs w:val="24"/>
              <w:lang w:eastAsia="lt-LT"/>
            </w:rPr>
          </w:pPr>
          <w:r>
            <w:rPr>
              <w:color w:val="000000"/>
              <w:szCs w:val="24"/>
              <w:lang w:eastAsia="lt-LT"/>
            </w:rPr>
            <w:t>redakcija)</w:t>
          </w:r>
        </w:p>
        <w:p>
          <w:pPr>
            <w:widowControl w:val="0"/>
            <w:ind w:firstLine="567"/>
            <w:jc w:val="both"/>
            <w:rPr>
              <w:color w:val="000000"/>
              <w:szCs w:val="24"/>
              <w:lang w:eastAsia="lt-LT"/>
            </w:rPr>
          </w:pPr>
        </w:p>
        <w:p>
          <w:pPr>
            <w:widowControl w:val="0"/>
            <w:ind w:firstLine="567"/>
            <w:jc w:val="both"/>
            <w:rPr>
              <w:color w:val="000000"/>
              <w:szCs w:val="24"/>
              <w:lang w:eastAsia="lt-LT"/>
            </w:rPr>
          </w:pPr>
        </w:p>
        <w:p>
          <w:pPr>
            <w:widowControl w:val="0"/>
            <w:jc w:val="center"/>
            <w:rPr>
              <w:b/>
              <w:bCs/>
              <w:caps/>
              <w:color w:val="000000"/>
              <w:szCs w:val="24"/>
              <w:lang w:eastAsia="lt-LT"/>
            </w:rPr>
          </w:pPr>
          <w:r>
            <w:rPr>
              <w:b/>
              <w:bCs/>
              <w:caps/>
              <w:color w:val="000000"/>
              <w:szCs w:val="24"/>
              <w:lang w:eastAsia="lt-LT"/>
            </w:rPr>
            <w:t>PARAMOS TEIKIMO BIČIŲ LAIKYTOJAMS UŽ PAPILDOMĄ BIČIŲ MAITINIMĄ TAISYKLĖS</w:t>
          </w:r>
        </w:p>
        <w:p>
          <w:pPr>
            <w:widowControl w:val="0"/>
            <w:jc w:val="center"/>
            <w:rPr>
              <w:b/>
              <w:bCs/>
              <w:caps/>
              <w:color w:val="000000"/>
              <w:szCs w:val="24"/>
              <w:lang w:eastAsia="lt-LT"/>
            </w:rPr>
          </w:pPr>
        </w:p>
        <w:sdt>
          <w:sdtPr>
            <w:alias w:val="skyrius"/>
            <w:tag w:val="part_8f65363ef4a4455b97381d9bedc829b2"/>
            <w:lock w:val="sdtLocked"/>
            <w:richText/>
          </w:sdtPr>
          <w:sdtContent>
            <w:p>
              <w:pPr>
                <w:widowControl w:val="0"/>
                <w:jc w:val="center"/>
                <w:rPr>
                  <w:b/>
                  <w:bCs/>
                  <w:caps/>
                  <w:color w:val="000000"/>
                  <w:szCs w:val="24"/>
                  <w:lang w:eastAsia="lt-LT"/>
                </w:rPr>
              </w:pPr>
              <w:sdt>
                <w:sdtPr>
                  <w:alias w:val="Numeris"/>
                  <w:tag w:val="nr_8f65363ef4a4455b97381d9bedc829b2"/>
                  <w:lock w:val="sdtLocked"/>
                  <w:richText/>
                </w:sdtPr>
                <w:sdtContent>
                  <w:r>
                    <w:rPr>
                      <w:b/>
                      <w:bCs/>
                      <w:caps/>
                      <w:color w:val="000000"/>
                      <w:szCs w:val="24"/>
                      <w:lang w:eastAsia="lt-LT"/>
                    </w:rPr>
                    <w:t>I</w:t>
                  </w:r>
                </w:sdtContent>
              </w:sdt>
              <w:r>
                <w:rPr>
                  <w:b/>
                  <w:bCs/>
                  <w:caps/>
                  <w:color w:val="000000"/>
                  <w:szCs w:val="24"/>
                  <w:lang w:eastAsia="lt-LT"/>
                </w:rPr>
                <w:t xml:space="preserve"> SKYRIUS</w:t>
              </w:r>
            </w:p>
            <w:p>
              <w:pPr>
                <w:widowControl w:val="0"/>
                <w:ind w:firstLine="62"/>
                <w:jc w:val="center"/>
                <w:rPr>
                  <w:b/>
                  <w:bCs/>
                  <w:caps/>
                  <w:color w:val="000000"/>
                  <w:szCs w:val="24"/>
                  <w:lang w:eastAsia="lt-LT"/>
                </w:rPr>
              </w:pPr>
              <w:sdt>
                <w:sdtPr>
                  <w:alias w:val="Pavadinimas"/>
                  <w:tag w:val="title_8f65363ef4a4455b97381d9bedc829b2"/>
                  <w:lock w:val="sdtLocked"/>
                  <w:richText/>
                </w:sdtPr>
                <w:sdtContent>
                  <w:r>
                    <w:rPr>
                      <w:b/>
                      <w:bCs/>
                      <w:caps/>
                      <w:color w:val="000000"/>
                      <w:szCs w:val="24"/>
                      <w:lang w:eastAsia="lt-LT"/>
                    </w:rPr>
                    <w:t>BENDROSIOS NUOSTATOS</w:t>
                  </w:r>
                </w:sdtContent>
              </w:sdt>
            </w:p>
            <w:p>
              <w:pPr>
                <w:widowControl w:val="0"/>
                <w:ind w:firstLine="567"/>
                <w:jc w:val="both"/>
                <w:rPr>
                  <w:color w:val="000000"/>
                  <w:szCs w:val="24"/>
                  <w:lang w:eastAsia="lt-LT"/>
                </w:rPr>
              </w:pPr>
            </w:p>
            <w:sdt>
              <w:sdtPr>
                <w:alias w:val="1 p."/>
                <w:tag w:val="part_28d011c90a85434ea5c8b4998267529f"/>
                <w:lock w:val="sdtLocked"/>
                <w:richText/>
              </w:sdtPr>
              <w:sdtContent>
                <w:p>
                  <w:pPr>
                    <w:tabs>
                      <w:tab w:val="left" w:pos="0"/>
                      <w:tab w:val="left" w:pos="709"/>
                    </w:tabs>
                    <w:overflowPunct w:val="0"/>
                    <w:ind w:firstLine="567"/>
                    <w:jc w:val="both"/>
                    <w:textAlignment w:val="baseline"/>
                    <w:rPr>
                      <w:color w:val="000000"/>
                      <w:szCs w:val="24"/>
                      <w:lang w:eastAsia="lt-LT"/>
                    </w:rPr>
                  </w:pPr>
                  <w:sdt>
                    <w:sdtPr>
                      <w:alias w:val="Numeris"/>
                      <w:tag w:val="nr_28d011c90a85434ea5c8b4998267529f"/>
                      <w:lock w:val="sdtLocked"/>
                      <w:richText/>
                    </w:sdtPr>
                    <w:sdtContent>
                      <w:r>
                        <w:rPr>
                          <w:bCs/>
                          <w:szCs w:val="24"/>
                        </w:rPr>
                        <w:t>1</w:t>
                      </w:r>
                    </w:sdtContent>
                  </w:sdt>
                  <w:r>
                    <w:rPr>
                      <w:bCs/>
                      <w:szCs w:val="24"/>
                    </w:rPr>
                    <w:t xml:space="preserve">. Paramos teikimo bičių laikytojams už papildomą bičių maitinimą taisyklės (toliau – taisyklės) parengtos vadovaujantis 2013 m. gruodžio 18 d. Komisijos reglamentu </w:t>
                  </w:r>
                  <w:r>
                    <w:rPr>
                      <w:bCs/>
                      <w:color w:val="0000FF"/>
                      <w:szCs w:val="24"/>
                      <w:u w:val="single"/>
                    </w:rPr>
                    <w:t>(ES) Nr. 1408/2013</w:t>
                  </w:r>
                  <w:r>
                    <w:rPr>
                      <w:bCs/>
                      <w:szCs w:val="24"/>
                    </w:rPr>
                    <w:t xml:space="preserve"> dėl Sutarties dėl Europos Sąjungos veikimo 107 ir 108 straipsnių taikymo </w:t>
                  </w:r>
                  <w:r>
                    <w:rPr>
                      <w:bCs/>
                      <w:i/>
                      <w:szCs w:val="24"/>
                    </w:rPr>
                    <w:t>de minimis</w:t>
                  </w:r>
                  <w:r>
                    <w:rPr>
                      <w:bCs/>
                      <w:szCs w:val="24"/>
                    </w:rPr>
                    <w:t xml:space="preserve"> pagalbai žemės ūkio sektoriuje su visais pakeitimais (toliau – Komisijos reglamentas </w:t>
                  </w:r>
                  <w:r>
                    <w:rPr>
                      <w:bCs/>
                      <w:color w:val="0000FF"/>
                      <w:szCs w:val="24"/>
                      <w:u w:val="single"/>
                    </w:rPr>
                    <w:t>(ES) Nr. 1408/2013</w:t>
                  </w:r>
                  <w:r>
                    <w:rPr>
                      <w:bCs/>
                      <w:szCs w:val="24"/>
                    </w:rPr>
                    <w:t>), Ūkinių gyvūnų laikymo vietų registravimo ir jose laikomų ūkinių gyvūnų ženklinimo ir apskaitos tvarkos aprašu, patvirtintu Lietuvos Respublikos žemės ūkio ministro 2003 m. birželio 16 d. įsakymu Nr. 3D-234 „Dėl Ūkinių gyvūnų laikymo vietų registravimo ir jose laikomų ūkinių gyvūnų ženklinimo ir apskaitos tvarkos aprašo patvirtinimo“, bei Valstybės pagalbos žemės ūkiui, maisto ūkiui, žuvininkystei ir kaimo plėtrai ir kitų iš valstybės biudžeto lėšų finansuojamų priemonių bendrosiomis administravimo taisyklėmis, patvirtintomis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(toliau – Bendrosios administravimo taisyklės).</w:t>
                  </w:r>
                  <w:r>
                    <w:t xml:space="preserve"> </w:t>
                  </w:r>
                </w:p>
              </w:sdtContent>
            </w:sdt>
            <w:sdt>
              <w:sdtPr>
                <w:alias w:val="2 p."/>
                <w:tag w:val="part_301399c209fb478a9658f224a40dd2d7"/>
                <w:lock w:val="sdtLocked"/>
                <w:richText/>
              </w:sdtPr>
              <w:sdtContent>
                <w:p>
                  <w:pPr>
                    <w:widowControl w:val="0"/>
                    <w:ind w:firstLine="567"/>
                    <w:jc w:val="both"/>
                    <w:rPr>
                      <w:color w:val="000000"/>
                      <w:szCs w:val="24"/>
                      <w:lang w:eastAsia="lt-LT"/>
                    </w:rPr>
                  </w:pPr>
                  <w:sdt>
                    <w:sdtPr>
                      <w:alias w:val="Numeris"/>
                      <w:tag w:val="nr_301399c209fb478a9658f224a40dd2d7"/>
                      <w:lock w:val="sdtLocked"/>
                      <w:richText/>
                    </w:sdtPr>
                    <w:sdtContent>
                      <w:r>
                        <w:rPr>
                          <w:color w:val="000000"/>
                          <w:szCs w:val="24"/>
                          <w:lang w:eastAsia="lt-LT"/>
                        </w:rPr>
                        <w:t>2</w:t>
                      </w:r>
                    </w:sdtContent>
                  </w:sdt>
                  <w:r>
                    <w:rPr>
                      <w:color w:val="000000"/>
                      <w:szCs w:val="24"/>
                      <w:lang w:eastAsia="lt-LT"/>
                    </w:rPr>
                    <w:t>. Šios taisyklės reglamentuoja nereikšmingos (</w:t>
                  </w:r>
                  <w:r>
                    <w:rPr>
                      <w:i/>
                      <w:iCs/>
                      <w:color w:val="000000"/>
                      <w:szCs w:val="24"/>
                      <w:lang w:eastAsia="lt-LT"/>
                    </w:rPr>
                    <w:t>de minimis</w:t>
                  </w:r>
                  <w:r>
                    <w:rPr>
                      <w:color w:val="000000"/>
                      <w:szCs w:val="24"/>
                      <w:lang w:eastAsia="lt-LT"/>
                    </w:rPr>
                    <w:t>) pagalbos, kompensuojant dalį išlaidų bičių laikytojams už papildomą bičių maitinimą (toliau – parama), teikimą iš valstybės biudžeto lėšų.</w:t>
                  </w:r>
                </w:p>
              </w:sdtContent>
            </w:sdt>
            <w:sdt>
              <w:sdtPr>
                <w:alias w:val="3 p."/>
                <w:tag w:val="part_65ebc54859454ce8b6755bb424618d90"/>
                <w:lock w:val="sdtLocked"/>
                <w:richText/>
              </w:sdtPr>
              <w:sdtContent>
                <w:p>
                  <w:pPr>
                    <w:tabs>
                      <w:tab w:val="left" w:pos="567"/>
                      <w:tab w:val="left" w:pos="1134"/>
                    </w:tabs>
                    <w:overflowPunct w:val="0"/>
                    <w:ind w:left="567"/>
                    <w:jc w:val="both"/>
                    <w:textAlignment w:val="baseline"/>
                    <w:rPr>
                      <w:szCs w:val="24"/>
                    </w:rPr>
                  </w:pPr>
                  <w:sdt>
                    <w:sdtPr>
                      <w:alias w:val="Numeris"/>
                      <w:tag w:val="nr_65ebc54859454ce8b6755bb424618d90"/>
                      <w:lock w:val="sdtLocked"/>
                      <w:richText/>
                    </w:sdtPr>
                    <w:sdtContent>
                      <w:r>
                        <w:rPr>
                          <w:szCs w:val="24"/>
                        </w:rPr>
                        <w:t>3</w:t>
                      </w:r>
                    </w:sdtContent>
                  </w:sdt>
                  <w:r>
                    <w:rPr>
                      <w:szCs w:val="24"/>
                    </w:rPr>
                    <w:t>. Šiose taisyklėse vartojamos sąvokos:</w:t>
                  </w:r>
                </w:p>
                <w:sdt>
                  <w:sdtPr>
                    <w:alias w:val="3.1 pp."/>
                    <w:tag w:val="part_5d802d82d1874e96a8ac3fbf42fa1e97"/>
                    <w:lock w:val="sdtLocked"/>
                    <w:richText/>
                  </w:sdtPr>
                  <w:sdtContent>
                    <w:p>
                      <w:pPr>
                        <w:overflowPunct w:val="0"/>
                        <w:ind w:firstLine="567"/>
                        <w:jc w:val="both"/>
                        <w:textAlignment w:val="baseline"/>
                        <w:rPr>
                          <w:szCs w:val="24"/>
                        </w:rPr>
                      </w:pPr>
                      <w:sdt>
                        <w:sdtPr>
                          <w:alias w:val="Numeris"/>
                          <w:tag w:val="nr_5d802d82d1874e96a8ac3fbf42fa1e97"/>
                          <w:lock w:val="sdtLocked"/>
                          <w:richText/>
                        </w:sdtPr>
                        <w:sdtContent>
                          <w:r>
                            <w:rPr>
                              <w:szCs w:val="24"/>
                            </w:rPr>
                            <w:t>3.1</w:t>
                          </w:r>
                        </w:sdtContent>
                      </w:sdt>
                      <w:r>
                        <w:rPr>
                          <w:szCs w:val="24"/>
                        </w:rPr>
                        <w:t>.</w:t>
                      </w:r>
                      <w:r>
                        <w:rPr>
                          <w:b/>
                          <w:szCs w:val="24"/>
                        </w:rPr>
                        <w:t xml:space="preserve"> Bičių laikytojas</w:t>
                      </w:r>
                      <w:r>
                        <w:rPr>
                          <w:szCs w:val="24"/>
                        </w:rPr>
                        <w:t xml:space="preserve"> – fizinis arba juridinis asmuo, kuris laiko bites.</w:t>
                      </w:r>
                    </w:p>
                  </w:sdtContent>
                </w:sdt>
                <w:sdt>
                  <w:sdtPr>
                    <w:alias w:val="3.2 pp."/>
                    <w:tag w:val="part_e792294d35324c8189c19631e6930922"/>
                    <w:lock w:val="sdtLocked"/>
                    <w:richText/>
                  </w:sdtPr>
                  <w:sdtContent>
                    <w:p>
                      <w:pPr>
                        <w:overflowPunct w:val="0"/>
                        <w:ind w:firstLine="567"/>
                        <w:jc w:val="both"/>
                        <w:textAlignment w:val="baseline"/>
                        <w:rPr>
                          <w:szCs w:val="24"/>
                        </w:rPr>
                      </w:pPr>
                      <w:sdt>
                        <w:sdtPr>
                          <w:alias w:val="Numeris"/>
                          <w:tag w:val="nr_e792294d35324c8189c19631e6930922"/>
                          <w:lock w:val="sdtLocked"/>
                          <w:richText/>
                        </w:sdtPr>
                        <w:sdtContent>
                          <w:r>
                            <w:rPr>
                              <w:szCs w:val="24"/>
                            </w:rPr>
                            <w:t>3.2</w:t>
                          </w:r>
                        </w:sdtContent>
                      </w:sdt>
                      <w:r>
                        <w:rPr>
                          <w:szCs w:val="24"/>
                        </w:rPr>
                        <w:t>.</w:t>
                      </w:r>
                      <w:r>
                        <w:rPr>
                          <w:b/>
                          <w:szCs w:val="24"/>
                        </w:rPr>
                        <w:t xml:space="preserve"> Papildomas bičių maitinimas</w:t>
                      </w:r>
                      <w:r>
                        <w:rPr>
                          <w:szCs w:val="24"/>
                        </w:rPr>
                        <w:t xml:space="preserve"> – angliavandeninių ir baltyminių maisto atsargų įvairaus pavidalo cukraus sirupu ar kitomis bičių maisto rūšimis papildymas rudenį, ruošiant bičių šeimos atsargas žiemai.</w:t>
                      </w:r>
                    </w:p>
                  </w:sdtContent>
                </w:sdt>
                <w:sdt>
                  <w:sdtPr>
                    <w:alias w:val="3.3 pp."/>
                    <w:tag w:val="part_3e4cfc82d11b4384b13ae95049306601"/>
                    <w:lock w:val="sdtLocked"/>
                    <w:richText/>
                  </w:sdtPr>
                  <w:sdtContent>
                    <w:p>
                      <w:pPr>
                        <w:suppressAutoHyphens/>
                        <w:ind w:firstLine="567"/>
                        <w:jc w:val="both"/>
                        <w:textAlignment w:val="center"/>
                        <w:rPr>
                          <w:color w:val="000000"/>
                          <w:szCs w:val="24"/>
                        </w:rPr>
                      </w:pPr>
                      <w:sdt>
                        <w:sdtPr>
                          <w:alias w:val="Numeris"/>
                          <w:tag w:val="nr_3e4cfc82d11b4384b13ae95049306601"/>
                          <w:lock w:val="sdtLocked"/>
                          <w:richText/>
                        </w:sdtPr>
                        <w:sdtContent>
                          <w:r>
                            <w:rPr>
                              <w:color w:val="000000"/>
                              <w:szCs w:val="24"/>
                            </w:rPr>
                            <w:t>3.3</w:t>
                          </w:r>
                        </w:sdtContent>
                      </w:sdt>
                      <w:r>
                        <w:rPr>
                          <w:color w:val="000000"/>
                          <w:szCs w:val="24"/>
                        </w:rPr>
                        <w:t xml:space="preserve">. </w:t>
                      </w:r>
                      <w:r>
                        <w:rPr>
                          <w:b/>
                          <w:bCs/>
                          <w:color w:val="000000"/>
                          <w:szCs w:val="24"/>
                        </w:rPr>
                        <w:t>P</w:t>
                      </w:r>
                      <w:r>
                        <w:rPr>
                          <w:b/>
                          <w:szCs w:val="24"/>
                        </w:rPr>
                        <w:t>irminė gamyba</w:t>
                      </w:r>
                      <w:r>
                        <w:rPr>
                          <w:szCs w:val="24"/>
                        </w:rPr>
                        <w:t xml:space="preserve"> –</w:t>
                      </w:r>
                      <w:r>
                        <w:rPr>
                          <w:color w:val="000000"/>
                          <w:szCs w:val="24"/>
                        </w:rPr>
                        <w:t xml:space="preserve"> žemės ūkio produktų gamyba, įskaitant ir auginimą, derliaus nuėmimą, melžimą, gyvūnų veisimą;</w:t>
                      </w:r>
                    </w:p>
                  </w:sdtContent>
                </w:sdt>
                <w:sdt>
                  <w:sdtPr>
                    <w:alias w:val="3.4 pp."/>
                    <w:tag w:val="part_9ee51cbe7f3a49fd8449c271bfa81d00"/>
                    <w:lock w:val="sdtLocked"/>
                    <w:richText/>
                  </w:sdtPr>
                  <w:sdtContent>
                    <w:p>
                      <w:pPr>
                        <w:tabs>
                          <w:tab w:val="left" w:pos="709"/>
                        </w:tabs>
                        <w:overflowPunct w:val="0"/>
                        <w:ind w:firstLine="567"/>
                        <w:jc w:val="both"/>
                        <w:textAlignment w:val="baseline"/>
                      </w:pPr>
                      <w:sdt>
                        <w:sdtPr>
                          <w:alias w:val="Numeris"/>
                          <w:tag w:val="nr_9ee51cbe7f3a49fd8449c271bfa81d00"/>
                          <w:lock w:val="sdtLocked"/>
                          <w:richText/>
                        </w:sdtPr>
                        <w:sdtContent>
                          <w:r>
                            <w:rPr>
                              <w:szCs w:val="24"/>
                            </w:rPr>
                            <w:t>3.4</w:t>
                          </w:r>
                        </w:sdtContent>
                      </w:sdt>
                      <w:r>
                        <w:rPr>
                          <w:szCs w:val="24"/>
                        </w:rPr>
                        <w:t xml:space="preserve">. Kitos sąvokos apibrėžtos Komisijos reglamente </w:t>
                      </w:r>
                      <w:r>
                        <w:rPr>
                          <w:color w:val="0000FF"/>
                          <w:szCs w:val="24"/>
                          <w:u w:val="single"/>
                        </w:rPr>
                        <w:t>(ES) Nr. 1408/2013</w:t>
                      </w:r>
                      <w:r>
                        <w:rPr>
                          <w:szCs w:val="24"/>
                        </w:rPr>
                        <w:t>, Lietuvos Respublikos žemės ūkio, maisto ūkio ir kaimo plėtros įstatyme ir Bendrosiose administravimo taisyklėse.</w:t>
                      </w:r>
                    </w:p>
                    <w:p>
                      <w:pPr>
                        <w:widowControl w:val="0"/>
                        <w:jc w:val="center"/>
                        <w:rPr>
                          <w:b/>
                          <w:bCs/>
                          <w:caps/>
                          <w:color w:val="000000"/>
                          <w:szCs w:val="24"/>
                          <w:lang w:eastAsia="lt-LT"/>
                        </w:rPr>
                      </w:pPr>
                    </w:p>
                  </w:sdtContent>
                </w:sdt>
              </w:sdtContent>
            </w:sdt>
          </w:sdtContent>
        </w:sdt>
        <w:sdt>
          <w:sdtPr>
            <w:alias w:val="skyrius"/>
            <w:tag w:val="part_1ae2c2d21adc4da2b42890f19d5adae7"/>
            <w:lock w:val="sdtLocked"/>
            <w:richText/>
          </w:sdtPr>
          <w:sdtContent>
            <w:p>
              <w:pPr>
                <w:widowControl w:val="0"/>
                <w:jc w:val="center"/>
                <w:rPr>
                  <w:b/>
                  <w:bCs/>
                  <w:caps/>
                  <w:color w:val="000000"/>
                  <w:szCs w:val="24"/>
                  <w:lang w:eastAsia="lt-LT"/>
                </w:rPr>
              </w:pPr>
              <w:sdt>
                <w:sdtPr>
                  <w:alias w:val="Numeris"/>
                  <w:tag w:val="nr_1ae2c2d21adc4da2b42890f19d5adae7"/>
                  <w:lock w:val="sdtLocked"/>
                  <w:richText/>
                </w:sdtPr>
                <w:sdtContent>
                  <w:r>
                    <w:rPr>
                      <w:b/>
                      <w:bCs/>
                      <w:caps/>
                      <w:color w:val="000000"/>
                      <w:szCs w:val="24"/>
                      <w:lang w:eastAsia="lt-LT"/>
                    </w:rPr>
                    <w:t>II</w:t>
                  </w:r>
                </w:sdtContent>
              </w:sdt>
              <w:r>
                <w:rPr>
                  <w:b/>
                  <w:bCs/>
                  <w:caps/>
                  <w:color w:val="000000"/>
                  <w:szCs w:val="24"/>
                  <w:lang w:eastAsia="lt-LT"/>
                </w:rPr>
                <w:t xml:space="preserve"> SKYRIUS</w:t>
              </w:r>
            </w:p>
            <w:p>
              <w:pPr>
                <w:widowControl w:val="0"/>
                <w:ind w:firstLine="62"/>
                <w:jc w:val="center"/>
                <w:rPr>
                  <w:b/>
                  <w:bCs/>
                  <w:caps/>
                  <w:color w:val="000000"/>
                  <w:szCs w:val="24"/>
                  <w:lang w:eastAsia="lt-LT"/>
                </w:rPr>
              </w:pPr>
              <w:sdt>
                <w:sdtPr>
                  <w:alias w:val="Pavadinimas"/>
                  <w:tag w:val="title_1ae2c2d21adc4da2b42890f19d5adae7"/>
                  <w:lock w:val="sdtLocked"/>
                  <w:richText/>
                </w:sdtPr>
                <w:sdtContent>
                  <w:r>
                    <w:rPr>
                      <w:b/>
                      <w:bCs/>
                      <w:caps/>
                      <w:color w:val="000000"/>
                      <w:szCs w:val="24"/>
                      <w:lang w:eastAsia="lt-LT"/>
                    </w:rPr>
                    <w:t>REIKALAVIMAI GAUTI PARAMĄ IR PARAMOS DYDIS</w:t>
                  </w:r>
                </w:sdtContent>
              </w:sdt>
            </w:p>
            <w:p>
              <w:pPr>
                <w:widowControl w:val="0"/>
                <w:ind w:firstLine="567"/>
                <w:jc w:val="both"/>
                <w:rPr>
                  <w:color w:val="000000"/>
                  <w:szCs w:val="24"/>
                  <w:lang w:eastAsia="lt-LT"/>
                </w:rPr>
              </w:pPr>
            </w:p>
            <w:sdt>
              <w:sdtPr>
                <w:alias w:val="4 p."/>
                <w:tag w:val="part_d31fb6da3cb14227b88583eaa11e8a0d"/>
                <w:lock w:val="sdtLocked"/>
                <w:richText/>
              </w:sdtPr>
              <w:sdtContent>
                <w:p>
                  <w:pPr>
                    <w:widowControl w:val="0"/>
                    <w:ind w:firstLine="567"/>
                    <w:jc w:val="both"/>
                    <w:rPr>
                      <w:color w:val="000000"/>
                      <w:szCs w:val="24"/>
                      <w:lang w:eastAsia="lt-LT"/>
                    </w:rPr>
                  </w:pPr>
                  <w:sdt>
                    <w:sdtPr>
                      <w:alias w:val="Numeris"/>
                      <w:tag w:val="nr_d31fb6da3cb14227b88583eaa11e8a0d"/>
                      <w:lock w:val="sdtLocked"/>
                      <w:richText/>
                    </w:sdtPr>
                    <w:sdtContent>
                      <w:r>
                        <w:rPr>
                          <w:color w:val="000000"/>
                          <w:szCs w:val="24"/>
                          <w:lang w:eastAsia="lt-LT"/>
                        </w:rPr>
                        <w:t>4</w:t>
                      </w:r>
                    </w:sdtContent>
                  </w:sdt>
                  <w:r>
                    <w:rPr>
                      <w:color w:val="000000"/>
                      <w:szCs w:val="24"/>
                      <w:lang w:eastAsia="lt-LT"/>
                    </w:rPr>
                    <w:t>. Parama už papildomą bičių maitinimą skiriama bičių laikytojams, kurie:</w:t>
                  </w:r>
                </w:p>
                <w:sdt>
                  <w:sdtPr>
                    <w:alias w:val="4.1 pp."/>
                    <w:tag w:val="part_95bc612e4fd24a2d8d028142b4c9dffb"/>
                    <w:lock w:val="sdtLocked"/>
                    <w:richText/>
                  </w:sdtPr>
                  <w:sdtContent>
                    <w:p>
                      <w:pPr>
                        <w:overflowPunct w:val="0"/>
                        <w:ind w:firstLine="567"/>
                        <w:jc w:val="both"/>
                        <w:textAlignment w:val="baseline"/>
                        <w:rPr>
                          <w:color w:val="000000"/>
                          <w:szCs w:val="24"/>
                          <w:lang w:eastAsia="lt-LT"/>
                        </w:rPr>
                      </w:pPr>
                      <w:sdt>
                        <w:sdtPr>
                          <w:alias w:val="Numeris"/>
                          <w:tag w:val="nr_95bc612e4fd24a2d8d028142b4c9dffb"/>
                          <w:lock w:val="sdtLocked"/>
                          <w:richText/>
                        </w:sdtPr>
                        <w:sdtContent>
                          <w:r>
                            <w:rPr>
                              <w:bCs/>
                              <w:szCs w:val="24"/>
                            </w:rPr>
                            <w:t>4.1</w:t>
                          </w:r>
                        </w:sdtContent>
                      </w:sdt>
                      <w:r>
                        <w:rPr>
                          <w:bCs/>
                          <w:szCs w:val="24"/>
                        </w:rPr>
                        <w:t>. nustatyta tvarka Ūkinių gyvūnų registre yra deklaravę savo laikomų bičių šeimų skaičių</w:t>
                      </w:r>
                      <w:r>
                        <w:rPr>
                          <w:szCs w:val="24"/>
                        </w:rPr>
                        <w:t xml:space="preserve"> (</w:t>
                      </w:r>
                      <w:r>
                        <w:rPr>
                          <w:bCs/>
                          <w:szCs w:val="24"/>
                        </w:rPr>
                        <w:t>ne daugiau kaip 150 bičių šeimų). Duomenis apie turimą bičių šeimų skaičių bičių laikytojai turi atnaujinti kasmet nuo rugsėjo 1 d., prieš teikdami paramos paraišką. Bičių laikytojams, laikantiems daugiau kaip 150 bičių šeimų, parama neskiriama;</w:t>
                      </w:r>
                      <w:r>
                        <w:t xml:space="preserve"> </w:t>
                      </w:r>
                    </w:p>
                  </w:sdtContent>
                </w:sdt>
                <w:sdt>
                  <w:sdtPr>
                    <w:alias w:val="4.2 pp."/>
                    <w:tag w:val="part_9bda94442c684dad90a74fa60c414bb5"/>
                    <w:lock w:val="sdtLocked"/>
                    <w:richText/>
                  </w:sdtPr>
                  <w:sdtContent>
                    <w:p>
                      <w:pPr>
                        <w:widowControl w:val="0"/>
                        <w:ind w:firstLine="567"/>
                        <w:jc w:val="both"/>
                        <w:rPr>
                          <w:color w:val="000000"/>
                          <w:szCs w:val="24"/>
                          <w:lang w:eastAsia="lt-LT"/>
                        </w:rPr>
                      </w:pPr>
                      <w:sdt>
                        <w:sdtPr>
                          <w:alias w:val="Numeris"/>
                          <w:tag w:val="nr_9bda94442c684dad90a74fa60c414bb5"/>
                          <w:lock w:val="sdtLocked"/>
                          <w:richText/>
                        </w:sdtPr>
                        <w:sdtContent>
                          <w:r>
                            <w:rPr>
                              <w:color w:val="000000"/>
                              <w:szCs w:val="24"/>
                              <w:lang w:eastAsia="lt-LT"/>
                            </w:rPr>
                            <w:t>4.2</w:t>
                          </w:r>
                        </w:sdtContent>
                      </w:sdt>
                      <w:r>
                        <w:rPr>
                          <w:color w:val="000000"/>
                          <w:szCs w:val="24"/>
                          <w:lang w:eastAsia="lt-LT"/>
                        </w:rPr>
                        <w:t>. Lietuvos Respublikos žemės ūkio ir kaimo verslo registre nurodyti kaip valdos valdytojai arba partneriai;</w:t>
                      </w:r>
                      <w:r>
                        <w:t xml:space="preserve"> </w:t>
                      </w:r>
                    </w:p>
                  </w:sdtContent>
                </w:sdt>
                <w:sdt>
                  <w:sdtPr>
                    <w:alias w:val="4.3 pp."/>
                    <w:tag w:val="part_5e6f6dcde3334168b5672136f9311288"/>
                    <w:lock w:val="sdtLocked"/>
                    <w:richText/>
                  </w:sdtPr>
                  <w:sdtContent>
                    <w:p>
                      <w:pPr>
                        <w:widowControl w:val="0"/>
                        <w:ind w:firstLine="567"/>
                        <w:jc w:val="both"/>
                        <w:rPr>
                          <w:color w:val="000000"/>
                          <w:szCs w:val="24"/>
                          <w:lang w:eastAsia="lt-LT"/>
                        </w:rPr>
                      </w:pPr>
                      <w:sdt>
                        <w:sdtPr>
                          <w:alias w:val="Numeris"/>
                          <w:tag w:val="nr_5e6f6dcde3334168b5672136f9311288"/>
                          <w:lock w:val="sdtLocked"/>
                          <w:richText/>
                        </w:sdtPr>
                        <w:sdtContent>
                          <w:r>
                            <w:rPr>
                              <w:color w:val="000000"/>
                              <w:szCs w:val="24"/>
                              <w:lang w:eastAsia="lt-LT"/>
                            </w:rPr>
                            <w:t>4.3</w:t>
                          </w:r>
                        </w:sdtContent>
                      </w:sdt>
                      <w:r>
                        <w:rPr>
                          <w:color w:val="000000"/>
                          <w:szCs w:val="24"/>
                          <w:lang w:eastAsia="lt-LT"/>
                        </w:rPr>
                        <w:t xml:space="preserve">. yra ekologinės gamybos ūkio savininkai ir turi sertifikavimo institucijos išduotą sertifikatą ir ekologiško cukraus kokybės įrodymo dokumentus. </w:t>
                      </w:r>
                    </w:p>
                  </w:sdtContent>
                </w:sdt>
              </w:sdtContent>
            </w:sdt>
            <w:sdt>
              <w:sdtPr>
                <w:alias w:val="5 p."/>
                <w:tag w:val="part_740cf077e0da439a86b7a6be99fb9b4e"/>
                <w:lock w:val="sdtLocked"/>
                <w:richText/>
              </w:sdtPr>
              <w:sdtContent>
                <w:p>
                  <w:pPr>
                    <w:tabs>
                      <w:tab w:val="left" w:pos="0"/>
                    </w:tabs>
                    <w:overflowPunct w:val="0"/>
                    <w:ind w:firstLine="567"/>
                    <w:jc w:val="both"/>
                    <w:textAlignment w:val="baseline"/>
                    <w:rPr>
                      <w:color w:val="000000"/>
                      <w:szCs w:val="24"/>
                      <w:lang w:eastAsia="lt-LT"/>
                    </w:rPr>
                  </w:pPr>
                  <w:sdt>
                    <w:sdtPr>
                      <w:alias w:val="Numeris"/>
                      <w:tag w:val="nr_740cf077e0da439a86b7a6be99fb9b4e"/>
                      <w:lock w:val="sdtLocked"/>
                      <w:richText/>
                    </w:sdtPr>
                    <w:sdtContent>
                      <w:r>
                        <w:rPr>
                          <w:bCs/>
                        </w:rPr>
                        <w:t>5</w:t>
                      </w:r>
                    </w:sdtContent>
                  </w:sdt>
                  <w:r>
                    <w:rPr>
                      <w:bCs/>
                    </w:rPr>
                    <w:t>. Pagal šias taisykles bičių laikytojams iš dalies atlyginamos išlaidos, tiesiogiai susijusios su papildomu bičių maitinimu, bet ne daugiau kaip 5,79 Eur (penki eurai septyniasdešimt devyni euro centai) už bičių šeimą (išmokos kodas – 20288) arba ne daugiau kaip 11,58 Eur (vienuolika eurų penkiasdešimt aštuoni euro centai) už ekologinės gamybos ūkio sertifikuotą bičių šeimą (išmokos kodas – 20287)</w:t>
                  </w:r>
                  <w:r>
                    <w:rPr>
                      <w:szCs w:val="24"/>
                    </w:rPr>
                    <w:t>.</w:t>
                  </w:r>
                  <w:r>
                    <w:t xml:space="preserve"> </w:t>
                  </w:r>
                </w:p>
              </w:sdtContent>
            </w:sdt>
            <w:sdt>
              <w:sdtPr>
                <w:alias w:val="6 p."/>
                <w:tag w:val="part_7b6ca08e92f3432491abf2bd89fdc209"/>
                <w:lock w:val="sdtLocked"/>
                <w:richText/>
              </w:sdtPr>
              <w:sdtContent>
                <w:p>
                  <w:pPr>
                    <w:widowControl w:val="0"/>
                    <w:ind w:firstLine="567"/>
                    <w:jc w:val="both"/>
                    <w:rPr>
                      <w:color w:val="000000"/>
                      <w:szCs w:val="24"/>
                      <w:lang w:eastAsia="lt-LT"/>
                    </w:rPr>
                  </w:pPr>
                  <w:sdt>
                    <w:sdtPr>
                      <w:alias w:val="Numeris"/>
                      <w:tag w:val="nr_7b6ca08e92f3432491abf2bd89fdc209"/>
                      <w:lock w:val="sdtLocked"/>
                      <w:richText/>
                    </w:sdtPr>
                    <w:sdtContent>
                      <w:r>
                        <w:rPr>
                          <w:color w:val="000000"/>
                          <w:szCs w:val="24"/>
                          <w:lang w:eastAsia="lt-LT"/>
                        </w:rPr>
                        <w:t>6</w:t>
                      </w:r>
                    </w:sdtContent>
                  </w:sdt>
                  <w:r>
                    <w:rPr>
                      <w:color w:val="000000"/>
                      <w:szCs w:val="24"/>
                      <w:lang w:eastAsia="lt-LT"/>
                    </w:rPr>
                    <w:t>. Paaiškėjus, kad lėšų poreikis išlaidoms kompensuoti viršija einamaisiais metais paramai skirtas lėšas, paramos suma kiekvienam pareiškėjui mažinama proporcingai trūkstamų lėšų kiekiui.</w:t>
                  </w:r>
                </w:p>
              </w:sdtContent>
            </w:sdt>
            <w:sdt>
              <w:sdtPr>
                <w:alias w:val="7 p."/>
                <w:tag w:val="part_e24b4abe5a0e4c04803ea19b5859280e"/>
                <w:lock w:val="sdtLocked"/>
                <w:richText/>
              </w:sdtPr>
              <w:sdtContent>
                <w:p>
                  <w:pPr>
                    <w:tabs>
                      <w:tab w:val="left" w:pos="709"/>
                      <w:tab w:val="left" w:pos="1134"/>
                    </w:tabs>
                    <w:overflowPunct w:val="0"/>
                    <w:ind w:firstLine="567"/>
                    <w:jc w:val="both"/>
                    <w:textAlignment w:val="baseline"/>
                  </w:pPr>
                  <w:sdt>
                    <w:sdtPr>
                      <w:alias w:val="Numeris"/>
                      <w:tag w:val="nr_e24b4abe5a0e4c04803ea19b5859280e"/>
                      <w:lock w:val="sdtLocked"/>
                      <w:richText/>
                    </w:sdtPr>
                    <w:sdtContent>
                      <w:r>
                        <w:rPr>
                          <w:szCs w:val="24"/>
                        </w:rPr>
                        <w:t>7</w:t>
                      </w:r>
                    </w:sdtContent>
                  </w:sdt>
                  <w:r>
                    <w:rPr>
                      <w:szCs w:val="24"/>
                    </w:rPr>
                    <w:t xml:space="preserve">. </w:t>
                  </w:r>
                  <w:r>
                    <w:t>Bendra nereikšmingos (</w:t>
                  </w:r>
                  <w:r>
                    <w:rPr>
                      <w:i/>
                      <w:iCs/>
                    </w:rPr>
                    <w:t>de minimis</w:t>
                  </w:r>
                  <w:r>
                    <w:t xml:space="preserve">) pagalbos, suteiktos vadovaujantis reglamento </w:t>
                  </w:r>
                  <w:r>
                    <w:rPr>
                      <w:color w:val="0000FF"/>
                      <w:u w:val="single"/>
                    </w:rPr>
                    <w:t>(ES) Nr. 1408/2013</w:t>
                  </w:r>
                  <w:r>
                    <w:t xml:space="preserve"> nuostatomis, suma vienam pareiškėjui (įskaitant su juo reglamento </w:t>
                  </w:r>
                  <w:r>
                    <w:rPr>
                      <w:color w:val="0000FF"/>
                      <w:u w:val="single"/>
                    </w:rPr>
                    <w:t>(ES) Nr. 1408/2013</w:t>
                  </w:r>
                  <w:r>
                    <w:t xml:space="preserve"> 2 straipsnio 2 dalyje nurodytais ryšiais susijusius ūkio subjektus) per bet kurį trejų metų laikotarpį negali viršyti 50 000 eurų. </w:t>
                  </w:r>
                  <w:r>
                    <w:rPr>
                      <w:color w:val="000000"/>
                    </w:rPr>
                    <w:t>Bendra nereikšmingos (</w:t>
                  </w:r>
                  <w:r>
                    <w:rPr>
                      <w:i/>
                      <w:iCs/>
                      <w:color w:val="000000"/>
                    </w:rPr>
                    <w:t>de minimis</w:t>
                  </w:r>
                  <w:r>
                    <w:rPr>
                      <w:color w:val="000000"/>
                    </w:rPr>
                    <w:t xml:space="preserve">) pagalbos, suteiktos vadovaujantis reglamento </w:t>
                  </w:r>
                  <w:r>
                    <w:rPr>
                      <w:color w:val="0000FF"/>
                      <w:u w:val="single"/>
                    </w:rPr>
                    <w:t>(ES) Nr. 1408/2013</w:t>
                  </w:r>
                  <w:r>
                    <w:rPr>
                      <w:color w:val="000000"/>
                    </w:rPr>
                    <w:t xml:space="preserve"> nuostatomis, suma pirminės žemės ūkio produktų gamybos sektoriuje veiklą vykdančioms įmonėms per bet kurį trejų metų laikotarpį neturi viršyti reglamento </w:t>
                  </w:r>
                  <w:r>
                    <w:rPr>
                      <w:color w:val="0000FF"/>
                      <w:u w:val="single"/>
                    </w:rPr>
                    <w:t>(ES) Nr. 1408/2013</w:t>
                  </w:r>
                  <w:r>
                    <w:rPr>
                      <w:color w:val="000000"/>
                    </w:rPr>
                    <w:t xml:space="preserve"> priede nurodytos nacionalinės ribos.</w:t>
                  </w:r>
                  <w:r>
                    <w:rPr>
                      <w:szCs w:val="24"/>
                    </w:rPr>
                    <w:t xml:space="preserve"> </w:t>
                  </w:r>
                  <w:r>
                    <w:t>Jei suteikus paramą pagal taisykles būtų viršytos šiame punkte nurodytos ribos, skiriant paramą paramos suma sumažinama tiek, kad pirmiau nurodytos ribos nebūtų viršytos.</w:t>
                  </w:r>
                </w:p>
              </w:sdtContent>
            </w:sdt>
            <w:sdt>
              <w:sdtPr>
                <w:alias w:val="8 p."/>
                <w:tag w:val="part_ebdb356e081c493da0d4903b8ce54a16"/>
                <w:lock w:val="sdtLocked"/>
                <w:richText/>
              </w:sdtPr>
              <w:sdtContent>
                <w:p>
                  <w:pPr>
                    <w:tabs>
                      <w:tab w:val="left" w:pos="709"/>
                      <w:tab w:val="left" w:pos="1134"/>
                    </w:tabs>
                    <w:overflowPunct w:val="0"/>
                    <w:ind w:firstLine="567"/>
                    <w:jc w:val="both"/>
                    <w:textAlignment w:val="baseline"/>
                    <w:rPr>
                      <w:color w:val="000000"/>
                      <w:szCs w:val="24"/>
                      <w:lang w:eastAsia="lt-LT"/>
                    </w:rPr>
                  </w:pPr>
                  <w:sdt>
                    <w:sdtPr>
                      <w:alias w:val="Numeris"/>
                      <w:tag w:val="nr_ebdb356e081c493da0d4903b8ce54a16"/>
                      <w:lock w:val="sdtLocked"/>
                      <w:richText/>
                    </w:sdtPr>
                    <w:sdtContent>
                      <w:r>
                        <w:rPr>
                          <w:szCs w:val="24"/>
                        </w:rPr>
                        <w:t>8</w:t>
                      </w:r>
                    </w:sdtContent>
                  </w:sdt>
                  <w:r>
                    <w:rPr>
                      <w:szCs w:val="24"/>
                    </w:rPr>
                    <w:t xml:space="preserve">. Jei ūkio subjektas veiklą vykdo keliuose sektoriuose, teikiant paramą turi būti tenkinamos Reglamento </w:t>
                  </w:r>
                  <w:r>
                    <w:rPr>
                      <w:color w:val="0000FF"/>
                      <w:szCs w:val="24"/>
                      <w:u w:val="single"/>
                    </w:rPr>
                    <w:t>(ES) Nr. 1408/2013</w:t>
                  </w:r>
                  <w:r>
                    <w:rPr>
                      <w:szCs w:val="24"/>
                    </w:rPr>
                    <w:t xml:space="preserve"> 1 straipsnio 2 ir 3 dalių nuostatos.</w:t>
                  </w:r>
                </w:p>
              </w:sdtContent>
            </w:sdt>
            <w:sdt>
              <w:sdtPr>
                <w:alias w:val="9 p."/>
                <w:tag w:val="part_33ccfe64006946ca9619033a02d9bd83"/>
                <w:lock w:val="sdtLocked"/>
                <w:richText/>
              </w:sdtPr>
              <w:sdtContent>
                <w:p>
                  <w:pPr>
                    <w:ind w:firstLine="567"/>
                    <w:jc w:val="both"/>
                    <w:rPr>
                      <w:szCs w:val="24"/>
                    </w:rPr>
                  </w:pPr>
                  <w:sdt>
                    <w:sdtPr>
                      <w:alias w:val="Numeris"/>
                      <w:tag w:val="nr_33ccfe64006946ca9619033a02d9bd83"/>
                      <w:lock w:val="sdtLocked"/>
                      <w:richText/>
                    </w:sdtPr>
                    <w:sdtContent>
                      <w:r>
                        <w:rPr>
                          <w:szCs w:val="24"/>
                        </w:rPr>
                        <w:t>9</w:t>
                      </w:r>
                    </w:sdtContent>
                  </w:sdt>
                  <w:r>
                    <w:rPr>
                      <w:szCs w:val="24"/>
                    </w:rPr>
                    <w:t xml:space="preserve">. Įmonių susijungimų arba įsigijimų atveju arba, kai viena įmonė suskaidoma į dvi ar daugiau atskirų įmonių per praėjusius trejus metus iki paramos skyrimo, apskaičiuojant, ar suteikus paramą ūkio subjektui nebus viršyta atitinkama viršutinė riba, turi būti taikomos Reglamento </w:t>
                  </w:r>
                  <w:r>
                    <w:rPr>
                      <w:color w:val="0000FF"/>
                      <w:szCs w:val="24"/>
                      <w:u w:val="single"/>
                    </w:rPr>
                    <w:t>(ES) Nr. 1408/2013</w:t>
                  </w:r>
                  <w:r>
                    <w:rPr>
                      <w:szCs w:val="24"/>
                    </w:rPr>
                    <w:t xml:space="preserve"> 3 straipsnio 9 ir 10 dalių nuostatos.</w:t>
                  </w:r>
                </w:p>
              </w:sdtContent>
            </w:sdt>
            <w:sdt>
              <w:sdtPr>
                <w:alias w:val="10 p."/>
                <w:tag w:val="part_16309ab454664ee6bd212695bfaff09f"/>
                <w:lock w:val="sdtLocked"/>
                <w:richText/>
              </w:sdtPr>
              <w:sdtContent>
                <w:p>
                  <w:pPr>
                    <w:ind w:firstLine="567"/>
                    <w:jc w:val="both"/>
                    <w:rPr>
                      <w:szCs w:val="24"/>
                    </w:rPr>
                  </w:pPr>
                  <w:sdt>
                    <w:sdtPr>
                      <w:alias w:val="Numeris"/>
                      <w:tag w:val="nr_16309ab454664ee6bd212695bfaff09f"/>
                      <w:lock w:val="sdtLocked"/>
                      <w:richText/>
                    </w:sdtPr>
                    <w:sdtContent>
                      <w:r>
                        <w:rPr>
                          <w:szCs w:val="24"/>
                        </w:rPr>
                        <w:t>10</w:t>
                      </w:r>
                    </w:sdtContent>
                  </w:sdt>
                  <w:r>
                    <w:rPr>
                      <w:szCs w:val="24"/>
                    </w:rPr>
                    <w:t>. Teikiama parama gali būti sumuojama su kita nereikšminga (</w:t>
                  </w:r>
                  <w:r>
                    <w:rPr>
                      <w:i/>
                      <w:iCs/>
                      <w:szCs w:val="24"/>
                    </w:rPr>
                    <w:t>de minimis</w:t>
                  </w:r>
                  <w:r>
                    <w:rPr>
                      <w:szCs w:val="24"/>
                    </w:rPr>
                    <w:t xml:space="preserve">) pagalba ir (ar) valstybės pagalba vadovaujantis Reglamento </w:t>
                  </w:r>
                  <w:r>
                    <w:rPr>
                      <w:color w:val="0000FF"/>
                      <w:szCs w:val="24"/>
                      <w:u w:val="single"/>
                    </w:rPr>
                    <w:t>(ES) Nr. 1408/2013</w:t>
                  </w:r>
                  <w:r>
                    <w:rPr>
                      <w:szCs w:val="24"/>
                    </w:rPr>
                    <w:t xml:space="preserve"> 5 straipsnio nuostatomis.</w:t>
                  </w:r>
                </w:p>
              </w:sdtContent>
            </w:sdt>
            <w:sdt>
              <w:sdtPr>
                <w:alias w:val="11 p."/>
                <w:tag w:val="part_90086421ebda4ba6b7a79f056f01ea0f"/>
                <w:lock w:val="sdtLocked"/>
                <w:richText/>
              </w:sdtPr>
              <w:sdtContent>
                <w:p>
                  <w:pPr>
                    <w:ind w:firstLine="567"/>
                    <w:jc w:val="both"/>
                    <w:rPr>
                      <w:szCs w:val="24"/>
                    </w:rPr>
                  </w:pPr>
                  <w:sdt>
                    <w:sdtPr>
                      <w:alias w:val="Numeris"/>
                      <w:tag w:val="nr_90086421ebda4ba6b7a79f056f01ea0f"/>
                      <w:lock w:val="sdtLocked"/>
                      <w:richText/>
                    </w:sdtPr>
                    <w:sdtContent>
                      <w:r>
                        <w:rPr>
                          <w:szCs w:val="24"/>
                        </w:rPr>
                        <w:t>11</w:t>
                      </w:r>
                    </w:sdtContent>
                  </w:sdt>
                  <w:r>
                    <w:rPr>
                      <w:szCs w:val="24"/>
                    </w:rPr>
                    <w:t>. Parama išreiškiama kaip piniginė dotacija. Visi naudojami skaičiai yra bruto, t. y. neatskaičius mokesčių ar kitų rinkliavų.</w:t>
                  </w:r>
                </w:p>
              </w:sdtContent>
            </w:sdt>
            <w:sdt>
              <w:sdtPr>
                <w:alias w:val="12 p."/>
                <w:tag w:val="part_41f7405957ec40c3a9df2cb0307249e0"/>
                <w:lock w:val="sdtLocked"/>
                <w:richText/>
              </w:sdtPr>
              <w:sdtContent>
                <w:p>
                  <w:pPr>
                    <w:ind w:firstLine="567"/>
                    <w:jc w:val="both"/>
                    <w:rPr>
                      <w:szCs w:val="24"/>
                    </w:rPr>
                  </w:pPr>
                  <w:sdt>
                    <w:sdtPr>
                      <w:alias w:val="Numeris"/>
                      <w:tag w:val="nr_41f7405957ec40c3a9df2cb0307249e0"/>
                      <w:lock w:val="sdtLocked"/>
                      <w:richText/>
                    </w:sdtPr>
                    <w:sdtContent>
                      <w:r>
                        <w:rPr>
                          <w:szCs w:val="24"/>
                        </w:rPr>
                        <w:t>12</w:t>
                      </w:r>
                    </w:sdtContent>
                  </w:sdt>
                  <w:r>
                    <w:rPr>
                      <w:szCs w:val="24"/>
                    </w:rPr>
                    <w:t xml:space="preserve">. Teikiant paramą turi būti tenkinamos Reglamento </w:t>
                  </w:r>
                  <w:r>
                    <w:rPr>
                      <w:color w:val="0000FF"/>
                      <w:szCs w:val="24"/>
                      <w:u w:val="single"/>
                    </w:rPr>
                    <w:t>(ES) Nr. 1408/2013</w:t>
                  </w:r>
                  <w:r>
                    <w:rPr>
                      <w:szCs w:val="24"/>
                    </w:rPr>
                    <w:t xml:space="preserve"> 1 straipsnio 1 dalies nuostatos.</w:t>
                  </w:r>
                </w:p>
              </w:sdtContent>
            </w:sdt>
            <w:sdt>
              <w:sdtPr>
                <w:alias w:val="13 p."/>
                <w:tag w:val="part_fbb5fb8b57a047b8b9d8b5d31083e3d1"/>
                <w:lock w:val="sdtLocked"/>
                <w:richText/>
              </w:sdtPr>
              <w:sdtContent>
                <w:p>
                  <w:pPr>
                    <w:widowControl w:val="0"/>
                    <w:overflowPunct w:val="0"/>
                    <w:ind w:firstLine="567"/>
                    <w:jc w:val="both"/>
                    <w:textAlignment w:val="baseline"/>
                    <w:rPr>
                      <w:color w:val="000000"/>
                      <w:szCs w:val="24"/>
                      <w:lang w:eastAsia="lt-LT"/>
                    </w:rPr>
                  </w:pPr>
                  <w:sdt>
                    <w:sdtPr>
                      <w:alias w:val="Numeris"/>
                      <w:tag w:val="nr_fbb5fb8b57a047b8b9d8b5d31083e3d1"/>
                      <w:lock w:val="sdtLocked"/>
                      <w:richText/>
                    </w:sdtPr>
                    <w:sdtContent>
                      <w:r>
                        <w:rPr>
                          <w:color w:val="000000"/>
                          <w:szCs w:val="24"/>
                          <w:lang w:eastAsia="lt-LT"/>
                        </w:rPr>
                        <w:t>13</w:t>
                      </w:r>
                    </w:sdtContent>
                  </w:sdt>
                  <w:r>
                    <w:rPr>
                      <w:color w:val="000000"/>
                      <w:szCs w:val="24"/>
                      <w:lang w:eastAsia="lt-LT"/>
                    </w:rPr>
                    <w:t>. Bičių laikytojui parama negali būti teikiama, jei jis ar jo sutuoktinis yra patvirtintas paramos gavėju pagal Kaimo plėtros 2004–2006 metų plano priemonę „Ankstyvo pasitraukimo iš prekinės žemės ūkio gamybos rėmimas“ ir (arba) Lietuvos kaimo plėtros 2007–2013 metų programos priemonę „Ankstyvas pasitraukimas iš prekinės žemės ūkio gamybos“.</w:t>
                  </w:r>
                </w:p>
              </w:sdtContent>
            </w:sdt>
            <w:sdt>
              <w:sdtPr>
                <w:alias w:val="14 p."/>
                <w:tag w:val="part_767964552573449694912e9f3b608ca9"/>
                <w:lock w:val="sdtLocked"/>
                <w:richText/>
              </w:sdtPr>
              <w:sdtContent>
                <w:p>
                  <w:pPr>
                    <w:widowControl w:val="0"/>
                    <w:overflowPunct w:val="0"/>
                    <w:ind w:firstLine="567"/>
                    <w:jc w:val="both"/>
                    <w:textAlignment w:val="baseline"/>
                    <w:rPr>
                      <w:color w:val="000000"/>
                      <w:szCs w:val="24"/>
                      <w:lang w:eastAsia="lt-LT"/>
                    </w:rPr>
                  </w:pPr>
                  <w:sdt>
                    <w:sdtPr>
                      <w:alias w:val="Numeris"/>
                      <w:tag w:val="nr_767964552573449694912e9f3b608ca9"/>
                      <w:lock w:val="sdtLocked"/>
                      <w:richText/>
                    </w:sdtPr>
                    <w:sdtContent>
                      <w:r>
                        <w:rPr>
                          <w:szCs w:val="24"/>
                        </w:rPr>
                        <w:t>14</w:t>
                      </w:r>
                    </w:sdtContent>
                  </w:sdt>
                  <w:r>
                    <w:rPr>
                      <w:szCs w:val="24"/>
                    </w:rPr>
                    <w:t xml:space="preserve">. </w:t>
                  </w:r>
                  <w:r>
                    <w:rPr>
                      <w:color w:val="000000"/>
                    </w:rPr>
                    <w:t>Bičių laikytojui, atitikusiam taisyklių nustatytus reikalavimus, mirus, jei dar jam nebuvo išmokėta parama, įpėdinis, gavęs paveldėjimo dokumentus (paveldėjimo teisės liudijimą, nuosavybės teisės liudijimą ar pan.) ir atitinkantis taisyklių reikalavimus gauti paramą, iki kitų metų rugsėjo 30 d. pateikia Nacionalinei mokėjimo agentūrai prie Žemės ūkio ministerijos (toliau –</w:t>
                  </w:r>
                  <w:r>
                    <w:t xml:space="preserve"> Agentūra</w:t>
                  </w:r>
                  <w:r>
                    <w:rPr>
                      <w:color w:val="000000"/>
                    </w:rPr>
                    <w:t xml:space="preserve">) laisvos formos prašymą dėl paramos priskyrimo kartu su paveldėjimo fakto patvirtinimo dokumentų kopijomis, nurodo banko pavadinimą, kodą ir sąskaitos bei valdos numerį. </w:t>
                  </w:r>
                </w:p>
              </w:sdtContent>
            </w:sdt>
            <w:sdt>
              <w:sdtPr>
                <w:alias w:val="15 p."/>
                <w:tag w:val="part_f8f529a03274462b96a53dae9aff27af"/>
                <w:lock w:val="sdtLocked"/>
                <w:richText/>
              </w:sdtPr>
              <w:sdtContent>
                <w:p>
                  <w:pPr>
                    <w:widowControl w:val="0"/>
                    <w:overflowPunct w:val="0"/>
                    <w:ind w:firstLine="567"/>
                    <w:jc w:val="both"/>
                    <w:textAlignment w:val="baseline"/>
                    <w:rPr>
                      <w:color w:val="000000"/>
                      <w:szCs w:val="24"/>
                      <w:lang w:eastAsia="lt-LT"/>
                    </w:rPr>
                  </w:pPr>
                  <w:sdt>
                    <w:sdtPr>
                      <w:alias w:val="Numeris"/>
                      <w:tag w:val="nr_f8f529a03274462b96a53dae9aff27af"/>
                      <w:lock w:val="sdtLocked"/>
                      <w:richText/>
                    </w:sdtPr>
                    <w:sdtContent>
                      <w:r>
                        <w:rPr>
                          <w:color w:val="000000"/>
                        </w:rPr>
                        <w:t>15</w:t>
                      </w:r>
                    </w:sdtContent>
                  </w:sdt>
                  <w:r>
                    <w:rPr>
                      <w:color w:val="000000"/>
                    </w:rPr>
                    <w:t>. Bičių laikytojui, atitikusiam taisyklių nustatytus reikalavimus, perduodant visą valdą, jei dar jam nebuvo išmokėta parama, perėmėjas, atitinkantis taisyklių reikalavimus gauti paramą, iki kitų metų rugsėjo 30 d. pateikia Agentūrai laisvos formos prašymą dėl paramos priskyrimo ir prideda fakto patvirtinimo dokumentų kopijas bei nurodo banko pavadinimą, kodą ir sąskaitos bei valdos numerį. Kai žemė ar jos dalis paimama visuomenės poreikiams, teisė į paramą lieka buvusiam paramos gavėjui</w:t>
                  </w:r>
                  <w:r>
                    <w:rPr>
                      <w:szCs w:val="24"/>
                    </w:rPr>
                    <w:t>.</w:t>
                  </w:r>
                  <w:r>
                    <w:t xml:space="preserve"> </w:t>
                  </w:r>
                </w:p>
                <w:p>
                  <w:pPr>
                    <w:widowControl w:val="0"/>
                    <w:jc w:val="center"/>
                    <w:rPr>
                      <w:b/>
                      <w:bCs/>
                      <w:caps/>
                      <w:color w:val="000000"/>
                      <w:szCs w:val="24"/>
                      <w:lang w:eastAsia="lt-LT"/>
                    </w:rPr>
                  </w:pPr>
                </w:p>
              </w:sdtContent>
            </w:sdt>
          </w:sdtContent>
        </w:sdt>
        <w:sdt>
          <w:sdtPr>
            <w:alias w:val="skyrius"/>
            <w:tag w:val="part_63259a741a0d47d28e61248cfe19e254"/>
            <w:lock w:val="sdtLocked"/>
            <w:richText/>
          </w:sdtPr>
          <w:sdtContent>
            <w:p>
              <w:pPr>
                <w:widowControl w:val="0"/>
                <w:jc w:val="center"/>
                <w:rPr>
                  <w:b/>
                  <w:bCs/>
                  <w:caps/>
                  <w:color w:val="000000"/>
                  <w:szCs w:val="24"/>
                  <w:lang w:eastAsia="lt-LT"/>
                </w:rPr>
              </w:pPr>
              <w:sdt>
                <w:sdtPr>
                  <w:alias w:val="Numeris"/>
                  <w:tag w:val="nr_63259a741a0d47d28e61248cfe19e254"/>
                  <w:lock w:val="sdtLocked"/>
                  <w:richText/>
                </w:sdtPr>
                <w:sdtContent>
                  <w:r>
                    <w:rPr>
                      <w:b/>
                      <w:bCs/>
                      <w:caps/>
                      <w:color w:val="000000"/>
                      <w:szCs w:val="24"/>
                      <w:lang w:eastAsia="lt-LT"/>
                    </w:rPr>
                    <w:t>III</w:t>
                  </w:r>
                </w:sdtContent>
              </w:sdt>
              <w:r>
                <w:rPr>
                  <w:b/>
                  <w:bCs/>
                  <w:caps/>
                  <w:color w:val="000000"/>
                  <w:szCs w:val="24"/>
                  <w:lang w:eastAsia="lt-LT"/>
                </w:rPr>
                <w:t xml:space="preserve"> SKYRIUS</w:t>
              </w:r>
            </w:p>
            <w:p>
              <w:pPr>
                <w:widowControl w:val="0"/>
                <w:ind w:firstLine="62"/>
                <w:jc w:val="center"/>
                <w:rPr>
                  <w:b/>
                  <w:bCs/>
                  <w:caps/>
                  <w:color w:val="000000"/>
                  <w:szCs w:val="24"/>
                  <w:lang w:eastAsia="lt-LT"/>
                </w:rPr>
              </w:pPr>
              <w:sdt>
                <w:sdtPr>
                  <w:alias w:val="Pavadinimas"/>
                  <w:tag w:val="title_63259a741a0d47d28e61248cfe19e254"/>
                  <w:lock w:val="sdtLocked"/>
                  <w:richText/>
                </w:sdtPr>
                <w:sdtContent>
                  <w:r>
                    <w:rPr>
                      <w:b/>
                      <w:bCs/>
                      <w:caps/>
                      <w:color w:val="000000"/>
                      <w:szCs w:val="24"/>
                      <w:lang w:eastAsia="lt-LT"/>
                    </w:rPr>
                    <w:t>PARAMOS PARAIŠKŲ TEIKIMAS IR PARAMOS SKYRIMAS</w:t>
                  </w:r>
                </w:sdtContent>
              </w:sdt>
            </w:p>
            <w:p>
              <w:pPr>
                <w:widowControl w:val="0"/>
                <w:ind w:firstLine="567"/>
                <w:jc w:val="both"/>
                <w:rPr>
                  <w:color w:val="000000"/>
                  <w:szCs w:val="24"/>
                  <w:lang w:eastAsia="lt-LT"/>
                </w:rPr>
              </w:pPr>
            </w:p>
            <w:sdt>
              <w:sdtPr>
                <w:alias w:val="16 p."/>
                <w:tag w:val="part_63dc70c41cf5436287a3a59c3ca66c73"/>
                <w:lock w:val="sdtLocked"/>
                <w:richText/>
              </w:sdtPr>
              <w:sdtContent>
                <w:p>
                  <w:pPr>
                    <w:widowControl w:val="0"/>
                    <w:overflowPunct w:val="0"/>
                    <w:ind w:firstLine="567"/>
                    <w:jc w:val="both"/>
                    <w:textAlignment w:val="baseline"/>
                    <w:rPr>
                      <w:color w:val="000000"/>
                      <w:szCs w:val="24"/>
                      <w:lang w:eastAsia="lt-LT"/>
                    </w:rPr>
                  </w:pPr>
                  <w:sdt>
                    <w:sdtPr>
                      <w:alias w:val="Numeris"/>
                      <w:tag w:val="nr_63dc70c41cf5436287a3a59c3ca66c73"/>
                      <w:lock w:val="sdtLocked"/>
                      <w:richText/>
                    </w:sdtPr>
                    <w:sdtContent>
                      <w:r>
                        <w:rPr>
                          <w:color w:val="000000"/>
                          <w:szCs w:val="24"/>
                        </w:rPr>
                        <w:t>16</w:t>
                      </w:r>
                    </w:sdtContent>
                  </w:sdt>
                  <w:r>
                    <w:rPr>
                      <w:color w:val="000000"/>
                      <w:szCs w:val="24"/>
                    </w:rPr>
                    <w:t xml:space="preserve">. Paramos paraiškų priėmimo terminas – einamieji metai nuo rugsėjo 1 d. iki rugsėjo  30 d. (įskaitytinai). Bičių laikytojas, pavėlavęs pateikti paramos paraišką dėl svarbios priežasties (nenugalima jėga, sunki liga ir kt.), gali ją pateikti iki einamųjų metų spalio 14 d. (įskaitytinai), kartu su prašymu ją priimti ir vėlavimo priežasties pagrindimo dokumentu.</w:t>
                  </w:r>
                  <w:r>
                    <w:rPr>
                      <w:color w:val="FF0000"/>
                      <w:szCs w:val="24"/>
                    </w:rPr>
                    <w:t xml:space="preserve"> </w:t>
                  </w:r>
                </w:p>
              </w:sdtContent>
            </w:sdt>
            <w:sdt>
              <w:sdtPr>
                <w:alias w:val="17 p."/>
                <w:tag w:val="part_0f767fde89104360bb0a9ab1d8bbe46c"/>
                <w:lock w:val="sdtLocked"/>
                <w:richText/>
              </w:sdtPr>
              <w:sdtContent>
                <w:p>
                  <w:pPr>
                    <w:widowControl w:val="0"/>
                    <w:overflowPunct w:val="0"/>
                    <w:ind w:firstLine="567"/>
                    <w:jc w:val="both"/>
                    <w:textAlignment w:val="baseline"/>
                    <w:rPr>
                      <w:color w:val="000000"/>
                    </w:rPr>
                  </w:pPr>
                  <w:sdt>
                    <w:sdtPr>
                      <w:alias w:val="Numeris"/>
                      <w:tag w:val="nr_0f767fde89104360bb0a9ab1d8bbe46c"/>
                      <w:lock w:val="sdtLocked"/>
                      <w:richText/>
                    </w:sdtPr>
                    <w:sdtContent>
                      <w:r>
                        <w:rPr>
                          <w:color w:val="000000"/>
                          <w:szCs w:val="24"/>
                          <w:lang w:eastAsia="lt-LT"/>
                        </w:rPr>
                        <w:t>17</w:t>
                      </w:r>
                    </w:sdtContent>
                  </w:sdt>
                  <w:r>
                    <w:rPr>
                      <w:color w:val="000000"/>
                      <w:szCs w:val="24"/>
                      <w:lang w:eastAsia="lt-LT"/>
                    </w:rPr>
                    <w:t xml:space="preserve">. </w:t>
                  </w:r>
                  <w:r>
                    <w:rPr>
                      <w:color w:val="000000"/>
                    </w:rPr>
                    <w:t xml:space="preserve">Prasidėjus paramos paraiškų priėmimo terminui, bičių laikytojas, deklaravęs laikomų bičių šeimų skaičių Ūkinių gyvūnų registre, teikia paramos paraišką suvesdamas duomenis į Žemės ūkio duomenų centro (toliau – ŽŪDC) Paramos žemės ūkio veiklos subjektams apskaičiavimo informacinę sistemą (toliau – PŽŪSAIS). </w:t>
                  </w:r>
                </w:p>
              </w:sdtContent>
            </w:sdt>
            <w:sdt>
              <w:sdtPr>
                <w:alias w:val="18 p."/>
                <w:tag w:val="part_4cc6e5c3e8ba47289b1f63609026bdc2"/>
                <w:lock w:val="sdtLocked"/>
                <w:richText/>
              </w:sdtPr>
              <w:sdtContent>
                <w:p>
                  <w:pPr>
                    <w:widowControl w:val="0"/>
                    <w:overflowPunct w:val="0"/>
                    <w:ind w:firstLine="567"/>
                    <w:jc w:val="both"/>
                    <w:textAlignment w:val="baseline"/>
                    <w:rPr>
                      <w:iCs/>
                      <w:color w:val="000000"/>
                      <w:szCs w:val="24"/>
                      <w:lang w:eastAsia="lt-LT"/>
                    </w:rPr>
                  </w:pPr>
                  <w:sdt>
                    <w:sdtPr>
                      <w:alias w:val="Numeris"/>
                      <w:tag w:val="nr_4cc6e5c3e8ba47289b1f63609026bdc2"/>
                      <w:lock w:val="sdtLocked"/>
                      <w:richText/>
                    </w:sdtPr>
                    <w:sdtContent>
                      <w:r>
                        <w:rPr>
                          <w:color w:val="000000"/>
                          <w:szCs w:val="24"/>
                          <w:lang w:eastAsia="lt-LT"/>
                        </w:rPr>
                        <w:t>18</w:t>
                      </w:r>
                    </w:sdtContent>
                  </w:sdt>
                  <w:r>
                    <w:rPr>
                      <w:color w:val="000000"/>
                      <w:szCs w:val="24"/>
                      <w:lang w:eastAsia="lt-LT"/>
                    </w:rPr>
                    <w:t xml:space="preserve">. </w:t>
                  </w:r>
                  <w:r>
                    <w:rPr>
                      <w:iCs/>
                      <w:lang w:eastAsia="lt-LT"/>
                    </w:rPr>
                    <w:t xml:space="preserve">Bičių laikytojai, neturintys galimybės ar nenorintys naudotis elektronine bankininkyste, ar teikdami pavėluotą paraišką, šių taisyklių 16 punkte nustatytu laikotarpiu gali kreiptis į savivaldybę </w:t>
                  </w:r>
                  <w:r>
                    <w:rPr>
                      <w:iCs/>
                    </w:rPr>
                    <w:t xml:space="preserve">pagal  </w:t>
                  </w:r>
                  <w:r>
                    <w:rPr>
                      <w:iCs/>
                      <w:lang w:eastAsia="lt-LT"/>
                    </w:rPr>
                    <w:t xml:space="preserve">gyvenamąją vietą arba buveinės adresą, arba </w:t>
                  </w:r>
                  <w:r>
                    <w:rPr>
                      <w:iCs/>
                    </w:rPr>
                    <w:t>žemės ūkio valdos registravimo vietą</w:t>
                  </w:r>
                  <w:r>
                    <w:rPr>
                      <w:iCs/>
                      <w:lang w:eastAsia="lt-LT"/>
                    </w:rPr>
                    <w:t>. Savivaldybės atsakingi darbuotojai prisijungia prie PŽŪSAIS ir suveda pareiškėjo duomenis į elektroninę paramos paraiškos formą. Suvestus pareiškėjo duomenis PŽŪSAIS, savivaldybės darbuotojas ir bičių laikytojas patikrina ir patvirtina jų teisingumą, pasirašydami ant atspausdintos paramos paraiškos.</w:t>
                  </w:r>
                  <w:r>
                    <w:rPr>
                      <w:iCs/>
                    </w:rPr>
                    <w:t xml:space="preserve"> Jei ūkis yra ekologinis, patikrina, ar sertifikavimo institucija yra </w:t>
                  </w:r>
                  <w:r>
                    <w:rPr>
                      <w:iCs/>
                      <w:lang w:eastAsia="lt-LT"/>
                    </w:rPr>
                    <w:t xml:space="preserve">išdavusi sertifikatą. Savivaldybės darbuotojo ir bičių laikytojo parašais patvirtinta  paramos paraiška atiduodama bičių laikytojui. Savivaldybės darbuotojas PŽŪAIS patvirtina dokumento pateikimą ne vėliau kaip iki šių taisyklių 16 punkte nurodyto laikotarpio pabaigos. Dokumentas laikomas pateiktu tik jį patvirtinus.</w:t>
                  </w:r>
                </w:p>
              </w:sdtContent>
            </w:sdt>
            <w:sdt>
              <w:sdtPr>
                <w:alias w:val="19 p."/>
                <w:tag w:val="part_50960dd6670e40e6be1df8b29359c8e6"/>
                <w:lock w:val="sdtLocked"/>
                <w:richText/>
              </w:sdtPr>
              <w:sdtContent>
                <w:p>
                  <w:pPr>
                    <w:widowControl w:val="0"/>
                    <w:overflowPunct w:val="0"/>
                    <w:ind w:firstLine="567"/>
                    <w:jc w:val="both"/>
                    <w:textAlignment w:val="baseline"/>
                    <w:rPr>
                      <w:szCs w:val="24"/>
                    </w:rPr>
                  </w:pPr>
                  <w:sdt>
                    <w:sdtPr>
                      <w:alias w:val="Numeris"/>
                      <w:tag w:val="nr_50960dd6670e40e6be1df8b29359c8e6"/>
                      <w:lock w:val="sdtLocked"/>
                      <w:richText/>
                    </w:sdtPr>
                    <w:sdtContent>
                      <w:r>
                        <w:rPr>
                          <w:color w:val="000000"/>
                          <w:szCs w:val="24"/>
                          <w:lang w:eastAsia="lt-LT"/>
                        </w:rPr>
                        <w:t>19</w:t>
                      </w:r>
                    </w:sdtContent>
                  </w:sdt>
                  <w:r>
                    <w:rPr>
                      <w:color w:val="000000"/>
                      <w:szCs w:val="24"/>
                      <w:lang w:eastAsia="lt-LT"/>
                    </w:rPr>
                    <w:t xml:space="preserve">. ŽŪDC pagal pateiktus duomenis: </w:t>
                  </w:r>
                </w:p>
                <w:sdt>
                  <w:sdtPr>
                    <w:alias w:val="19.1 pp."/>
                    <w:tag w:val="part_95babb81430e4de59741f82b74844e21"/>
                    <w:lock w:val="sdtLocked"/>
                    <w:richText/>
                  </w:sdtPr>
                  <w:sdtContent>
                    <w:p>
                      <w:pPr>
                        <w:widowControl w:val="0"/>
                        <w:overflowPunct w:val="0"/>
                        <w:ind w:firstLine="567"/>
                        <w:jc w:val="both"/>
                        <w:textAlignment w:val="baseline"/>
                        <w:rPr>
                          <w:color w:val="000000"/>
                          <w:spacing w:val="-4"/>
                          <w:szCs w:val="24"/>
                          <w:lang w:eastAsia="lt-LT"/>
                        </w:rPr>
                      </w:pPr>
                      <w:sdt>
                        <w:sdtPr>
                          <w:alias w:val="Numeris"/>
                          <w:tag w:val="nr_95babb81430e4de59741f82b74844e21"/>
                          <w:lock w:val="sdtLocked"/>
                          <w:richText/>
                        </w:sdtPr>
                        <w:sdtContent>
                          <w:r>
                            <w:rPr>
                              <w:color w:val="000000"/>
                              <w:spacing w:val="-4"/>
                              <w:szCs w:val="24"/>
                              <w:lang w:eastAsia="lt-LT"/>
                            </w:rPr>
                            <w:t>19.1</w:t>
                          </w:r>
                        </w:sdtContent>
                      </w:sdt>
                      <w:r>
                        <w:rPr>
                          <w:color w:val="000000"/>
                          <w:spacing w:val="-4"/>
                          <w:szCs w:val="24"/>
                          <w:lang w:eastAsia="lt-LT"/>
                        </w:rPr>
                        <w:t>. Sutikrina paramos paraiškos duomenis su Ūkinių gyvūnų registro (toliau – ŪGR) informacija (ar sutampa paraiškoje nurodytas ir ŪGR deklaruotas bičių šeimų skaičius. Jei nesutampa paramos paraiškoje nurodytas ir ŪGR deklaruotas laikomų bičių šeimų skaičius, parama bus skiriama už mažesnį bičių šeimų skaičių) ir Lietuvos Respublikos žemės ūkio ir kaimo verslo registro duomenimis (ar pareiškėjas yra registruotas kaip valdos valdytojas ar partneris. Jeigu pareiškėjas nėra registruotas kaip valdos valdytojas ar partneris, jam parama negali būti skirta);</w:t>
                      </w:r>
                    </w:p>
                  </w:sdtContent>
                </w:sdt>
                <w:sdt>
                  <w:sdtPr>
                    <w:alias w:val="19.2 pp."/>
                    <w:tag w:val="part_32eb9b7a60be4e048a4635bf4cc0e440"/>
                    <w:lock w:val="sdtLocked"/>
                    <w:richText/>
                  </w:sdtPr>
                  <w:sdtContent>
                    <w:p>
                      <w:pPr>
                        <w:widowControl w:val="0"/>
                        <w:overflowPunct w:val="0"/>
                        <w:ind w:firstLine="567"/>
                        <w:jc w:val="both"/>
                        <w:textAlignment w:val="baseline"/>
                        <w:rPr>
                          <w:color w:val="000000"/>
                          <w:szCs w:val="24"/>
                          <w:lang w:eastAsia="lt-LT"/>
                        </w:rPr>
                      </w:pPr>
                      <w:sdt>
                        <w:sdtPr>
                          <w:alias w:val="Numeris"/>
                          <w:tag w:val="nr_32eb9b7a60be4e048a4635bf4cc0e440"/>
                          <w:lock w:val="sdtLocked"/>
                          <w:richText/>
                        </w:sdtPr>
                        <w:sdtContent>
                          <w:r>
                            <w:rPr>
                              <w:color w:val="000000"/>
                              <w:spacing w:val="-4"/>
                              <w:szCs w:val="24"/>
                              <w:lang w:eastAsia="lt-LT"/>
                            </w:rPr>
                            <w:t>19.2</w:t>
                          </w:r>
                        </w:sdtContent>
                      </w:sdt>
                      <w:r>
                        <w:rPr>
                          <w:color w:val="000000"/>
                          <w:spacing w:val="-4"/>
                          <w:szCs w:val="24"/>
                          <w:lang w:eastAsia="lt-LT"/>
                        </w:rPr>
                        <w:t>. pagal turimą PŽŪSAIS informaciją apie einamaisiais metais nurodytą laikomų bičių šeimų skaičių, apskaičiuoja maksimalią paramos</w:t>
                      </w:r>
                      <w:r>
                        <w:rPr>
                          <w:color w:val="000000"/>
                          <w:szCs w:val="24"/>
                          <w:lang w:eastAsia="lt-LT"/>
                        </w:rPr>
                        <w:t xml:space="preserve"> sumą kiekvienam bičių laikytojui, atitinkančiam šių taisyklių reikalavimus, ir iki einamųjų metų spalio  20 d. paraiškų gauti paramą už papildomą bičių maitinimą duomenų suvestinę (2 priedas) pateikia Agentūrai (duomenys</w:t>
                      </w:r>
                      <w:r>
                        <w:rPr>
                          <w:b/>
                          <w:bCs/>
                          <w:color w:val="000000"/>
                          <w:szCs w:val="24"/>
                          <w:lang w:eastAsia="lt-LT"/>
                        </w:rPr>
                        <w:t xml:space="preserve"> </w:t>
                      </w:r>
                      <w:r>
                        <w:t>perduodami</w:t>
                      </w:r>
                      <w:r>
                        <w:rPr>
                          <w:b/>
                          <w:bCs/>
                        </w:rPr>
                        <w:t xml:space="preserve"> </w:t>
                      </w:r>
                      <w:r>
                        <w:t>į Agentūros Nacionalinės paramos administravimo informacinę sistemą</w:t>
                      </w:r>
                      <w:r>
                        <w:rPr>
                          <w:color w:val="000000"/>
                          <w:szCs w:val="24"/>
                          <w:lang w:eastAsia="lt-LT"/>
                        </w:rPr>
                        <w:t xml:space="preserve">). Taip pat pateikia </w:t>
                      </w:r>
                      <w:r>
                        <w:rPr>
                          <w:color w:val="000000"/>
                          <w:szCs w:val="24"/>
                        </w:rPr>
                        <w:t xml:space="preserve">pareiškėjų, kurių paraiškose buvo nurodyta, kad turi susijusių įmonių, </w:t>
                      </w:r>
                      <w:r>
                        <w:rPr>
                          <w:color w:val="000000"/>
                          <w:szCs w:val="24"/>
                          <w:lang w:eastAsia="lt-LT"/>
                        </w:rPr>
                        <w:t>sąrašą,</w:t>
                      </w:r>
                      <w:r>
                        <w:rPr>
                          <w:color w:val="000000"/>
                          <w:szCs w:val="24"/>
                        </w:rPr>
                        <w:t xml:space="preserve"> kaip nustatyta Reglamento (ES) Nr. 1408/2013 2 ir 3 straipsniuose</w:t>
                      </w:r>
                      <w:r>
                        <w:rPr>
                          <w:color w:val="000000"/>
                          <w:szCs w:val="24"/>
                          <w:lang w:eastAsia="lt-LT"/>
                        </w:rPr>
                        <w:t>;</w:t>
                      </w:r>
                    </w:p>
                  </w:sdtContent>
                </w:sdt>
              </w:sdtContent>
            </w:sdt>
            <w:sdt>
              <w:sdtPr>
                <w:alias w:val="20 p."/>
                <w:tag w:val="part_34c0ebb89e4f483ab57b038528ddf48a"/>
                <w:lock w:val="sdtLocked"/>
                <w:richText/>
              </w:sdtPr>
              <w:sdtContent>
                <w:p>
                  <w:pPr>
                    <w:widowControl w:val="0"/>
                    <w:ind w:firstLine="567"/>
                    <w:jc w:val="both"/>
                    <w:rPr>
                      <w:color w:val="000000"/>
                      <w:szCs w:val="24"/>
                      <w:lang w:eastAsia="lt-LT"/>
                    </w:rPr>
                  </w:pPr>
                  <w:sdt>
                    <w:sdtPr>
                      <w:alias w:val="Numeris"/>
                      <w:tag w:val="nr_34c0ebb89e4f483ab57b038528ddf48a"/>
                      <w:lock w:val="sdtLocked"/>
                      <w:richText/>
                    </w:sdtPr>
                    <w:sdtContent>
                      <w:r>
                        <w:rPr>
                          <w:color w:val="000000"/>
                          <w:szCs w:val="24"/>
                          <w:lang w:eastAsia="lt-LT"/>
                        </w:rPr>
                        <w:t>20</w:t>
                      </w:r>
                    </w:sdtContent>
                  </w:sdt>
                  <w:r>
                    <w:rPr>
                      <w:color w:val="000000"/>
                      <w:szCs w:val="24"/>
                      <w:lang w:eastAsia="lt-LT"/>
                    </w:rPr>
                    <w:t>. Agentūra, gavusi 19.2 papunktyje nurodytus duomenis:</w:t>
                  </w:r>
                </w:p>
                <w:sdt>
                  <w:sdtPr>
                    <w:alias w:val="20.1 pp."/>
                    <w:tag w:val="part_4ce3aff8a17742b4b73c37cee40f7a61"/>
                    <w:lock w:val="sdtLocked"/>
                    <w:richText/>
                  </w:sdtPr>
                  <w:sdtContent>
                    <w:p>
                      <w:pPr>
                        <w:widowControl w:val="0"/>
                        <w:overflowPunct w:val="0"/>
                        <w:ind w:firstLine="567"/>
                        <w:jc w:val="both"/>
                        <w:textAlignment w:val="baseline"/>
                        <w:rPr>
                          <w:color w:val="000000"/>
                          <w:szCs w:val="24"/>
                          <w:lang w:eastAsia="lt-LT"/>
                        </w:rPr>
                      </w:pPr>
                      <w:sdt>
                        <w:sdtPr>
                          <w:alias w:val="Numeris"/>
                          <w:tag w:val="nr_4ce3aff8a17742b4b73c37cee40f7a61"/>
                          <w:lock w:val="sdtLocked"/>
                          <w:richText/>
                        </w:sdtPr>
                        <w:sdtContent>
                          <w:r>
                            <w:rPr>
                              <w:color w:val="000000"/>
                              <w:szCs w:val="24"/>
                              <w:lang w:eastAsia="lt-LT"/>
                            </w:rPr>
                            <w:t>20.1</w:t>
                          </w:r>
                        </w:sdtContent>
                      </w:sdt>
                      <w:r>
                        <w:rPr>
                          <w:szCs w:val="24"/>
                        </w:rPr>
                        <w:t xml:space="preserve"> atlieka Agentūros nustatyta tvarka ne mažiau kaip 0,5 proc. atrinktų paramos gavėjų pateiktos informacijos patikrą. Agentūra atlieka patikras (tiek vykstant fiziškai, tiek tikrinant per „NMA agro“ programą) savo nustatyta tvarka. Patikros vietoje, jei jas būtina atlikti, gali būti atliekamos nevykstant į projekto įgyvendinimo ir (ar) administravimo vietą, o tikrinant dokumentus ir kaip papildomą medžiagą naudojant „NMA agro“ mobiliosios programos geografiniu žymeniu pažymėtas nuotraukas ir (ar) kitus įrodymus;</w:t>
                      </w:r>
                    </w:p>
                  </w:sdtContent>
                </w:sdt>
                <w:sdt>
                  <w:sdtPr>
                    <w:alias w:val="20.2 pp."/>
                    <w:tag w:val="part_17c5a28247214b18b9a9801d1076e0b9"/>
                    <w:lock w:val="sdtLocked"/>
                    <w:richText/>
                  </w:sdtPr>
                  <w:sdtContent>
                    <w:p>
                      <w:pPr>
                        <w:widowControl w:val="0"/>
                        <w:ind w:firstLine="567"/>
                        <w:jc w:val="both"/>
                        <w:rPr>
                          <w:color w:val="000000"/>
                          <w:szCs w:val="24"/>
                          <w:lang w:eastAsia="lt-LT"/>
                        </w:rPr>
                      </w:pPr>
                      <w:sdt>
                        <w:sdtPr>
                          <w:alias w:val="Numeris"/>
                          <w:tag w:val="nr_17c5a28247214b18b9a9801d1076e0b9"/>
                          <w:lock w:val="sdtLocked"/>
                          <w:richText/>
                        </w:sdtPr>
                        <w:sdtContent>
                          <w:r>
                            <w:rPr>
                              <w:color w:val="000000"/>
                              <w:szCs w:val="24"/>
                              <w:lang w:eastAsia="lt-LT"/>
                            </w:rPr>
                            <w:t>20.2</w:t>
                          </w:r>
                        </w:sdtContent>
                      </w:sdt>
                      <w:r>
                        <w:rPr>
                          <w:color w:val="000000"/>
                          <w:szCs w:val="24"/>
                          <w:lang w:eastAsia="lt-LT"/>
                        </w:rPr>
                        <w:t>. patikrina, ar bičių laikytojas ar jo sutuoktinis yra patvirtintas paramos gavėju pagal Kaimo plėtros 2004–2006 metų plano priemonę „Ankstyvo pasitraukimo iš prekinės žemės ūkio gamybos rėmimas“ ir Lietuvos kaimo plėtros 2007–2013 metų programos priemonę „Ankstyvas pasitraukimas iš prekinės žemės ūkio gamybos“;</w:t>
                      </w:r>
                    </w:p>
                  </w:sdtContent>
                </w:sdt>
                <w:sdt>
                  <w:sdtPr>
                    <w:alias w:val="20.3 pp."/>
                    <w:tag w:val="part_3a58d55c01b640fda24213e1b4bbc3c9"/>
                    <w:lock w:val="sdtLocked"/>
                    <w:richText/>
                  </w:sdtPr>
                  <w:sdtContent>
                    <w:p>
                      <w:pPr>
                        <w:tabs>
                          <w:tab w:val="left" w:pos="709"/>
                          <w:tab w:val="left" w:pos="1134"/>
                        </w:tabs>
                        <w:overflowPunct w:val="0"/>
                        <w:ind w:firstLine="567"/>
                        <w:jc w:val="both"/>
                        <w:textAlignment w:val="baseline"/>
                      </w:pPr>
                      <w:sdt>
                        <w:sdtPr>
                          <w:alias w:val="Numeris"/>
                          <w:tag w:val="nr_3a58d55c01b640fda24213e1b4bbc3c9"/>
                          <w:lock w:val="sdtLocked"/>
                          <w:richText/>
                        </w:sdtPr>
                        <w:sdtContent>
                          <w:r>
                            <w:t>20.3</w:t>
                          </w:r>
                        </w:sdtContent>
                      </w:sdt>
                      <w:r>
                        <w:t>. vadovaudamasi Suteiktos valstybės pagalbos ir nereikšmingos (</w:t>
                      </w:r>
                      <w:r>
                        <w:rPr>
                          <w:i/>
                        </w:rPr>
                        <w:t>de minimis</w:t>
                      </w:r>
                      <w:r>
                        <w:t>) pagalbos registro nuostatais, patvirtintais Lietuvos Respublikos Vyriausybės 2005 m. sausio 19 d. nutarimu Nr. 35 „Dėl Suteiktos valstybės pagalbos ir nereikšmingos (</w:t>
                      </w:r>
                      <w:r>
                        <w:rPr>
                          <w:i/>
                        </w:rPr>
                        <w:t>de minimis</w:t>
                      </w:r>
                      <w:r>
                        <w:t xml:space="preserve">) pagalbos registro nuostatų patvirtinimo“ (toliau – Registro nuostatai), patikrina, ar paramos </w:t>
                      </w:r>
                      <w:r>
                        <w:rPr>
                          <w:color w:val="000000"/>
                          <w:szCs w:val="24"/>
                        </w:rPr>
                        <w:t>gavėjui (</w:t>
                      </w:r>
                      <w:r>
                        <w:rPr>
                          <w:color w:val="000000"/>
                        </w:rPr>
                        <w:t xml:space="preserve">įskaitant su juo reglamento </w:t>
                      </w:r>
                      <w:r>
                        <w:rPr>
                          <w:color w:val="0000FF"/>
                          <w:u w:val="single"/>
                        </w:rPr>
                        <w:t>(ES) Nr. 1408/2013</w:t>
                      </w:r>
                      <w:r>
                        <w:rPr>
                          <w:color w:val="000000"/>
                        </w:rPr>
                        <w:t xml:space="preserve"> 2 straipsnio 2 dalyje nurodytais ryšiais susijusius ūkio subjektus)</w:t>
                      </w:r>
                      <w:r>
                        <w:rPr>
                          <w:color w:val="000000"/>
                          <w:szCs w:val="24"/>
                        </w:rPr>
                        <w:t xml:space="preserve"> suteikus paramą pagal šias taisykles nebus viršytos taisyklių 7 punkte nurodytos ribos</w:t>
                      </w:r>
                      <w:r>
                        <w:t xml:space="preserve">; </w:t>
                      </w:r>
                    </w:p>
                  </w:sdtContent>
                </w:sdt>
                <w:sdt>
                  <w:sdtPr>
                    <w:alias w:val="20.4 pp."/>
                    <w:tag w:val="part_20800c1648a94ede92c1f5e76569b31f"/>
                    <w:lock w:val="sdtLocked"/>
                    <w:richText/>
                  </w:sdtPr>
                  <w:sdtContent>
                    <w:p>
                      <w:pPr>
                        <w:widowControl w:val="0"/>
                        <w:overflowPunct w:val="0"/>
                        <w:ind w:firstLine="567"/>
                        <w:jc w:val="both"/>
                        <w:textAlignment w:val="baseline"/>
                        <w:rPr>
                          <w:color w:val="000000"/>
                          <w:szCs w:val="24"/>
                          <w:lang w:eastAsia="lt-LT"/>
                        </w:rPr>
                      </w:pPr>
                      <w:sdt>
                        <w:sdtPr>
                          <w:alias w:val="Numeris"/>
                          <w:tag w:val="nr_20800c1648a94ede92c1f5e76569b31f"/>
                          <w:lock w:val="sdtLocked"/>
                          <w:richText/>
                        </w:sdtPr>
                        <w:sdtContent>
                          <w:r>
                            <w:rPr>
                              <w:color w:val="000000"/>
                              <w:szCs w:val="24"/>
                              <w:lang w:eastAsia="lt-LT"/>
                            </w:rPr>
                            <w:t>20.4</w:t>
                          </w:r>
                        </w:sdtContent>
                      </w:sdt>
                      <w:r>
                        <w:rPr>
                          <w:color w:val="000000"/>
                          <w:szCs w:val="24"/>
                          <w:lang w:eastAsia="lt-LT"/>
                        </w:rPr>
                        <w:t>. per 5 darbo dienas nuo galutinio sprendimo priėmimo dienos informuoja pareiškėjus apie sprendimą dėl paramos neskyrimo, nurodydama sprendimo apskundimo tvarką;</w:t>
                      </w:r>
                      <w:r>
                        <w:t xml:space="preserve"> </w:t>
                      </w:r>
                    </w:p>
                  </w:sdtContent>
                </w:sdt>
                <w:sdt>
                  <w:sdtPr>
                    <w:alias w:val="20.5 pp."/>
                    <w:tag w:val="part_0ba9f5b285d341c1af9a7fc66255cbc8"/>
                    <w:lock w:val="sdtLocked"/>
                    <w:richText/>
                  </w:sdtPr>
                  <w:sdtContent>
                    <w:p>
                      <w:pPr>
                        <w:widowControl w:val="0"/>
                        <w:ind w:firstLine="567"/>
                        <w:jc w:val="both"/>
                        <w:rPr>
                          <w:color w:val="000000"/>
                          <w:spacing w:val="-2"/>
                          <w:szCs w:val="24"/>
                          <w:lang w:eastAsia="lt-LT"/>
                        </w:rPr>
                      </w:pPr>
                      <w:sdt>
                        <w:sdtPr>
                          <w:alias w:val="Numeris"/>
                          <w:tag w:val="nr_0ba9f5b285d341c1af9a7fc66255cbc8"/>
                          <w:lock w:val="sdtLocked"/>
                          <w:richText/>
                        </w:sdtPr>
                        <w:sdtContent>
                          <w:r>
                            <w:rPr>
                              <w:color w:val="000000"/>
                              <w:spacing w:val="-2"/>
                              <w:szCs w:val="24"/>
                              <w:lang w:eastAsia="lt-LT"/>
                            </w:rPr>
                            <w:t>20.5</w:t>
                          </w:r>
                        </w:sdtContent>
                      </w:sdt>
                      <w:r>
                        <w:rPr>
                          <w:color w:val="000000"/>
                          <w:spacing w:val="-2"/>
                          <w:szCs w:val="24"/>
                          <w:lang w:eastAsia="lt-LT"/>
                        </w:rPr>
                        <w:t xml:space="preserve">. </w:t>
                      </w:r>
                      <w:r>
                        <w:t>vadovaudamasi Registro nuostatais pateikia Suteiktos valstybės pagalbos ir nereikšmingos (</w:t>
                      </w:r>
                      <w:r>
                        <w:rPr>
                          <w:i/>
                          <w:iCs/>
                        </w:rPr>
                        <w:t>de minimis</w:t>
                      </w:r>
                      <w:r>
                        <w:t>) registrui informaciją apie paramos gavėjams skiriamą paramą. Suteiktos valstybės pagalbos ir nereikšmingos (</w:t>
                      </w:r>
                      <w:r>
                        <w:rPr>
                          <w:i/>
                          <w:iCs/>
                        </w:rPr>
                        <w:t>de minimis</w:t>
                      </w:r>
                      <w:r>
                        <w:t>) registrui pateikti duomenys apie suteiktą paramą tikslinami Registro nuostatuose nustatyta tvarka</w:t>
                      </w:r>
                      <w:r>
                        <w:rPr>
                          <w:color w:val="000000"/>
                          <w:spacing w:val="-2"/>
                          <w:szCs w:val="24"/>
                          <w:lang w:eastAsia="lt-LT"/>
                        </w:rPr>
                        <w:t>;</w:t>
                      </w:r>
                    </w:p>
                  </w:sdtContent>
                </w:sdt>
                <w:sdt>
                  <w:sdtPr>
                    <w:alias w:val="20.6 pp."/>
                    <w:tag w:val="part_3619a00d78334a8a8187b6b74ab0af30"/>
                    <w:lock w:val="sdtLocked"/>
                    <w:richText/>
                  </w:sdtPr>
                  <w:sdtContent>
                    <w:p>
                      <w:pPr>
                        <w:widowControl w:val="0"/>
                        <w:ind w:firstLine="567"/>
                        <w:jc w:val="both"/>
                      </w:pPr>
                      <w:sdt>
                        <w:sdtPr>
                          <w:alias w:val="Numeris"/>
                          <w:tag w:val="nr_3619a00d78334a8a8187b6b74ab0af30"/>
                          <w:lock w:val="sdtLocked"/>
                          <w:richText/>
                        </w:sdtPr>
                        <w:sdtContent>
                          <w:r>
                            <w:rPr>
                              <w:color w:val="000000"/>
                              <w:szCs w:val="24"/>
                              <w:lang w:eastAsia="lt-LT"/>
                            </w:rPr>
                            <w:t>20.6</w:t>
                          </w:r>
                        </w:sdtContent>
                      </w:sdt>
                      <w:r>
                        <w:rPr>
                          <w:color w:val="000000"/>
                          <w:szCs w:val="24"/>
                          <w:lang w:eastAsia="lt-LT"/>
                        </w:rPr>
                        <w:t>. užsako lėšas ir išmoka jas paramos gavėjams Bendrosiose administravimo taisyklėse numatyta tvarka;</w:t>
                      </w:r>
                    </w:p>
                  </w:sdtContent>
                </w:sdt>
                <w:sdt>
                  <w:sdtPr>
                    <w:alias w:val="20.7 pp."/>
                    <w:tag w:val="part_407ed18144754f1c8d92bdd41fd015c7"/>
                    <w:lock w:val="sdtLocked"/>
                    <w:richText/>
                  </w:sdtPr>
                  <w:sdtContent>
                    <w:p>
                      <w:pPr>
                        <w:widowControl w:val="0"/>
                        <w:overflowPunct w:val="0"/>
                        <w:ind w:firstLine="567"/>
                        <w:jc w:val="both"/>
                        <w:textAlignment w:val="baseline"/>
                      </w:pPr>
                      <w:sdt>
                        <w:sdtPr>
                          <w:alias w:val="Numeris"/>
                          <w:tag w:val="nr_407ed18144754f1c8d92bdd41fd015c7"/>
                          <w:lock w:val="sdtLocked"/>
                          <w:richText/>
                        </w:sdtPr>
                        <w:sdtContent>
                          <w:r>
                            <w:rPr>
                              <w:color w:val="000000"/>
                              <w:szCs w:val="24"/>
                              <w:lang w:eastAsia="lt-LT"/>
                            </w:rPr>
                            <w:t>20.7</w:t>
                          </w:r>
                        </w:sdtContent>
                      </w:sdt>
                      <w:r>
                        <w:rPr>
                          <w:color w:val="000000"/>
                          <w:szCs w:val="24"/>
                          <w:lang w:eastAsia="lt-LT"/>
                        </w:rPr>
                        <w:t>. grįžus mokėjimams iš banko dėl nekorektiškų duomenų, parama pareiškėjui mokama į banko sąskaitą, į kurią buvo mokami paskutiniai mokėjimai Agentūroje;</w:t>
                      </w:r>
                      <w:r>
                        <w:t xml:space="preserve"> </w:t>
                      </w:r>
                    </w:p>
                  </w:sdtContent>
                </w:sdt>
                <w:sdt>
                  <w:sdtPr>
                    <w:alias w:val="20.8 pp."/>
                    <w:tag w:val="part_1b0e99aa46fc4423808001d7e5a5478e"/>
                    <w:lock w:val="sdtLocked"/>
                    <w:richText/>
                  </w:sdtPr>
                  <w:sdtContent>
                    <w:p>
                      <w:pPr>
                        <w:widowControl w:val="0"/>
                        <w:overflowPunct w:val="0"/>
                        <w:ind w:firstLine="567"/>
                        <w:jc w:val="both"/>
                        <w:textAlignment w:val="baseline"/>
                        <w:rPr>
                          <w:color w:val="000000"/>
                          <w:szCs w:val="24"/>
                          <w:lang w:eastAsia="lt-LT"/>
                        </w:rPr>
                      </w:pPr>
                      <w:sdt>
                        <w:sdtPr>
                          <w:alias w:val="Numeris"/>
                          <w:tag w:val="nr_1b0e99aa46fc4423808001d7e5a5478e"/>
                          <w:lock w:val="sdtLocked"/>
                          <w:richText/>
                        </w:sdtPr>
                        <w:sdtContent>
                          <w:r>
                            <w:rPr>
                              <w:color w:val="000000"/>
                            </w:rPr>
                            <w:t>20.8</w:t>
                          </w:r>
                        </w:sdtContent>
                      </w:sdt>
                      <w:r>
                        <w:rPr>
                          <w:color w:val="000000"/>
                        </w:rPr>
                        <w:t>. iki kitų metų sausio 31 d. Agentūra pateikia Ministerijai ataskaitą apie paramos teikimą bičių laikytojams už papildomą bičių maitinimą (3 priedas).</w:t>
                      </w:r>
                    </w:p>
                  </w:sdtContent>
                </w:sdt>
              </w:sdtContent>
            </w:sdt>
            <w:sdt>
              <w:sdtPr>
                <w:alias w:val="21 p."/>
                <w:tag w:val="part_52003af9c45847a3b43e90c8b3826d76"/>
                <w:lock w:val="sdtLocked"/>
                <w:richText/>
              </w:sdtPr>
              <w:sdtContent>
                <w:p>
                  <w:pPr>
                    <w:widowControl w:val="0"/>
                    <w:ind w:firstLine="567"/>
                    <w:jc w:val="both"/>
                    <w:rPr>
                      <w:color w:val="000000"/>
                      <w:szCs w:val="24"/>
                      <w:lang w:eastAsia="lt-LT"/>
                    </w:rPr>
                  </w:pPr>
                  <w:sdt>
                    <w:sdtPr>
                      <w:alias w:val="Numeris"/>
                      <w:tag w:val="nr_52003af9c45847a3b43e90c8b3826d76"/>
                      <w:lock w:val="sdtLocked"/>
                      <w:richText/>
                    </w:sdtPr>
                    <w:sdtContent>
                      <w:r>
                        <w:rPr>
                          <w:color w:val="000000"/>
                          <w:szCs w:val="24"/>
                          <w:lang w:eastAsia="lt-LT"/>
                        </w:rPr>
                        <w:t>21</w:t>
                      </w:r>
                    </w:sdtContent>
                  </w:sdt>
                  <w:r>
                    <w:rPr>
                      <w:color w:val="000000"/>
                      <w:szCs w:val="24"/>
                      <w:lang w:eastAsia="lt-LT"/>
                    </w:rPr>
                    <w:t>. Priėmus sprendimą skirti paramą, pareiškėjas tampa paramos gavėju.</w:t>
                  </w:r>
                </w:p>
              </w:sdtContent>
            </w:sdt>
            <w:sdt>
              <w:sdtPr>
                <w:alias w:val="22 p."/>
                <w:tag w:val="part_f999c0ebe9844d1c9fa8700eb00f1ee1"/>
                <w:lock w:val="sdtLocked"/>
                <w:richText/>
              </w:sdtPr>
              <w:sdtContent>
                <w:p>
                  <w:pPr>
                    <w:widowControl w:val="0"/>
                    <w:overflowPunct w:val="0"/>
                    <w:ind w:firstLine="567"/>
                    <w:jc w:val="both"/>
                    <w:textAlignment w:val="baseline"/>
                    <w:rPr>
                      <w:szCs w:val="24"/>
                    </w:rPr>
                  </w:pPr>
                  <w:sdt>
                    <w:sdtPr>
                      <w:alias w:val="Numeris"/>
                      <w:tag w:val="nr_f999c0ebe9844d1c9fa8700eb00f1ee1"/>
                      <w:lock w:val="sdtLocked"/>
                      <w:richText/>
                    </w:sdtPr>
                    <w:sdtContent>
                      <w:r>
                        <w:rPr>
                          <w:szCs w:val="24"/>
                        </w:rPr>
                        <w:t>22</w:t>
                      </w:r>
                    </w:sdtContent>
                  </w:sdt>
                  <w:r>
                    <w:rPr>
                      <w:szCs w:val="24"/>
                    </w:rPr>
                    <w:t xml:space="preserve">. Paramos gavėjams už einamaisiais metais patirtas išlaidas skirta parama turi būti išmokama einamaisiais metais. Parama gali būti išmokama kitais metais tuo atveju, kai paramos už einamaisiais metais patirtas išlaidas neįmanoma išmokėti einamaisiais metais dėl paramos gavėjo pateiktų netikslių duomenų, susijusių su paramos už papildomą bičių maitinimą skyrimu ir (ar) išmokėjimu, negaliojančių paramos gavėjų asmens dokumentų ar paramos gavėjo mirties atveju dėl vykdomų administravimo procedūrų sprendimui dėl paramos skyrimo ir išmokėjimo paramos gavėjo įpėdiniui priimti. </w:t>
                  </w:r>
                  <w:r>
                    <w:t>Iki kitų metų rugsėjo 30 d.</w:t>
                  </w:r>
                  <w:r>
                    <w:rPr>
                      <w:color w:val="FF0000"/>
                    </w:rPr>
                    <w:t xml:space="preserve"> </w:t>
                  </w:r>
                  <w:r>
                    <w:t xml:space="preserve">neatsiradus paveldėtojų ar esant netiksliems paraiškos duomenims, dėl kurių negali būti išmokama parama, išmoka anuliuojama. </w:t>
                  </w:r>
                </w:p>
              </w:sdtContent>
            </w:sdt>
            <w:sdt>
              <w:sdtPr>
                <w:alias w:val="23 p."/>
                <w:tag w:val="part_d1ef97c55ed1440581ee37f27ccc4db5"/>
                <w:lock w:val="sdtLocked"/>
                <w:richText/>
              </w:sdtPr>
              <w:sdtContent>
                <w:p>
                  <w:pPr>
                    <w:suppressAutoHyphens/>
                    <w:ind w:firstLine="567"/>
                    <w:jc w:val="both"/>
                    <w:textAlignment w:val="center"/>
                    <w:rPr>
                      <w:color w:val="000000"/>
                      <w:szCs w:val="24"/>
                      <w:lang w:eastAsia="lt-LT"/>
                    </w:rPr>
                  </w:pPr>
                  <w:sdt>
                    <w:sdtPr>
                      <w:alias w:val="Numeris"/>
                      <w:tag w:val="nr_d1ef97c55ed1440581ee37f27ccc4db5"/>
                      <w:lock w:val="sdtLocked"/>
                      <w:richText/>
                    </w:sdtPr>
                    <w:sdtContent>
                      <w:r>
                        <w:rPr>
                          <w:color w:val="000000"/>
                          <w:szCs w:val="24"/>
                        </w:rPr>
                        <w:t>23</w:t>
                      </w:r>
                    </w:sdtContent>
                  </w:sdt>
                  <w:r>
                    <w:rPr>
                      <w:color w:val="000000"/>
                      <w:szCs w:val="24"/>
                    </w:rPr>
                    <w:t xml:space="preserve">. </w:t>
                  </w:r>
                  <w:r>
                    <w:rPr>
                      <w:color w:val="000000"/>
                      <w:szCs w:val="24"/>
                      <w:shd w:val="clear" w:color="auto" w:fill="FFFFFF"/>
                    </w:rPr>
                    <w:t>Privalomos grąžinti lėšos, kurios pagalbos gavėjams buvo neteisėtai išmokėtos ir (ar) panaudotos pažeidžiant teisės aktus, ir su minėtomis lėšomis susijusios palūkanos administruojamos vadovaujantis Lietuvos Respublikos konkurencijos įstatymo 55</w:t>
                  </w:r>
                  <w:r>
                    <w:rPr>
                      <w:color w:val="000000"/>
                      <w:szCs w:val="24"/>
                      <w:shd w:val="clear" w:color="auto" w:fill="FFFFFF"/>
                      <w:vertAlign w:val="superscript"/>
                    </w:rPr>
                    <w:t>1</w:t>
                  </w:r>
                  <w:r>
                    <w:rPr>
                      <w:color w:val="000000"/>
                      <w:szCs w:val="24"/>
                      <w:shd w:val="clear" w:color="auto" w:fill="FFFFFF"/>
                    </w:rPr>
                    <w:t> straipsniu ir (ar) Grąžintinų lėšų, susidariusių įgyvendinant nacionalinės paramos žemės ūkiui, maisto ūkiui, kaimo plėtrai ir žuvininkystei priemones, administravimo taisyklių, patvirtintų Lietuvos Respublikos žemės ūkio ministro 2011 m. spalio 13 d. įsakymu Nr. 3D-750 „Dėl Grąžintinų lėšų, susidariusių įgyvendinant nacionalinės paramos žemės ūkiui, maisto ūkiui, kaimo plėtrai ir žuvininkystei priemones, administravimo taisyklių patvirtinimo“, nustatyta tvarka</w:t>
                  </w:r>
                  <w:r>
                    <w:rPr>
                      <w:color w:val="000000"/>
                      <w:szCs w:val="24"/>
                    </w:rPr>
                    <w:t>.</w:t>
                  </w:r>
                  <w:r>
                    <w:t xml:space="preserve"> </w:t>
                  </w:r>
                </w:p>
              </w:sdtContent>
            </w:sdt>
            <w:sdt>
              <w:sdtPr>
                <w:alias w:val="24 p."/>
                <w:tag w:val="part_ed7ed2193986454db1c8403d2810f5d0"/>
                <w:lock w:val="sdtLocked"/>
                <w:richText/>
              </w:sdtPr>
              <w:sdtContent>
                <w:p>
                  <w:pPr>
                    <w:widowControl w:val="0"/>
                    <w:ind w:firstLine="567"/>
                    <w:jc w:val="both"/>
                    <w:rPr>
                      <w:color w:val="000000"/>
                      <w:szCs w:val="24"/>
                      <w:lang w:eastAsia="lt-LT"/>
                    </w:rPr>
                  </w:pPr>
                  <w:sdt>
                    <w:sdtPr>
                      <w:alias w:val="Numeris"/>
                      <w:tag w:val="nr_ed7ed2193986454db1c8403d2810f5d0"/>
                      <w:lock w:val="sdtLocked"/>
                      <w:richText/>
                    </w:sdtPr>
                    <w:sdtContent>
                      <w:r>
                        <w:rPr>
                          <w:color w:val="000000"/>
                          <w:szCs w:val="24"/>
                          <w:lang w:eastAsia="lt-LT"/>
                        </w:rPr>
                        <w:t>24</w:t>
                      </w:r>
                    </w:sdtContent>
                  </w:sdt>
                  <w:r>
                    <w:rPr>
                      <w:color w:val="000000"/>
                      <w:szCs w:val="24"/>
                      <w:lang w:eastAsia="lt-LT"/>
                    </w:rPr>
                    <w:t>. Agentūros ataskaitų teikimas Žemės ūkio ministerijai vykdomas Bendrųjų administravimo taisyklių nustatyta tvarka ir terminais.</w:t>
                  </w:r>
                </w:p>
                <w:p>
                  <w:pPr>
                    <w:widowControl w:val="0"/>
                    <w:ind w:firstLine="567"/>
                    <w:jc w:val="both"/>
                    <w:rPr>
                      <w:color w:val="000000"/>
                      <w:szCs w:val="24"/>
                      <w:lang w:eastAsia="lt-LT"/>
                    </w:rPr>
                  </w:pPr>
                </w:p>
              </w:sdtContent>
            </w:sdt>
          </w:sdtContent>
        </w:sdt>
        <w:sdt>
          <w:sdtPr>
            <w:alias w:val="skyrius"/>
            <w:tag w:val="part_a1325c4611e14c7bb7271d1c1ef09f43"/>
            <w:lock w:val="sdtLocked"/>
            <w:richText/>
          </w:sdtPr>
          <w:sdtContent>
            <w:p>
              <w:pPr>
                <w:widowControl w:val="0"/>
                <w:jc w:val="center"/>
                <w:rPr>
                  <w:b/>
                  <w:bCs/>
                  <w:caps/>
                  <w:color w:val="000000"/>
                  <w:szCs w:val="24"/>
                  <w:lang w:eastAsia="lt-LT"/>
                </w:rPr>
              </w:pPr>
              <w:sdt>
                <w:sdtPr>
                  <w:alias w:val="Numeris"/>
                  <w:tag w:val="nr_a1325c4611e14c7bb7271d1c1ef09f43"/>
                  <w:lock w:val="sdtLocked"/>
                  <w:richText/>
                </w:sdtPr>
                <w:sdtContent>
                  <w:r>
                    <w:rPr>
                      <w:b/>
                      <w:bCs/>
                      <w:caps/>
                      <w:color w:val="000000"/>
                      <w:szCs w:val="24"/>
                      <w:lang w:eastAsia="lt-LT"/>
                    </w:rPr>
                    <w:t>IV</w:t>
                  </w:r>
                </w:sdtContent>
              </w:sdt>
              <w:r>
                <w:rPr>
                  <w:b/>
                  <w:bCs/>
                  <w:caps/>
                  <w:color w:val="000000"/>
                  <w:szCs w:val="24"/>
                  <w:lang w:eastAsia="lt-LT"/>
                </w:rPr>
                <w:t xml:space="preserve"> SKYRIUS</w:t>
              </w:r>
            </w:p>
            <w:p>
              <w:pPr>
                <w:widowControl w:val="0"/>
                <w:ind w:firstLine="62"/>
                <w:jc w:val="center"/>
                <w:rPr>
                  <w:b/>
                  <w:bCs/>
                  <w:caps/>
                  <w:color w:val="000000"/>
                  <w:szCs w:val="24"/>
                  <w:lang w:eastAsia="lt-LT"/>
                </w:rPr>
              </w:pPr>
              <w:sdt>
                <w:sdtPr>
                  <w:alias w:val="Pavadinimas"/>
                  <w:tag w:val="title_a1325c4611e14c7bb7271d1c1ef09f43"/>
                  <w:lock w:val="sdtLocked"/>
                  <w:richText/>
                </w:sdtPr>
                <w:sdtContent>
                  <w:r>
                    <w:rPr>
                      <w:b/>
                      <w:bCs/>
                      <w:caps/>
                      <w:color w:val="000000"/>
                      <w:szCs w:val="24"/>
                      <w:lang w:eastAsia="lt-LT"/>
                    </w:rPr>
                    <w:t>ATSAKOMYBĖ ir SKUNDŲ NAGRINĖJIMAS</w:t>
                  </w:r>
                </w:sdtContent>
              </w:sdt>
            </w:p>
            <w:p>
              <w:pPr>
                <w:widowControl w:val="0"/>
                <w:ind w:firstLine="567"/>
                <w:jc w:val="both"/>
                <w:rPr>
                  <w:color w:val="000000"/>
                  <w:szCs w:val="24"/>
                  <w:lang w:eastAsia="lt-LT"/>
                </w:rPr>
              </w:pPr>
            </w:p>
            <w:sdt>
              <w:sdtPr>
                <w:alias w:val="25 p."/>
                <w:tag w:val="part_df771923a6994657b962d0f3adb126be"/>
                <w:lock w:val="sdtLocked"/>
                <w:richText/>
              </w:sdtPr>
              <w:sdtContent>
                <w:p>
                  <w:pPr>
                    <w:suppressAutoHyphens/>
                    <w:ind w:firstLine="567"/>
                    <w:jc w:val="both"/>
                    <w:textAlignment w:val="center"/>
                    <w:rPr>
                      <w:color w:val="000000"/>
                      <w:szCs w:val="24"/>
                      <w:lang w:eastAsia="lt-LT"/>
                    </w:rPr>
                  </w:pPr>
                  <w:sdt>
                    <w:sdtPr>
                      <w:alias w:val="Numeris"/>
                      <w:tag w:val="nr_df771923a6994657b962d0f3adb126be"/>
                      <w:lock w:val="sdtLocked"/>
                      <w:richText/>
                    </w:sdtPr>
                    <w:sdtContent>
                      <w:r>
                        <w:rPr>
                          <w:color w:val="000000"/>
                          <w:szCs w:val="24"/>
                        </w:rPr>
                        <w:t>25</w:t>
                      </w:r>
                    </w:sdtContent>
                  </w:sdt>
                  <w:r>
                    <w:rPr>
                      <w:color w:val="000000"/>
                      <w:szCs w:val="24"/>
                    </w:rPr>
                    <w:t xml:space="preserve">. Už pateiktos informacijos teisingumą atsako ją pateikę bičių laikytojai. </w:t>
                  </w:r>
                </w:p>
              </w:sdtContent>
            </w:sdt>
            <w:sdt>
              <w:sdtPr>
                <w:alias w:val="26 p."/>
                <w:tag w:val="part_b549f5300b0240e3bea8b9607f5d73a5"/>
                <w:lock w:val="sdtLocked"/>
                <w:richText/>
              </w:sdtPr>
              <w:sdtContent>
                <w:p>
                  <w:pPr>
                    <w:widowControl w:val="0"/>
                    <w:overflowPunct w:val="0"/>
                    <w:ind w:firstLine="567"/>
                    <w:jc w:val="both"/>
                    <w:textAlignment w:val="baseline"/>
                    <w:rPr>
                      <w:color w:val="000000"/>
                      <w:szCs w:val="24"/>
                      <w:lang w:eastAsia="lt-LT"/>
                    </w:rPr>
                  </w:pPr>
                  <w:sdt>
                    <w:sdtPr>
                      <w:alias w:val="Numeris"/>
                      <w:tag w:val="nr_b549f5300b0240e3bea8b9607f5d73a5"/>
                      <w:lock w:val="sdtLocked"/>
                      <w:richText/>
                    </w:sdtPr>
                    <w:sdtContent>
                      <w:r>
                        <w:rPr>
                          <w:color w:val="000000"/>
                          <w:szCs w:val="24"/>
                          <w:lang w:eastAsia="lt-LT"/>
                        </w:rPr>
                        <w:t>26</w:t>
                      </w:r>
                    </w:sdtContent>
                  </w:sdt>
                  <w:r>
                    <w:rPr>
                      <w:color w:val="000000"/>
                      <w:szCs w:val="24"/>
                      <w:lang w:eastAsia="lt-LT"/>
                    </w:rPr>
                    <w:t>. Už paramos apskaičiavimą kiekvienam bičių laikytojui atsako ŽŪDC.</w:t>
                  </w:r>
                  <w:r>
                    <w:t xml:space="preserve"> </w:t>
                  </w:r>
                </w:p>
              </w:sdtContent>
            </w:sdt>
            <w:sdt>
              <w:sdtPr>
                <w:alias w:val="27 p."/>
                <w:tag w:val="part_a92ff8d9e346402da4ee49679788cffc"/>
                <w:lock w:val="sdtLocked"/>
                <w:richText/>
              </w:sdtPr>
              <w:sdtContent>
                <w:p>
                  <w:pPr>
                    <w:widowControl w:val="0"/>
                    <w:ind w:firstLine="567"/>
                    <w:jc w:val="both"/>
                    <w:rPr>
                      <w:color w:val="000000"/>
                      <w:szCs w:val="24"/>
                      <w:lang w:eastAsia="lt-LT"/>
                    </w:rPr>
                  </w:pPr>
                  <w:sdt>
                    <w:sdtPr>
                      <w:alias w:val="Numeris"/>
                      <w:tag w:val="nr_a92ff8d9e346402da4ee49679788cffc"/>
                      <w:lock w:val="sdtLocked"/>
                      <w:richText/>
                    </w:sdtPr>
                    <w:sdtContent>
                      <w:r>
                        <w:rPr>
                          <w:color w:val="000000"/>
                          <w:szCs w:val="24"/>
                          <w:lang w:eastAsia="lt-LT"/>
                        </w:rPr>
                        <w:t>27</w:t>
                      </w:r>
                    </w:sdtContent>
                  </w:sdt>
                  <w:r>
                    <w:rPr>
                      <w:color w:val="000000"/>
                      <w:szCs w:val="24"/>
                      <w:lang w:eastAsia="lt-LT"/>
                    </w:rPr>
                    <w:t>. Už galutinį sprendimą dėl paramos skyrimo, neskyrimo ar jos sumažinimo, lėšų išmokėjimą paramos gavėjams ir jų apskaitą atsako Agentūra.</w:t>
                  </w:r>
                </w:p>
              </w:sdtContent>
            </w:sdt>
            <w:sdt>
              <w:sdtPr>
                <w:alias w:val="28 p."/>
                <w:tag w:val="part_f6e8863f3a5843febbe1570eded7cd71"/>
                <w:lock w:val="sdtLocked"/>
                <w:richText/>
              </w:sdtPr>
              <w:sdtContent>
                <w:p>
                  <w:pPr>
                    <w:widowControl w:val="0"/>
                    <w:ind w:firstLine="567"/>
                    <w:jc w:val="both"/>
                    <w:rPr>
                      <w:color w:val="000000"/>
                      <w:szCs w:val="24"/>
                      <w:lang w:eastAsia="lt-LT"/>
                    </w:rPr>
                  </w:pPr>
                  <w:sdt>
                    <w:sdtPr>
                      <w:alias w:val="Numeris"/>
                      <w:tag w:val="nr_f6e8863f3a5843febbe1570eded7cd71"/>
                      <w:lock w:val="sdtLocked"/>
                      <w:richText/>
                    </w:sdtPr>
                    <w:sdtContent>
                      <w:r>
                        <w:rPr>
                          <w:color w:val="000000"/>
                          <w:szCs w:val="24"/>
                          <w:lang w:eastAsia="lt-LT"/>
                        </w:rPr>
                        <w:t>28</w:t>
                      </w:r>
                    </w:sdtContent>
                  </w:sdt>
                  <w:r>
                    <w:rPr>
                      <w:color w:val="000000"/>
                      <w:szCs w:val="24"/>
                      <w:lang w:eastAsia="lt-LT"/>
                    </w:rPr>
                    <w:t>. Bičių laikytojai, gavę paramą neteisėtai, arba asmenys, prisidėję prie neteisėto paramos gavimo (sąmoningai patvirtino klaidingus duomenis), atsako teisės aktų nustatyta tvarka, be to, bičių laikytojai einamaisiais metais netenka teisės į paramą.</w:t>
                  </w:r>
                </w:p>
              </w:sdtContent>
            </w:sdt>
            <w:sdt>
              <w:sdtPr>
                <w:alias w:val="29 p."/>
                <w:tag w:val="part_4f822bc61ee04f769da78d14c6df9ad0"/>
                <w:lock w:val="sdtLocked"/>
                <w:richText/>
              </w:sdtPr>
              <w:sdtContent>
                <w:p>
                  <w:pPr>
                    <w:widowControl w:val="0"/>
                    <w:ind w:firstLine="567"/>
                    <w:jc w:val="both"/>
                    <w:rPr>
                      <w:color w:val="000000"/>
                      <w:szCs w:val="24"/>
                      <w:lang w:eastAsia="lt-LT"/>
                    </w:rPr>
                  </w:pPr>
                  <w:sdt>
                    <w:sdtPr>
                      <w:alias w:val="Numeris"/>
                      <w:tag w:val="nr_4f822bc61ee04f769da78d14c6df9ad0"/>
                      <w:lock w:val="sdtLocked"/>
                      <w:richText/>
                    </w:sdtPr>
                    <w:sdtContent>
                      <w:r>
                        <w:rPr>
                          <w:rFonts w:eastAsia="Calibri"/>
                        </w:rPr>
                        <w:t>29</w:t>
                      </w:r>
                    </w:sdtContent>
                  </w:sdt>
                  <w:r>
                    <w:rPr>
                      <w:rFonts w:eastAsia="Calibri"/>
                    </w:rPr>
                    <w:t>. Paramos gavėjai,</w:t>
                  </w:r>
                  <w:r>
                    <w:rPr>
                      <w:rFonts w:eastAsia="Calibri"/>
                      <w:spacing w:val="-3"/>
                    </w:rPr>
                    <w:t xml:space="preserve"> </w:t>
                  </w:r>
                  <w:r>
                    <w:rPr>
                      <w:rFonts w:eastAsia="Calibri"/>
                    </w:rPr>
                    <w:t xml:space="preserve">kuriems ne dėl jų kaltės, o </w:t>
                  </w:r>
                  <w:r>
                    <w:rPr>
                      <w:rFonts w:eastAsia="Calibri"/>
                      <w:bCs/>
                    </w:rPr>
                    <w:t>dėl objektyvių priežasčių (trečiosios šalies klaidingų veiksmų (ar neveikimo</w:t>
                  </w:r>
                  <w:r>
                    <w:rPr>
                      <w:rFonts w:eastAsia="Calibri"/>
                    </w:rPr>
                    <w:t>),</w:t>
                  </w:r>
                  <w:r>
                    <w:rPr>
                      <w:rFonts w:eastAsia="Calibri"/>
                      <w:bCs/>
                    </w:rPr>
                    <w:t xml:space="preserve"> techninių </w:t>
                  </w:r>
                  <w:r>
                    <w:rPr>
                      <w:rFonts w:eastAsia="Calibri"/>
                    </w:rPr>
                    <w:t>klaidų pildant paramos paraiškas ir pan.)</w:t>
                  </w:r>
                  <w:r>
                    <w:rPr>
                      <w:rFonts w:eastAsia="Calibri"/>
                      <w:bCs/>
                    </w:rPr>
                    <w:t xml:space="preserve"> </w:t>
                  </w:r>
                  <w:r>
                    <w:rPr>
                      <w:rFonts w:eastAsia="Calibri"/>
                    </w:rPr>
                    <w:t>nebuvo skirta parama papildomam bičių maitinimui, gali kreiptis į ŽŪDC su prašymais iki einamųjų metų gruodžio 31 d. ŽŪDC ne vėliau kaip iki kitų metų (už einamųjų metų išmoką) sausio 31 d. papildomai įtraukia į Agentūrai rengiamas suvestines, kurias elektroninėmis ryšio priemonėmis perduoda Agentūrai.</w:t>
                  </w:r>
                </w:p>
              </w:sdtContent>
            </w:sdt>
            <w:sdt>
              <w:sdtPr>
                <w:alias w:val="30 p."/>
                <w:tag w:val="part_1c387806ceaf4ec5be27cd6418a55907"/>
                <w:lock w:val="sdtLocked"/>
                <w:richText/>
              </w:sdtPr>
              <w:sdtContent>
                <w:p>
                  <w:pPr>
                    <w:widowControl w:val="0"/>
                    <w:ind w:firstLine="567"/>
                    <w:jc w:val="both"/>
                    <w:rPr>
                      <w:color w:val="000000"/>
                      <w:szCs w:val="24"/>
                      <w:lang w:eastAsia="lt-LT"/>
                    </w:rPr>
                  </w:pPr>
                  <w:sdt>
                    <w:sdtPr>
                      <w:alias w:val="Numeris"/>
                      <w:tag w:val="nr_1c387806ceaf4ec5be27cd6418a55907"/>
                      <w:lock w:val="sdtLocked"/>
                      <w:richText/>
                    </w:sdtPr>
                    <w:sdtContent>
                      <w:r>
                        <w:rPr>
                          <w:color w:val="000000"/>
                          <w:szCs w:val="24"/>
                          <w:lang w:eastAsia="lt-LT"/>
                        </w:rPr>
                        <w:t>30</w:t>
                      </w:r>
                    </w:sdtContent>
                  </w:sdt>
                  <w:r>
                    <w:rPr>
                      <w:color w:val="000000"/>
                      <w:szCs w:val="24"/>
                      <w:lang w:eastAsia="lt-LT"/>
                    </w:rPr>
                    <w:t>. Asmenys, pažeidę šių taisyklių reikalavimus, atsako teisės aktų nustatyta tvarka.</w:t>
                  </w:r>
                </w:p>
              </w:sdtContent>
            </w:sdt>
            <w:sdt>
              <w:sdtPr>
                <w:alias w:val="31 p."/>
                <w:tag w:val="part_3a2f937f7e23467f8b09992a714abc7b"/>
                <w:lock w:val="sdtLocked"/>
                <w:richText/>
              </w:sdtPr>
              <w:sdtContent>
                <w:p>
                  <w:pPr>
                    <w:widowControl w:val="0"/>
                    <w:ind w:firstLine="567"/>
                    <w:jc w:val="both"/>
                    <w:rPr>
                      <w:color w:val="000000"/>
                      <w:szCs w:val="24"/>
                      <w:lang w:eastAsia="lt-LT"/>
                    </w:rPr>
                  </w:pPr>
                  <w:sdt>
                    <w:sdtPr>
                      <w:alias w:val="Numeris"/>
                      <w:tag w:val="nr_3a2f937f7e23467f8b09992a714abc7b"/>
                      <w:lock w:val="sdtLocked"/>
                      <w:richText/>
                    </w:sdtPr>
                    <w:sdtContent>
                      <w:r>
                        <w:rPr>
                          <w:color w:val="000000"/>
                          <w:szCs w:val="24"/>
                          <w:lang w:eastAsia="lt-LT"/>
                        </w:rPr>
                        <w:t>31</w:t>
                      </w:r>
                    </w:sdtContent>
                  </w:sdt>
                  <w:r>
                    <w:rPr>
                      <w:color w:val="000000"/>
                      <w:szCs w:val="24"/>
                      <w:lang w:eastAsia="lt-LT"/>
                    </w:rPr>
                    <w:t>. Agentūros konkrečių valstybės tarnautojų ir (ar) darbuotojų veiksmus (neveikimą) bičių laikytojai gali apskųsti Agentūrai raštu per 15 darbo dienų nuo tos dienos, kai jie sužinojo ar turėjo sužinoti apie tokius veiksmus (neveikimą).</w:t>
                  </w:r>
                </w:p>
              </w:sdtContent>
            </w:sdt>
            <w:sdt>
              <w:sdtPr>
                <w:alias w:val="32 p."/>
                <w:tag w:val="part_fe8ae85f9361495aa37381c6fc3e5ac4"/>
                <w:lock w:val="sdtLocked"/>
                <w:richText/>
              </w:sdtPr>
              <w:sdtContent>
                <w:p>
                  <w:pPr>
                    <w:widowControl w:val="0"/>
                    <w:overflowPunct w:val="0"/>
                    <w:ind w:firstLine="567"/>
                    <w:jc w:val="both"/>
                    <w:textAlignment w:val="baseline"/>
                    <w:rPr>
                      <w:color w:val="000000"/>
                      <w:szCs w:val="24"/>
                      <w:lang w:eastAsia="lt-LT"/>
                    </w:rPr>
                  </w:pPr>
                  <w:sdt>
                    <w:sdtPr>
                      <w:alias w:val="Numeris"/>
                      <w:tag w:val="nr_fe8ae85f9361495aa37381c6fc3e5ac4"/>
                      <w:lock w:val="sdtLocked"/>
                      <w:richText/>
                    </w:sdtPr>
                    <w:sdtContent>
                      <w:r>
                        <w:rPr>
                          <w:color w:val="000000"/>
                          <w:szCs w:val="24"/>
                          <w:lang w:eastAsia="lt-LT"/>
                        </w:rPr>
                        <w:t>32</w:t>
                      </w:r>
                    </w:sdtContent>
                  </w:sdt>
                  <w:r>
                    <w:rPr>
                      <w:color w:val="000000"/>
                      <w:szCs w:val="24"/>
                      <w:lang w:eastAsia="lt-LT"/>
                    </w:rPr>
                    <w:t>. ŽŪDC konkrečių darbuotojų veiksmus (neveikimą) bičių laikytojai gali apskųsti ŽŪDC generaliniam direktoriui raštu per 15 darbo dienų nuo tos dienos, kai jie sužinojo ar turėjo sužinoti apie tokius veiksmus (neveikimą).</w:t>
                  </w:r>
                  <w:r>
                    <w:t xml:space="preserve"> </w:t>
                  </w:r>
                </w:p>
              </w:sdtContent>
            </w:sdt>
            <w:sdt>
              <w:sdtPr>
                <w:alias w:val="33 p."/>
                <w:tag w:val="part_44ae64ddd29c408cb506feb3e234444d"/>
                <w:lock w:val="sdtLocked"/>
                <w:richText/>
              </w:sdtPr>
              <w:sdtContent>
                <w:p>
                  <w:pPr>
                    <w:widowControl w:val="0"/>
                    <w:overflowPunct w:val="0"/>
                    <w:ind w:firstLine="567"/>
                    <w:jc w:val="both"/>
                    <w:textAlignment w:val="baseline"/>
                  </w:pPr>
                  <w:sdt>
                    <w:sdtPr>
                      <w:alias w:val="Numeris"/>
                      <w:tag w:val="nr_44ae64ddd29c408cb506feb3e234444d"/>
                      <w:lock w:val="sdtLocked"/>
                      <w:richText/>
                    </w:sdtPr>
                    <w:sdtContent>
                      <w:r>
                        <w:rPr>
                          <w:color w:val="000000"/>
                          <w:szCs w:val="24"/>
                          <w:lang w:eastAsia="lt-LT"/>
                        </w:rPr>
                        <w:t>33</w:t>
                      </w:r>
                    </w:sdtContent>
                  </w:sdt>
                  <w:r>
                    <w:rPr>
                      <w:color w:val="000000"/>
                      <w:szCs w:val="24"/>
                      <w:lang w:eastAsia="lt-LT"/>
                    </w:rPr>
                    <w:t xml:space="preserve">. Agentūros ir ŽŪDC  sprendimai arba veiksmai (neveikimas) gali būti skundžiami.</w:t>
                  </w:r>
                  <w:r>
                    <w:t xml:space="preserve"> </w:t>
                  </w:r>
                </w:p>
                <w:p>
                  <w:pPr>
                    <w:widowControl w:val="0"/>
                    <w:overflowPunct w:val="0"/>
                    <w:ind w:firstLine="567"/>
                    <w:jc w:val="both"/>
                    <w:textAlignment w:val="baseline"/>
                  </w:pPr>
                </w:p>
              </w:sdtContent>
            </w:sdt>
          </w:sdtContent>
        </w:sdt>
        <w:sdt>
          <w:sdtPr>
            <w:alias w:val="skyrius"/>
            <w:tag w:val="part_a7379c8ce62d496bb91049b6ab801589"/>
            <w:lock w:val="sdtLocked"/>
            <w:richText/>
          </w:sdtPr>
          <w:sdtContent>
            <w:p>
              <w:pPr>
                <w:jc w:val="center"/>
                <w:rPr>
                  <w:b/>
                  <w:bCs/>
                </w:rPr>
              </w:pPr>
              <w:sdt>
                <w:sdtPr>
                  <w:alias w:val="Numeris"/>
                  <w:tag w:val="nr_a7379c8ce62d496bb91049b6ab801589"/>
                  <w:lock w:val="sdtLocked"/>
                  <w:richText/>
                </w:sdtPr>
                <w:sdtContent>
                  <w:r>
                    <w:rPr>
                      <w:b/>
                      <w:bCs/>
                    </w:rPr>
                    <w:t>V</w:t>
                  </w:r>
                </w:sdtContent>
              </w:sdt>
              <w:r>
                <w:rPr>
                  <w:b/>
                  <w:bCs/>
                </w:rPr>
                <w:t xml:space="preserve"> SKYRIUS</w:t>
              </w:r>
            </w:p>
            <w:p>
              <w:pPr>
                <w:jc w:val="center"/>
                <w:rPr>
                  <w:b/>
                  <w:bCs/>
                </w:rPr>
              </w:pPr>
              <w:sdt>
                <w:sdtPr>
                  <w:alias w:val="Pavadinimas"/>
                  <w:tag w:val="title_a7379c8ce62d496bb91049b6ab801589"/>
                  <w:lock w:val="sdtLocked"/>
                  <w:richText/>
                </w:sdtPr>
                <w:sdtContent>
                  <w:r>
                    <w:rPr>
                      <w:b/>
                      <w:bCs/>
                    </w:rPr>
                    <w:t>BAIGIAMOSIOS NUOSTATOS</w:t>
                  </w:r>
                </w:sdtContent>
              </w:sdt>
            </w:p>
            <w:p>
              <w:pPr>
                <w:jc w:val="center"/>
              </w:pPr>
            </w:p>
            <w:sdt>
              <w:sdtPr>
                <w:alias w:val="34 p."/>
                <w:tag w:val="part_60938cc5560c4eea9221a8e30d48e2cd"/>
                <w:lock w:val="sdtLocked"/>
                <w:richText/>
              </w:sdtPr>
              <w:sdtContent>
                <w:p>
                  <w:pPr>
                    <w:ind w:firstLine="567"/>
                    <w:jc w:val="both"/>
                    <w:rPr>
                      <w:color w:val="000000"/>
                      <w:szCs w:val="24"/>
                    </w:rPr>
                  </w:pPr>
                  <w:sdt>
                    <w:sdtPr>
                      <w:alias w:val="Numeris"/>
                      <w:tag w:val="nr_60938cc5560c4eea9221a8e30d48e2cd"/>
                      <w:lock w:val="sdtLocked"/>
                      <w:richText/>
                    </w:sdtPr>
                    <w:sdtContent>
                      <w:r>
                        <w:rPr>
                          <w:color w:val="000000"/>
                          <w:szCs w:val="24"/>
                        </w:rPr>
                        <w:t>34</w:t>
                      </w:r>
                    </w:sdtContent>
                  </w:sdt>
                  <w:r>
                    <w:rPr>
                      <w:color w:val="000000"/>
                      <w:szCs w:val="24"/>
                    </w:rPr>
                    <w:t>. Savivaldybės, Agentūra, ŽŪDC privalo ne trumpiau kaip 10 metų nuo paskutinės paramos suteikimo pagal taisykles dienos saugoti visą su paramos teikimu susijusią informaciją ir dokumentus.</w:t>
                  </w:r>
                </w:p>
              </w:sdtContent>
            </w:sdt>
            <w:sdt>
              <w:sdtPr>
                <w:alias w:val="35 p."/>
                <w:tag w:val="part_cae09baf68a64ffca76a5700e83304e4"/>
                <w:lock w:val="sdtLocked"/>
                <w:richText/>
              </w:sdtPr>
              <w:sdtContent>
                <w:p>
                  <w:pPr>
                    <w:ind w:firstLine="567"/>
                    <w:jc w:val="both"/>
                  </w:pPr>
                  <w:sdt>
                    <w:sdtPr>
                      <w:alias w:val="Numeris"/>
                      <w:tag w:val="nr_cae09baf68a64ffca76a5700e83304e4"/>
                      <w:lock w:val="sdtLocked"/>
                      <w:richText/>
                    </w:sdtPr>
                    <w:sdtContent>
                      <w:r>
                        <w:t>35</w:t>
                      </w:r>
                    </w:sdtContent>
                  </w:sdt>
                  <w:r>
                    <w:t>. Paramos gavėjas įsipareigoja 10 metų nuo paramos išmokėjimo saugoti visus su paramos gavimu susijusius dokumentus.</w:t>
                  </w:r>
                </w:p>
              </w:sdtContent>
            </w:sdt>
            <w:sdt>
              <w:sdtPr>
                <w:alias w:val="36 p."/>
                <w:tag w:val="part_6b62054ae7f145b3998b1dfd47c3a1bd"/>
                <w:lock w:val="sdtLocked"/>
                <w:richText/>
              </w:sdtPr>
              <w:sdtContent>
                <w:p>
                  <w:pPr>
                    <w:ind w:firstLine="567"/>
                    <w:jc w:val="both"/>
                  </w:pPr>
                  <w:sdt>
                    <w:sdtPr>
                      <w:alias w:val="Numeris"/>
                      <w:tag w:val="nr_6b62054ae7f145b3998b1dfd47c3a1bd"/>
                      <w:lock w:val="sdtLocked"/>
                      <w:richText/>
                    </w:sdtPr>
                    <w:sdtContent>
                      <w:r>
                        <w:t>36</w:t>
                      </w:r>
                    </w:sdtContent>
                  </w:sdt>
                  <w:r>
                    <w:t xml:space="preserve">. Pasibaigus Reglamento </w:t>
                  </w:r>
                  <w:r>
                    <w:rPr>
                      <w:color w:val="0000FF"/>
                      <w:u w:val="single"/>
                    </w:rPr>
                    <w:t>(ES) Nr. 1408/2013</w:t>
                  </w:r>
                  <w:r>
                    <w:t xml:space="preserve"> galiojimui, taisyklės bus suderintos su ES teisės aktais, reglamentuojančiais nereikšmingos (</w:t>
                  </w:r>
                  <w:r>
                    <w:rPr>
                      <w:i/>
                      <w:iCs/>
                      <w:lang w:val="en-US"/>
                    </w:rPr>
                    <w:t>de minimis</w:t>
                  </w:r>
                  <w:r>
                    <w:t>) pagalbos teikimą.</w:t>
                  </w:r>
                </w:p>
                <w:p>
                  <w:pPr>
                    <w:widowControl w:val="0"/>
                    <w:overflowPunct w:val="0"/>
                    <w:ind w:firstLine="567"/>
                    <w:jc w:val="both"/>
                    <w:textAlignment w:val="baseline"/>
                    <w:rPr>
                      <w:color w:val="000000"/>
                      <w:szCs w:val="24"/>
                      <w:lang w:eastAsia="lt-LT"/>
                    </w:rPr>
                  </w:pPr>
                </w:p>
              </w:sdtContent>
            </w:sdt>
          </w:sdtContent>
        </w:sdt>
        <w:sdt>
          <w:sdtPr>
            <w:alias w:val="pabaiga"/>
            <w:tag w:val="part_e4040f5a632948708262e719a16031d9"/>
            <w:lock w:val="sdtLocked"/>
            <w:richText/>
          </w:sdtPr>
          <w:sdtContent>
            <w:p>
              <w:pPr>
                <w:widowControl w:val="0"/>
                <w:jc w:val="center"/>
                <w:rPr>
                  <w:rFonts w:hAnsi="Calibri"/>
                </w:rPr>
              </w:pPr>
              <w:r>
                <w:rPr>
                  <w:color w:val="000000"/>
                  <w:szCs w:val="24"/>
                  <w:lang w:eastAsia="lt-LT"/>
                </w:rPr>
                <w:t>_________________</w:t>
              </w:r>
            </w:p>
            <w:p>
              <w:pPr>
                <w:ind w:left="6521"/>
                <w:rPr>
                  <w:rFonts w:hAnsi="Calibri"/>
                </w:rPr>
              </w:pPr>
            </w:p>
          </w:sdtContent>
        </w:sdt>
      </w:sdtContent>
    </w:sdt>
    <w:sdt>
      <w:sdtPr>
        <w:alias w:val="1 pr."/>
        <w:tag w:val="part_563df9c8edf54fe3b62f778c900f0d73"/>
        <w:lock w:val="sdtLocked"/>
        <w:richText/>
      </w:sdtPr>
      <w:sdtContent>
        <w:p>
          <w:pPr>
            <w:ind w:left="6521"/>
            <w:sectPr>
              <w:headerReference w:type="even" r:id="rId32"/>
              <w:headerReference w:type="default" r:id="rId33"/>
              <w:footerReference w:type="even" r:id="rId34"/>
              <w:footerReference w:type="default" r:id="rId35"/>
              <w:headerReference w:type="first" r:id="rId36"/>
              <w:footerReference w:type="first" r:id="rId37"/>
              <w:pgSz w:w="11907" w:h="16840" w:code="9"/>
              <w:pgMar w:top="1134" w:right="1134" w:bottom="1134" w:left="1701" w:header="709" w:footer="709" w:gutter="0"/>
              <w:pgNumType w:start="1"/>
              <w:cols w:space="1296"/>
              <w:titlePg/>
              <w:docGrid w:linePitch="326"/>
            </w:sectPr>
          </w:pPr>
        </w:p>
        <w:p>
          <w:pPr>
            <w:ind w:firstLine="6237"/>
            <w:rPr>
              <w:sz w:val="20"/>
              <w:lang w:eastAsia="lt-LT"/>
            </w:rPr>
          </w:pPr>
          <w:r>
            <w:rPr>
              <w:sz w:val="20"/>
              <w:lang w:eastAsia="lt-LT"/>
            </w:rPr>
            <w:t xml:space="preserve">Paramos teikimo bičių </w:t>
          </w:r>
        </w:p>
        <w:p>
          <w:pPr>
            <w:ind w:firstLine="6237"/>
            <w:rPr>
              <w:sz w:val="20"/>
              <w:lang w:eastAsia="lt-LT"/>
            </w:rPr>
          </w:pPr>
          <w:r>
            <w:rPr>
              <w:sz w:val="20"/>
              <w:lang w:eastAsia="lt-LT"/>
            </w:rPr>
            <w:t xml:space="preserve">laikytojams už papildomą bičių </w:t>
          </w:r>
        </w:p>
        <w:p>
          <w:pPr>
            <w:ind w:firstLine="6237"/>
            <w:rPr>
              <w:sz w:val="20"/>
              <w:lang w:eastAsia="lt-LT"/>
            </w:rPr>
          </w:pPr>
          <w:r>
            <w:rPr>
              <w:sz w:val="20"/>
              <w:lang w:eastAsia="lt-LT"/>
            </w:rPr>
            <w:t>maitinimą taisyklių</w:t>
          </w:r>
        </w:p>
        <w:p>
          <w:pPr>
            <w:ind w:firstLine="6237"/>
            <w:rPr>
              <w:sz w:val="20"/>
              <w:lang w:eastAsia="lt-LT"/>
            </w:rPr>
          </w:pPr>
          <w:sdt>
            <w:sdtPr>
              <w:alias w:val="Numeris"/>
              <w:tag w:val="nr_563df9c8edf54fe3b62f778c900f0d73"/>
              <w:lock w:val="sdtLocked"/>
              <w:richText/>
            </w:sdtPr>
            <w:sdtContent>
              <w:r>
                <w:rPr>
                  <w:sz w:val="20"/>
                  <w:lang w:eastAsia="lt-LT"/>
                </w:rPr>
                <w:t>1</w:t>
              </w:r>
            </w:sdtContent>
          </w:sdt>
          <w:r>
            <w:rPr>
              <w:sz w:val="20"/>
              <w:lang w:eastAsia="lt-LT"/>
            </w:rPr>
            <w:t xml:space="preserve"> priedas</w:t>
          </w:r>
        </w:p>
        <w:p>
          <w:pPr>
            <w:rPr>
              <w:sz w:val="8"/>
              <w:szCs w:val="8"/>
            </w:rPr>
          </w:pPr>
        </w:p>
        <w:p>
          <w:pPr>
            <w:jc w:val="center"/>
            <w:rPr>
              <w:b/>
              <w:bCs/>
              <w:sz w:val="20"/>
              <w:lang w:eastAsia="lt-LT"/>
            </w:rPr>
          </w:pPr>
          <w:r>
            <w:rPr>
              <w:b/>
              <w:bCs/>
              <w:sz w:val="20"/>
              <w:lang w:eastAsia="lt-LT"/>
            </w:rPr>
            <w:t>(Paraiškos gauti paramą už papildomą bičių maitinimą forma)</w:t>
          </w:r>
        </w:p>
        <w:p>
          <w:pPr>
            <w:ind w:firstLine="1292"/>
            <w:rPr>
              <w:b/>
              <w:bCs/>
              <w:strike/>
              <w:szCs w:val="24"/>
              <w:lang w:eastAsia="lt-LT"/>
            </w:rPr>
          </w:pPr>
          <w:r>
            <w:rPr>
              <w:b/>
              <w:bCs/>
              <w:szCs w:val="24"/>
              <w:lang w:eastAsia="lt-LT"/>
            </w:rPr>
            <w:t>Nacionalinei mokėjimo agentūrai prie Žemės ūkio ministerijos</w:t>
          </w:r>
        </w:p>
        <w:p>
          <w:pPr>
            <w:jc w:val="center"/>
            <w:rPr>
              <w:b/>
              <w:bCs/>
              <w:szCs w:val="24"/>
              <w:lang w:eastAsia="lt-LT"/>
            </w:rPr>
          </w:pPr>
        </w:p>
        <w:p>
          <w:pPr>
            <w:jc w:val="center"/>
            <w:rPr>
              <w:b/>
              <w:bCs/>
              <w:szCs w:val="24"/>
              <w:lang w:eastAsia="lt-LT"/>
            </w:rPr>
          </w:pPr>
          <w:r>
            <w:rPr>
              <w:b/>
              <w:bCs/>
              <w:szCs w:val="24"/>
              <w:lang w:eastAsia="lt-LT"/>
            </w:rPr>
            <w:t xml:space="preserve">PARAIŠKA GAUTI PARAMĄ UŽ PAPILDOMĄ BIČIŲ MAITINIMĄ </w:t>
          </w:r>
        </w:p>
        <w:p>
          <w:pPr>
            <w:jc w:val="center"/>
            <w:rPr>
              <w:b/>
              <w:bCs/>
              <w:szCs w:val="24"/>
              <w:lang w:eastAsia="lt-LT"/>
            </w:rPr>
          </w:pPr>
          <w:r>
            <w:rPr>
              <w:b/>
              <w:bCs/>
              <w:szCs w:val="24"/>
              <w:lang w:eastAsia="lt-LT"/>
            </w:rPr>
            <w:t>_____________</w:t>
          </w:r>
        </w:p>
        <w:p>
          <w:pPr>
            <w:jc w:val="center"/>
            <w:rPr>
              <w:b/>
              <w:bCs/>
              <w:sz w:val="20"/>
              <w:lang w:eastAsia="lt-LT"/>
            </w:rPr>
          </w:pPr>
          <w:r>
            <w:rPr>
              <w:b/>
              <w:bCs/>
              <w:sz w:val="20"/>
              <w:lang w:eastAsia="lt-LT"/>
            </w:rPr>
            <w:t>(data)</w:t>
          </w:r>
        </w:p>
        <w:p>
          <w:pPr>
            <w:ind w:left="405" w:hanging="360"/>
            <w:rPr>
              <w:b/>
              <w:bCs/>
              <w:szCs w:val="24"/>
              <w:lang w:eastAsia="lt-LT"/>
            </w:rPr>
          </w:pPr>
          <w:r>
            <w:rPr>
              <w:b/>
              <w:bCs/>
              <w:szCs w:val="24"/>
              <w:lang w:eastAsia="lt-LT"/>
            </w:rPr>
            <w:t>1.</w:t>
            <w:tab/>
            <w:t>Pareiškėjo duomenys:</w:t>
          </w:r>
        </w:p>
        <w:tbl>
          <w:tblPr>
            <w:tblW w:w="9356"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253"/>
            <w:gridCol w:w="5103"/>
          </w:tblGrid>
          <w:tr>
            <w:trPr>
              <w:cantSplit/>
              <w:trHeight w:val="60"/>
            </w:trPr>
            <w:tc>
              <w:tcPr>
                <w:tcW w:w="4253" w:type="dxa"/>
                <w:tcBorders>
                  <w:top w:val="single" w:sz="4" w:space="0" w:color="auto"/>
                  <w:left w:val="single" w:sz="4" w:space="0" w:color="auto"/>
                  <w:bottom w:val="single" w:sz="4" w:space="0" w:color="auto"/>
                  <w:right w:val="single" w:sz="4" w:space="0" w:color="auto"/>
                </w:tcBorders>
              </w:tcPr>
              <w:p>
                <w:pPr>
                  <w:spacing w:line="254" w:lineRule="auto"/>
                  <w:rPr>
                    <w:rFonts w:eastAsia="Calibri"/>
                    <w:sz w:val="22"/>
                    <w:szCs w:val="22"/>
                    <w:lang w:eastAsia="lt-LT"/>
                  </w:rPr>
                </w:pPr>
                <w:r>
                  <w:rPr>
                    <w:rFonts w:eastAsia="Calibri"/>
                    <w:sz w:val="22"/>
                    <w:szCs w:val="22"/>
                    <w:lang w:eastAsia="lt-LT"/>
                  </w:rPr>
                  <w:t>Vardas</w:t>
                </w:r>
              </w:p>
            </w:tc>
            <w:tc>
              <w:tcPr>
                <w:tcW w:w="5103" w:type="dxa"/>
                <w:tcBorders>
                  <w:top w:val="single" w:sz="4" w:space="0" w:color="auto"/>
                  <w:left w:val="single" w:sz="4" w:space="0" w:color="auto"/>
                  <w:bottom w:val="single" w:sz="4" w:space="0" w:color="auto"/>
                  <w:right w:val="single" w:sz="4" w:space="0" w:color="auto"/>
                </w:tcBorders>
              </w:tcPr>
              <w:p>
                <w:pPr>
                  <w:spacing w:line="254" w:lineRule="auto"/>
                  <w:rPr>
                    <w:rFonts w:eastAsia="Calibri"/>
                    <w:b/>
                    <w:bCs/>
                    <w:szCs w:val="24"/>
                    <w:lang w:eastAsia="lt-LT"/>
                  </w:rPr>
                </w:pPr>
              </w:p>
            </w:tc>
          </w:tr>
          <w:tr>
            <w:trPr>
              <w:cantSplit/>
              <w:trHeight w:val="60"/>
            </w:trPr>
            <w:tc>
              <w:tcPr>
                <w:tcW w:w="4253" w:type="dxa"/>
                <w:tcBorders>
                  <w:top w:val="single" w:sz="4" w:space="0" w:color="auto"/>
                  <w:left w:val="single" w:sz="4" w:space="0" w:color="auto"/>
                  <w:bottom w:val="single" w:sz="4" w:space="0" w:color="auto"/>
                  <w:right w:val="single" w:sz="4" w:space="0" w:color="auto"/>
                </w:tcBorders>
              </w:tcPr>
              <w:p>
                <w:pPr>
                  <w:spacing w:line="254" w:lineRule="auto"/>
                  <w:rPr>
                    <w:rFonts w:eastAsia="Calibri"/>
                    <w:sz w:val="22"/>
                    <w:szCs w:val="22"/>
                    <w:lang w:eastAsia="lt-LT"/>
                  </w:rPr>
                </w:pPr>
                <w:r>
                  <w:rPr>
                    <w:rFonts w:eastAsia="Calibri"/>
                    <w:sz w:val="22"/>
                    <w:szCs w:val="22"/>
                    <w:lang w:eastAsia="lt-LT"/>
                  </w:rPr>
                  <w:t>Pavardė / įmonės pavadinimas</w:t>
                </w:r>
              </w:p>
            </w:tc>
            <w:tc>
              <w:tcPr>
                <w:tcW w:w="5103" w:type="dxa"/>
                <w:tcBorders>
                  <w:top w:val="single" w:sz="4" w:space="0" w:color="auto"/>
                  <w:left w:val="single" w:sz="4" w:space="0" w:color="auto"/>
                  <w:bottom w:val="single" w:sz="4" w:space="0" w:color="auto"/>
                  <w:right w:val="single" w:sz="4" w:space="0" w:color="auto"/>
                </w:tcBorders>
              </w:tcPr>
              <w:p>
                <w:pPr>
                  <w:spacing w:line="254" w:lineRule="auto"/>
                  <w:rPr>
                    <w:rFonts w:eastAsia="Calibri"/>
                    <w:b/>
                    <w:bCs/>
                    <w:szCs w:val="24"/>
                    <w:lang w:eastAsia="lt-LT"/>
                  </w:rPr>
                </w:pPr>
              </w:p>
            </w:tc>
          </w:tr>
          <w:tr>
            <w:trPr>
              <w:cantSplit/>
              <w:trHeight w:val="60"/>
            </w:trPr>
            <w:tc>
              <w:tcPr>
                <w:tcW w:w="4253" w:type="dxa"/>
                <w:tcBorders>
                  <w:top w:val="single" w:sz="4" w:space="0" w:color="auto"/>
                  <w:left w:val="single" w:sz="4" w:space="0" w:color="auto"/>
                  <w:bottom w:val="single" w:sz="4" w:space="0" w:color="auto"/>
                  <w:right w:val="single" w:sz="4" w:space="0" w:color="auto"/>
                </w:tcBorders>
              </w:tcPr>
              <w:p>
                <w:pPr>
                  <w:spacing w:line="254" w:lineRule="auto"/>
                  <w:rPr>
                    <w:rFonts w:eastAsia="Calibri"/>
                    <w:sz w:val="22"/>
                    <w:szCs w:val="22"/>
                    <w:lang w:eastAsia="lt-LT"/>
                  </w:rPr>
                </w:pPr>
                <w:r>
                  <w:rPr>
                    <w:rFonts w:eastAsia="Calibri"/>
                    <w:sz w:val="22"/>
                    <w:szCs w:val="22"/>
                    <w:lang w:eastAsia="lt-LT"/>
                  </w:rPr>
                  <w:t>Fizinio ar juridinio asmens kodas</w:t>
                </w:r>
              </w:p>
            </w:tc>
            <w:tc>
              <w:tcPr>
                <w:tcW w:w="5103" w:type="dxa"/>
                <w:tcBorders>
                  <w:top w:val="single" w:sz="4" w:space="0" w:color="auto"/>
                  <w:left w:val="single" w:sz="4" w:space="0" w:color="auto"/>
                  <w:bottom w:val="single" w:sz="4" w:space="0" w:color="auto"/>
                  <w:right w:val="single" w:sz="4" w:space="0" w:color="auto"/>
                </w:tcBorders>
              </w:tcPr>
              <w:p>
                <w:pPr>
                  <w:spacing w:line="254" w:lineRule="auto"/>
                  <w:rPr>
                    <w:rFonts w:eastAsia="Calibri"/>
                    <w:b/>
                    <w:bCs/>
                    <w:szCs w:val="24"/>
                    <w:lang w:eastAsia="lt-LT"/>
                  </w:rPr>
                </w:pPr>
              </w:p>
            </w:tc>
          </w:tr>
          <w:tr>
            <w:trPr>
              <w:cantSplit/>
              <w:trHeight w:val="126"/>
            </w:trPr>
            <w:tc>
              <w:tcPr>
                <w:tcW w:w="4253" w:type="dxa"/>
                <w:tcBorders>
                  <w:top w:val="single" w:sz="4" w:space="0" w:color="auto"/>
                  <w:left w:val="single" w:sz="4" w:space="0" w:color="auto"/>
                  <w:bottom w:val="single" w:sz="4" w:space="0" w:color="auto"/>
                  <w:right w:val="single" w:sz="4" w:space="0" w:color="auto"/>
                </w:tcBorders>
                <w:hideMark/>
              </w:tcPr>
              <w:p>
                <w:pPr>
                  <w:spacing w:line="254" w:lineRule="auto"/>
                  <w:rPr>
                    <w:rFonts w:eastAsia="Calibri"/>
                    <w:sz w:val="22"/>
                    <w:szCs w:val="22"/>
                    <w:lang w:eastAsia="lt-LT"/>
                  </w:rPr>
                </w:pPr>
                <w:r>
                  <w:rPr>
                    <w:rFonts w:eastAsia="Calibri"/>
                    <w:sz w:val="22"/>
                    <w:szCs w:val="22"/>
                    <w:lang w:eastAsia="lt-LT"/>
                  </w:rPr>
                  <w:t>Žemės ūkio valdos atpažinties kodas</w:t>
                </w:r>
              </w:p>
            </w:tc>
            <w:tc>
              <w:tcPr>
                <w:tcW w:w="5103" w:type="dxa"/>
                <w:tcBorders>
                  <w:top w:val="single" w:sz="4" w:space="0" w:color="auto"/>
                  <w:left w:val="single" w:sz="4" w:space="0" w:color="auto"/>
                  <w:bottom w:val="single" w:sz="4" w:space="0" w:color="auto"/>
                  <w:right w:val="single" w:sz="4" w:space="0" w:color="auto"/>
                </w:tcBorders>
              </w:tcPr>
              <w:p>
                <w:pPr>
                  <w:spacing w:line="254" w:lineRule="auto"/>
                  <w:rPr>
                    <w:rFonts w:eastAsia="Calibri"/>
                    <w:b/>
                    <w:bCs/>
                    <w:szCs w:val="24"/>
                    <w:lang w:eastAsia="lt-LT"/>
                  </w:rPr>
                </w:pPr>
              </w:p>
            </w:tc>
          </w:tr>
        </w:tbl>
        <w:p>
          <w:pPr/>
        </w:p>
        <w:p>
          <w:pPr>
            <w:ind w:left="405" w:hanging="360"/>
            <w:rPr>
              <w:b/>
              <w:bCs/>
              <w:szCs w:val="24"/>
              <w:lang w:eastAsia="lt-LT"/>
            </w:rPr>
          </w:pPr>
          <w:r>
            <w:rPr>
              <w:b/>
              <w:bCs/>
              <w:szCs w:val="24"/>
              <w:lang w:eastAsia="lt-LT"/>
            </w:rPr>
            <w:t>2.</w:t>
            <w:tab/>
            <w:t>Pareiškėjo kontaktiniai duomenys:</w:t>
          </w:r>
        </w:p>
        <w:tbl>
          <w:tblPr>
            <w:tblW w:w="928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411"/>
            <w:gridCol w:w="4876"/>
          </w:tblGrid>
          <w:tr>
            <w:trPr>
              <w:cantSplit/>
              <w:trHeight w:val="61"/>
            </w:trPr>
            <w:tc>
              <w:tcPr>
                <w:tcW w:w="4411" w:type="dxa"/>
                <w:tcBorders>
                  <w:top w:val="single" w:sz="4" w:space="0" w:color="auto"/>
                  <w:left w:val="single" w:sz="4" w:space="0" w:color="auto"/>
                  <w:bottom w:val="single" w:sz="4" w:space="0" w:color="auto"/>
                  <w:right w:val="single" w:sz="4" w:space="0" w:color="auto"/>
                </w:tcBorders>
                <w:hideMark/>
              </w:tcPr>
              <w:p>
                <w:pPr>
                  <w:spacing w:line="254" w:lineRule="auto"/>
                  <w:rPr>
                    <w:rFonts w:eastAsia="Calibri"/>
                    <w:sz w:val="22"/>
                    <w:szCs w:val="22"/>
                    <w:lang w:eastAsia="lt-LT"/>
                  </w:rPr>
                </w:pPr>
                <w:r>
                  <w:rPr>
                    <w:rFonts w:eastAsia="Calibri"/>
                    <w:sz w:val="22"/>
                    <w:szCs w:val="22"/>
                    <w:lang w:eastAsia="lt-LT"/>
                  </w:rPr>
                  <w:t>Savivaldybės pavadinimas</w:t>
                </w:r>
              </w:p>
            </w:tc>
            <w:tc>
              <w:tcPr>
                <w:tcW w:w="4876" w:type="dxa"/>
                <w:tcBorders>
                  <w:top w:val="single" w:sz="4" w:space="0" w:color="auto"/>
                  <w:left w:val="single" w:sz="4" w:space="0" w:color="auto"/>
                  <w:bottom w:val="single" w:sz="4" w:space="0" w:color="auto"/>
                  <w:right w:val="single" w:sz="4" w:space="0" w:color="auto"/>
                </w:tcBorders>
              </w:tcPr>
              <w:p>
                <w:pPr>
                  <w:spacing w:line="254" w:lineRule="auto"/>
                  <w:rPr>
                    <w:rFonts w:eastAsia="Calibri"/>
                    <w:b/>
                    <w:bCs/>
                    <w:szCs w:val="24"/>
                    <w:lang w:eastAsia="lt-LT"/>
                  </w:rPr>
                </w:pPr>
              </w:p>
            </w:tc>
          </w:tr>
          <w:tr>
            <w:trPr>
              <w:cantSplit/>
              <w:trHeight w:val="61"/>
            </w:trPr>
            <w:tc>
              <w:tcPr>
                <w:tcW w:w="4411" w:type="dxa"/>
                <w:tcBorders>
                  <w:top w:val="single" w:sz="4" w:space="0" w:color="auto"/>
                  <w:left w:val="single" w:sz="4" w:space="0" w:color="auto"/>
                  <w:bottom w:val="single" w:sz="4" w:space="0" w:color="auto"/>
                  <w:right w:val="single" w:sz="4" w:space="0" w:color="auto"/>
                </w:tcBorders>
              </w:tcPr>
              <w:p>
                <w:pPr>
                  <w:spacing w:line="254" w:lineRule="auto"/>
                  <w:rPr>
                    <w:rFonts w:eastAsia="Calibri"/>
                    <w:sz w:val="22"/>
                    <w:szCs w:val="22"/>
                    <w:lang w:eastAsia="lt-LT"/>
                  </w:rPr>
                </w:pPr>
                <w:r>
                  <w:rPr>
                    <w:rFonts w:eastAsia="Calibri"/>
                    <w:sz w:val="22"/>
                    <w:szCs w:val="22"/>
                    <w:lang w:eastAsia="lt-LT"/>
                  </w:rPr>
                  <w:t>Seniūnijos pavadinimas</w:t>
                </w:r>
              </w:p>
            </w:tc>
            <w:tc>
              <w:tcPr>
                <w:tcW w:w="4876" w:type="dxa"/>
                <w:tcBorders>
                  <w:top w:val="single" w:sz="4" w:space="0" w:color="auto"/>
                  <w:left w:val="single" w:sz="4" w:space="0" w:color="auto"/>
                  <w:bottom w:val="single" w:sz="4" w:space="0" w:color="auto"/>
                  <w:right w:val="single" w:sz="4" w:space="0" w:color="auto"/>
                </w:tcBorders>
              </w:tcPr>
              <w:p>
                <w:pPr>
                  <w:spacing w:line="254" w:lineRule="auto"/>
                  <w:rPr>
                    <w:rFonts w:eastAsia="Calibri"/>
                    <w:b/>
                    <w:bCs/>
                    <w:szCs w:val="24"/>
                    <w:lang w:eastAsia="lt-LT"/>
                  </w:rPr>
                </w:pPr>
              </w:p>
            </w:tc>
          </w:tr>
          <w:tr>
            <w:trPr>
              <w:cantSplit/>
              <w:trHeight w:val="61"/>
            </w:trPr>
            <w:tc>
              <w:tcPr>
                <w:tcW w:w="4411" w:type="dxa"/>
                <w:tcBorders>
                  <w:top w:val="single" w:sz="4" w:space="0" w:color="auto"/>
                  <w:left w:val="single" w:sz="4" w:space="0" w:color="auto"/>
                  <w:bottom w:val="single" w:sz="4" w:space="0" w:color="auto"/>
                  <w:right w:val="single" w:sz="4" w:space="0" w:color="auto"/>
                </w:tcBorders>
              </w:tcPr>
              <w:p>
                <w:pPr>
                  <w:spacing w:line="254" w:lineRule="auto"/>
                  <w:rPr>
                    <w:rFonts w:eastAsia="Calibri"/>
                    <w:sz w:val="22"/>
                    <w:szCs w:val="22"/>
                    <w:lang w:eastAsia="lt-LT"/>
                  </w:rPr>
                </w:pPr>
                <w:r>
                  <w:rPr>
                    <w:rFonts w:eastAsia="Calibri"/>
                    <w:sz w:val="22"/>
                    <w:szCs w:val="22"/>
                    <w:lang w:eastAsia="lt-LT"/>
                  </w:rPr>
                  <w:t>Gyvenamosios vietovės pavadinimas</w:t>
                </w:r>
              </w:p>
            </w:tc>
            <w:tc>
              <w:tcPr>
                <w:tcW w:w="4876" w:type="dxa"/>
                <w:tcBorders>
                  <w:top w:val="single" w:sz="4" w:space="0" w:color="auto"/>
                  <w:left w:val="single" w:sz="4" w:space="0" w:color="auto"/>
                  <w:bottom w:val="single" w:sz="4" w:space="0" w:color="auto"/>
                  <w:right w:val="single" w:sz="4" w:space="0" w:color="auto"/>
                </w:tcBorders>
              </w:tcPr>
              <w:p>
                <w:pPr>
                  <w:spacing w:line="254" w:lineRule="auto"/>
                  <w:rPr>
                    <w:rFonts w:eastAsia="Calibri"/>
                    <w:b/>
                    <w:bCs/>
                    <w:szCs w:val="24"/>
                    <w:lang w:eastAsia="lt-LT"/>
                  </w:rPr>
                </w:pPr>
              </w:p>
            </w:tc>
          </w:tr>
          <w:tr>
            <w:trPr>
              <w:cantSplit/>
              <w:trHeight w:val="61"/>
            </w:trPr>
            <w:tc>
              <w:tcPr>
                <w:tcW w:w="4411" w:type="dxa"/>
                <w:tcBorders>
                  <w:top w:val="single" w:sz="4" w:space="0" w:color="auto"/>
                  <w:left w:val="single" w:sz="4" w:space="0" w:color="auto"/>
                  <w:bottom w:val="single" w:sz="4" w:space="0" w:color="auto"/>
                  <w:right w:val="single" w:sz="4" w:space="0" w:color="auto"/>
                </w:tcBorders>
              </w:tcPr>
              <w:p>
                <w:pPr>
                  <w:spacing w:line="254" w:lineRule="auto"/>
                  <w:rPr>
                    <w:rFonts w:eastAsia="Calibri"/>
                    <w:sz w:val="22"/>
                    <w:szCs w:val="22"/>
                    <w:lang w:eastAsia="lt-LT"/>
                  </w:rPr>
                </w:pPr>
                <w:r>
                  <w:rPr>
                    <w:rFonts w:eastAsia="Calibri"/>
                    <w:sz w:val="22"/>
                    <w:szCs w:val="22"/>
                    <w:lang w:eastAsia="lt-LT"/>
                  </w:rPr>
                  <w:t>Gatvės pavadinimas</w:t>
                </w:r>
              </w:p>
            </w:tc>
            <w:tc>
              <w:tcPr>
                <w:tcW w:w="4876" w:type="dxa"/>
                <w:tcBorders>
                  <w:top w:val="single" w:sz="4" w:space="0" w:color="auto"/>
                  <w:left w:val="single" w:sz="4" w:space="0" w:color="auto"/>
                  <w:bottom w:val="single" w:sz="4" w:space="0" w:color="auto"/>
                  <w:right w:val="single" w:sz="4" w:space="0" w:color="auto"/>
                </w:tcBorders>
              </w:tcPr>
              <w:p>
                <w:pPr>
                  <w:spacing w:line="254" w:lineRule="auto"/>
                  <w:rPr>
                    <w:rFonts w:eastAsia="Calibri"/>
                    <w:b/>
                    <w:bCs/>
                    <w:szCs w:val="24"/>
                    <w:lang w:eastAsia="lt-LT"/>
                  </w:rPr>
                </w:pPr>
              </w:p>
            </w:tc>
          </w:tr>
          <w:tr>
            <w:trPr>
              <w:cantSplit/>
              <w:trHeight w:val="61"/>
            </w:trPr>
            <w:tc>
              <w:tcPr>
                <w:tcW w:w="4411" w:type="dxa"/>
                <w:tcBorders>
                  <w:top w:val="single" w:sz="4" w:space="0" w:color="auto"/>
                  <w:left w:val="single" w:sz="4" w:space="0" w:color="auto"/>
                  <w:bottom w:val="single" w:sz="4" w:space="0" w:color="auto"/>
                  <w:right w:val="single" w:sz="4" w:space="0" w:color="auto"/>
                </w:tcBorders>
              </w:tcPr>
              <w:p>
                <w:pPr>
                  <w:spacing w:line="254" w:lineRule="auto"/>
                  <w:rPr>
                    <w:rFonts w:eastAsia="Calibri"/>
                    <w:sz w:val="22"/>
                    <w:szCs w:val="22"/>
                    <w:lang w:eastAsia="lt-LT"/>
                  </w:rPr>
                </w:pPr>
                <w:r>
                  <w:rPr>
                    <w:rFonts w:eastAsia="Calibri"/>
                    <w:sz w:val="22"/>
                    <w:szCs w:val="22"/>
                    <w:lang w:eastAsia="lt-LT"/>
                  </w:rPr>
                  <w:t>Namo Nr.</w:t>
                </w:r>
              </w:p>
            </w:tc>
            <w:tc>
              <w:tcPr>
                <w:tcW w:w="4876" w:type="dxa"/>
                <w:tcBorders>
                  <w:top w:val="single" w:sz="4" w:space="0" w:color="auto"/>
                  <w:left w:val="single" w:sz="4" w:space="0" w:color="auto"/>
                  <w:bottom w:val="single" w:sz="4" w:space="0" w:color="auto"/>
                  <w:right w:val="single" w:sz="4" w:space="0" w:color="auto"/>
                </w:tcBorders>
              </w:tcPr>
              <w:p>
                <w:pPr>
                  <w:spacing w:line="254" w:lineRule="auto"/>
                  <w:rPr>
                    <w:rFonts w:eastAsia="Calibri"/>
                    <w:b/>
                    <w:bCs/>
                    <w:szCs w:val="24"/>
                    <w:lang w:eastAsia="lt-LT"/>
                  </w:rPr>
                </w:pPr>
              </w:p>
            </w:tc>
          </w:tr>
          <w:tr>
            <w:trPr>
              <w:cantSplit/>
              <w:trHeight w:val="61"/>
            </w:trPr>
            <w:tc>
              <w:tcPr>
                <w:tcW w:w="4411" w:type="dxa"/>
                <w:tcBorders>
                  <w:top w:val="single" w:sz="4" w:space="0" w:color="auto"/>
                  <w:left w:val="single" w:sz="4" w:space="0" w:color="auto"/>
                  <w:bottom w:val="single" w:sz="4" w:space="0" w:color="auto"/>
                  <w:right w:val="single" w:sz="4" w:space="0" w:color="auto"/>
                </w:tcBorders>
              </w:tcPr>
              <w:p>
                <w:pPr>
                  <w:spacing w:line="254" w:lineRule="auto"/>
                  <w:rPr>
                    <w:rFonts w:eastAsia="Calibri"/>
                    <w:sz w:val="22"/>
                    <w:szCs w:val="22"/>
                    <w:lang w:eastAsia="lt-LT"/>
                  </w:rPr>
                </w:pPr>
                <w:r>
                  <w:rPr>
                    <w:rFonts w:eastAsia="Calibri"/>
                    <w:sz w:val="22"/>
                    <w:szCs w:val="22"/>
                    <w:lang w:eastAsia="lt-LT"/>
                  </w:rPr>
                  <w:t>Buto Nr.</w:t>
                </w:r>
              </w:p>
            </w:tc>
            <w:tc>
              <w:tcPr>
                <w:tcW w:w="4876" w:type="dxa"/>
                <w:tcBorders>
                  <w:top w:val="single" w:sz="4" w:space="0" w:color="auto"/>
                  <w:left w:val="single" w:sz="4" w:space="0" w:color="auto"/>
                  <w:bottom w:val="single" w:sz="4" w:space="0" w:color="auto"/>
                  <w:right w:val="single" w:sz="4" w:space="0" w:color="auto"/>
                </w:tcBorders>
              </w:tcPr>
              <w:p>
                <w:pPr>
                  <w:spacing w:line="254" w:lineRule="auto"/>
                  <w:rPr>
                    <w:rFonts w:eastAsia="Calibri"/>
                    <w:b/>
                    <w:bCs/>
                    <w:szCs w:val="24"/>
                    <w:lang w:eastAsia="lt-LT"/>
                  </w:rPr>
                </w:pPr>
              </w:p>
            </w:tc>
          </w:tr>
          <w:tr>
            <w:trPr>
              <w:cantSplit/>
              <w:trHeight w:val="61"/>
            </w:trPr>
            <w:tc>
              <w:tcPr>
                <w:tcW w:w="4411" w:type="dxa"/>
                <w:tcBorders>
                  <w:top w:val="single" w:sz="4" w:space="0" w:color="auto"/>
                  <w:left w:val="single" w:sz="4" w:space="0" w:color="auto"/>
                  <w:bottom w:val="single" w:sz="4" w:space="0" w:color="auto"/>
                  <w:right w:val="single" w:sz="4" w:space="0" w:color="auto"/>
                </w:tcBorders>
              </w:tcPr>
              <w:p>
                <w:pPr>
                  <w:spacing w:line="254" w:lineRule="auto"/>
                  <w:rPr>
                    <w:rFonts w:eastAsia="Calibri"/>
                    <w:sz w:val="22"/>
                    <w:szCs w:val="22"/>
                    <w:lang w:eastAsia="lt-LT"/>
                  </w:rPr>
                </w:pPr>
                <w:r>
                  <w:rPr>
                    <w:rFonts w:eastAsia="Calibri"/>
                    <w:sz w:val="22"/>
                    <w:szCs w:val="22"/>
                    <w:lang w:eastAsia="lt-LT"/>
                  </w:rPr>
                  <w:t>Pašto kodas</w:t>
                </w:r>
              </w:p>
            </w:tc>
            <w:tc>
              <w:tcPr>
                <w:tcW w:w="4876" w:type="dxa"/>
                <w:tcBorders>
                  <w:top w:val="single" w:sz="4" w:space="0" w:color="auto"/>
                  <w:left w:val="single" w:sz="4" w:space="0" w:color="auto"/>
                  <w:bottom w:val="single" w:sz="4" w:space="0" w:color="auto"/>
                  <w:right w:val="single" w:sz="4" w:space="0" w:color="auto"/>
                </w:tcBorders>
              </w:tcPr>
              <w:p>
                <w:pPr>
                  <w:spacing w:line="254" w:lineRule="auto"/>
                  <w:rPr>
                    <w:rFonts w:eastAsia="Calibri"/>
                    <w:b/>
                    <w:bCs/>
                    <w:szCs w:val="24"/>
                    <w:lang w:eastAsia="lt-LT"/>
                  </w:rPr>
                </w:pPr>
              </w:p>
            </w:tc>
          </w:tr>
          <w:tr>
            <w:trPr>
              <w:cantSplit/>
              <w:trHeight w:val="61"/>
            </w:trPr>
            <w:tc>
              <w:tcPr>
                <w:tcW w:w="4411" w:type="dxa"/>
                <w:tcBorders>
                  <w:top w:val="single" w:sz="4" w:space="0" w:color="auto"/>
                  <w:left w:val="single" w:sz="4" w:space="0" w:color="auto"/>
                  <w:bottom w:val="single" w:sz="4" w:space="0" w:color="auto"/>
                  <w:right w:val="single" w:sz="4" w:space="0" w:color="auto"/>
                </w:tcBorders>
              </w:tcPr>
              <w:p>
                <w:pPr>
                  <w:spacing w:line="254" w:lineRule="auto"/>
                  <w:rPr>
                    <w:rFonts w:eastAsia="Calibri"/>
                    <w:sz w:val="22"/>
                    <w:szCs w:val="22"/>
                    <w:lang w:eastAsia="lt-LT"/>
                  </w:rPr>
                </w:pPr>
                <w:r>
                  <w:rPr>
                    <w:rFonts w:eastAsia="Calibri"/>
                    <w:sz w:val="22"/>
                    <w:szCs w:val="22"/>
                    <w:lang w:eastAsia="lt-LT"/>
                  </w:rPr>
                  <w:t>Telefono Nr.</w:t>
                </w:r>
              </w:p>
            </w:tc>
            <w:tc>
              <w:tcPr>
                <w:tcW w:w="4876" w:type="dxa"/>
                <w:tcBorders>
                  <w:top w:val="single" w:sz="4" w:space="0" w:color="auto"/>
                  <w:left w:val="single" w:sz="4" w:space="0" w:color="auto"/>
                  <w:bottom w:val="single" w:sz="4" w:space="0" w:color="auto"/>
                  <w:right w:val="single" w:sz="4" w:space="0" w:color="auto"/>
                </w:tcBorders>
              </w:tcPr>
              <w:p>
                <w:pPr>
                  <w:spacing w:line="254" w:lineRule="auto"/>
                  <w:rPr>
                    <w:rFonts w:eastAsia="Calibri"/>
                    <w:b/>
                    <w:bCs/>
                    <w:szCs w:val="24"/>
                    <w:lang w:eastAsia="lt-LT"/>
                  </w:rPr>
                </w:pPr>
              </w:p>
            </w:tc>
          </w:tr>
          <w:tr>
            <w:trPr>
              <w:cantSplit/>
              <w:trHeight w:val="61"/>
            </w:trPr>
            <w:tc>
              <w:tcPr>
                <w:tcW w:w="4411" w:type="dxa"/>
                <w:tcBorders>
                  <w:top w:val="single" w:sz="4" w:space="0" w:color="auto"/>
                  <w:left w:val="single" w:sz="4" w:space="0" w:color="auto"/>
                  <w:bottom w:val="single" w:sz="4" w:space="0" w:color="auto"/>
                  <w:right w:val="single" w:sz="4" w:space="0" w:color="auto"/>
                </w:tcBorders>
              </w:tcPr>
              <w:p>
                <w:pPr>
                  <w:spacing w:line="254" w:lineRule="auto"/>
                  <w:rPr>
                    <w:rFonts w:eastAsia="Calibri"/>
                    <w:sz w:val="22"/>
                    <w:szCs w:val="22"/>
                    <w:lang w:eastAsia="lt-LT"/>
                  </w:rPr>
                </w:pPr>
                <w:r>
                  <w:rPr>
                    <w:rFonts w:eastAsia="Calibri"/>
                    <w:sz w:val="22"/>
                    <w:szCs w:val="22"/>
                    <w:lang w:eastAsia="lt-LT"/>
                  </w:rPr>
                  <w:t>El. pašto adresas</w:t>
                </w:r>
              </w:p>
            </w:tc>
            <w:tc>
              <w:tcPr>
                <w:tcW w:w="4876" w:type="dxa"/>
                <w:tcBorders>
                  <w:top w:val="single" w:sz="4" w:space="0" w:color="auto"/>
                  <w:left w:val="single" w:sz="4" w:space="0" w:color="auto"/>
                  <w:bottom w:val="single" w:sz="4" w:space="0" w:color="auto"/>
                  <w:right w:val="single" w:sz="4" w:space="0" w:color="auto"/>
                </w:tcBorders>
              </w:tcPr>
              <w:p>
                <w:pPr>
                  <w:spacing w:line="254" w:lineRule="auto"/>
                  <w:rPr>
                    <w:rFonts w:eastAsia="Calibri"/>
                    <w:b/>
                    <w:bCs/>
                    <w:szCs w:val="24"/>
                    <w:lang w:eastAsia="lt-LT"/>
                  </w:rPr>
                </w:pPr>
              </w:p>
            </w:tc>
          </w:tr>
        </w:tbl>
        <w:p>
          <w:pPr/>
        </w:p>
        <w:p>
          <w:pPr>
            <w:ind w:left="405" w:hanging="360"/>
            <w:rPr>
              <w:b/>
              <w:bCs/>
              <w:szCs w:val="24"/>
              <w:lang w:eastAsia="lt-LT"/>
            </w:rPr>
          </w:pPr>
          <w:r>
            <w:rPr>
              <w:b/>
              <w:bCs/>
              <w:szCs w:val="24"/>
              <w:lang w:eastAsia="lt-LT"/>
            </w:rPr>
            <w:t>3.</w:t>
            <w:tab/>
            <w:t>Banko sąskaitos duomenys:</w:t>
          </w:r>
        </w:p>
        <w:tbl>
          <w:tblPr>
            <w:tblW w:w="9302"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418"/>
            <w:gridCol w:w="4884"/>
          </w:tblGrid>
          <w:tr>
            <w:trPr>
              <w:cantSplit/>
              <w:trHeight w:val="65"/>
            </w:trPr>
            <w:tc>
              <w:tcPr>
                <w:tcW w:w="4418" w:type="dxa"/>
                <w:tcBorders>
                  <w:top w:val="single" w:sz="4" w:space="0" w:color="auto"/>
                  <w:left w:val="single" w:sz="4" w:space="0" w:color="auto"/>
                  <w:bottom w:val="single" w:sz="4" w:space="0" w:color="auto"/>
                  <w:right w:val="single" w:sz="4" w:space="0" w:color="auto"/>
                </w:tcBorders>
                <w:hideMark/>
              </w:tcPr>
              <w:p>
                <w:pPr>
                  <w:spacing w:line="254" w:lineRule="auto"/>
                  <w:rPr>
                    <w:rFonts w:eastAsia="Calibri"/>
                    <w:sz w:val="22"/>
                    <w:szCs w:val="22"/>
                    <w:lang w:eastAsia="lt-LT"/>
                  </w:rPr>
                </w:pPr>
                <w:r>
                  <w:rPr>
                    <w:rFonts w:eastAsia="Calibri"/>
                    <w:sz w:val="22"/>
                    <w:szCs w:val="22"/>
                    <w:lang w:eastAsia="lt-LT"/>
                  </w:rPr>
                  <w:t>Banko kodas</w:t>
                </w:r>
              </w:p>
            </w:tc>
            <w:tc>
              <w:tcPr>
                <w:tcW w:w="4884" w:type="dxa"/>
                <w:tcBorders>
                  <w:top w:val="single" w:sz="4" w:space="0" w:color="auto"/>
                  <w:left w:val="single" w:sz="4" w:space="0" w:color="auto"/>
                  <w:bottom w:val="single" w:sz="4" w:space="0" w:color="auto"/>
                  <w:right w:val="single" w:sz="4" w:space="0" w:color="auto"/>
                </w:tcBorders>
              </w:tcPr>
              <w:p>
                <w:pPr>
                  <w:spacing w:line="254" w:lineRule="auto"/>
                  <w:rPr>
                    <w:rFonts w:eastAsia="Calibri"/>
                    <w:b/>
                    <w:bCs/>
                    <w:i/>
                    <w:szCs w:val="24"/>
                    <w:lang w:eastAsia="lt-LT"/>
                  </w:rPr>
                </w:pPr>
              </w:p>
            </w:tc>
          </w:tr>
          <w:tr>
            <w:trPr>
              <w:cantSplit/>
              <w:trHeight w:val="37"/>
            </w:trPr>
            <w:tc>
              <w:tcPr>
                <w:tcW w:w="4418" w:type="dxa"/>
                <w:tcBorders>
                  <w:top w:val="single" w:sz="4" w:space="0" w:color="auto"/>
                  <w:left w:val="single" w:sz="4" w:space="0" w:color="auto"/>
                  <w:bottom w:val="single" w:sz="4" w:space="0" w:color="auto"/>
                  <w:right w:val="single" w:sz="4" w:space="0" w:color="auto"/>
                </w:tcBorders>
                <w:hideMark/>
              </w:tcPr>
              <w:p>
                <w:pPr>
                  <w:spacing w:line="254" w:lineRule="auto"/>
                  <w:rPr>
                    <w:rFonts w:eastAsia="Calibri"/>
                    <w:sz w:val="22"/>
                    <w:szCs w:val="22"/>
                    <w:lang w:eastAsia="lt-LT"/>
                  </w:rPr>
                </w:pPr>
                <w:r>
                  <w:rPr>
                    <w:rFonts w:eastAsia="Calibri"/>
                    <w:sz w:val="22"/>
                    <w:szCs w:val="22"/>
                    <w:lang w:eastAsia="lt-LT"/>
                  </w:rPr>
                  <w:t>Atsiskaitomosios sąskaitos numeris</w:t>
                </w:r>
              </w:p>
            </w:tc>
            <w:tc>
              <w:tcPr>
                <w:tcW w:w="4884" w:type="dxa"/>
                <w:tcBorders>
                  <w:top w:val="single" w:sz="4" w:space="0" w:color="auto"/>
                  <w:left w:val="single" w:sz="4" w:space="0" w:color="auto"/>
                  <w:bottom w:val="single" w:sz="4" w:space="0" w:color="auto"/>
                  <w:right w:val="single" w:sz="4" w:space="0" w:color="auto"/>
                </w:tcBorders>
              </w:tcPr>
              <w:p>
                <w:pPr>
                  <w:spacing w:line="254" w:lineRule="auto"/>
                  <w:rPr>
                    <w:rFonts w:eastAsia="Calibri"/>
                    <w:b/>
                    <w:bCs/>
                    <w:i/>
                    <w:szCs w:val="24"/>
                    <w:lang w:eastAsia="lt-LT"/>
                  </w:rPr>
                </w:pPr>
              </w:p>
            </w:tc>
          </w:tr>
        </w:tbl>
        <w:p>
          <w:pPr>
            <w:ind w:firstLine="62"/>
            <w:jc w:val="both"/>
            <w:rPr>
              <w:rFonts w:eastAsia="Calibri"/>
              <w:b/>
              <w:szCs w:val="24"/>
            </w:rPr>
          </w:pPr>
        </w:p>
        <w:p>
          <w:pPr>
            <w:jc w:val="both"/>
            <w:rPr>
              <w:rFonts w:eastAsia="Calibri"/>
              <w:b/>
              <w:bCs/>
              <w:szCs w:val="24"/>
            </w:rPr>
          </w:pPr>
          <w:r>
            <w:rPr>
              <w:rFonts w:eastAsia="Calibri"/>
              <w:b/>
              <w:szCs w:val="24"/>
            </w:rPr>
            <w:t xml:space="preserve">4.   Informacija apie</w:t>
          </w:r>
          <w:r>
            <w:rPr>
              <w:b/>
            </w:rPr>
            <w:t xml:space="preserve"> </w:t>
          </w:r>
          <w:r>
            <w:rPr>
              <w:rFonts w:eastAsia="Calibri"/>
              <w:b/>
              <w:szCs w:val="24"/>
            </w:rPr>
            <w:t xml:space="preserve">pareiškėjo atitiktį </w:t>
          </w:r>
          <w:r>
            <w:rPr>
              <w:b/>
              <w:bCs/>
              <w:color w:val="000000"/>
              <w:spacing w:val="-2"/>
              <w:szCs w:val="24"/>
            </w:rPr>
            <w:t xml:space="preserve">2013 m. gruodžio 18 d. Komisijos reglamento </w:t>
          </w:r>
          <w:r>
            <w:rPr>
              <w:b/>
              <w:bCs/>
              <w:color w:val="0000FF"/>
              <w:spacing w:val="-2"/>
              <w:szCs w:val="24"/>
              <w:u w:val="single"/>
            </w:rPr>
            <w:t>(ES) Nr. 1408/2013</w:t>
          </w:r>
          <w:r>
            <w:rPr>
              <w:b/>
              <w:bCs/>
              <w:color w:val="000000"/>
              <w:spacing w:val="-2"/>
              <w:szCs w:val="24"/>
            </w:rPr>
            <w:t xml:space="preserve"> dėl Sutarties dėl Europos Sąjungos veikimo 107 ir 108 straipsnių taikymo </w:t>
          </w:r>
          <w:r>
            <w:rPr>
              <w:b/>
              <w:bCs/>
              <w:i/>
              <w:iCs/>
              <w:color w:val="000000"/>
              <w:spacing w:val="-2"/>
              <w:szCs w:val="24"/>
            </w:rPr>
            <w:t>de minimis</w:t>
          </w:r>
          <w:r>
            <w:rPr>
              <w:b/>
              <w:bCs/>
              <w:color w:val="000000"/>
              <w:spacing w:val="-2"/>
              <w:szCs w:val="24"/>
            </w:rPr>
            <w:t xml:space="preserve"> pagalbai žemės ūkio sektoriuje 2 straipsnio 2 dalyje</w:t>
          </w:r>
          <w:r>
            <w:rPr>
              <w:rFonts w:eastAsia="Calibri"/>
              <w:b/>
              <w:bCs/>
              <w:szCs w:val="24"/>
            </w:rPr>
            <w:t xml:space="preserve"> nustatytiems reikalavimams </w:t>
          </w:r>
        </w:p>
        <w:p>
          <w:pPr>
            <w:jc w:val="both"/>
            <w:rPr>
              <w:rFonts w:eastAsia="Calibri"/>
              <w:b/>
              <w:bCs/>
              <w:i/>
              <w:szCs w:val="24"/>
            </w:rPr>
          </w:pPr>
        </w:p>
        <w:tbl>
          <w:tblPr>
            <w:tblW w:w="9630" w:type="dxa"/>
            <w:tblLayout w:type="fixed"/>
            <w:tblCellMar>
              <w:left w:w="0" w:type="dxa"/>
              <w:right w:w="0" w:type="dxa"/>
            </w:tblCellMar>
            <w:tblLook w:val="00A0" w:firstRow="1" w:lastRow="0" w:firstColumn="1" w:lastColumn="0" w:noHBand="0" w:noVBand="0"/>
          </w:tblPr>
          <w:tblGrid>
            <w:gridCol w:w="709"/>
            <w:gridCol w:w="7218"/>
            <w:gridCol w:w="1703"/>
          </w:tblGrid>
          <w:tr>
            <w:tc>
              <w:tcPr>
                <w:tcW w:w="9630"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pacing w:line="256" w:lineRule="auto"/>
                  <w:jc w:val="both"/>
                  <w:rPr>
                    <w:rFonts w:eastAsia="Calibri"/>
                    <w:b/>
                    <w:bCs/>
                    <w:szCs w:val="24"/>
                  </w:rPr>
                </w:pPr>
                <w:r>
                  <w:rPr>
                    <w:rFonts w:eastAsia="Calibri"/>
                    <w:b/>
                    <w:bCs/>
                    <w:szCs w:val="24"/>
                  </w:rPr>
                  <w:t xml:space="preserve">Pagal Reglamento </w:t>
                </w:r>
                <w:r>
                  <w:rPr>
                    <w:rFonts w:eastAsia="Calibri"/>
                    <w:b/>
                    <w:bCs/>
                    <w:color w:val="0000FF"/>
                    <w:szCs w:val="24"/>
                    <w:u w:val="single"/>
                  </w:rPr>
                  <w:t xml:space="preserve">(ES) Nr. </w:t>
                </w:r>
                <w:r>
                  <w:rPr>
                    <w:b/>
                    <w:bCs/>
                    <w:color w:val="0000FF"/>
                    <w:spacing w:val="-2"/>
                    <w:szCs w:val="24"/>
                    <w:u w:val="single"/>
                  </w:rPr>
                  <w:t>1408/2013</w:t>
                </w:r>
                <w:r>
                  <w:rPr>
                    <w:rFonts w:eastAsia="Calibri"/>
                    <w:b/>
                    <w:bCs/>
                    <w:szCs w:val="24"/>
                  </w:rPr>
                  <w:t xml:space="preserve"> nuostatas, „viena įmonė“ (b</w:t>
                </w:r>
                <w:r>
                  <w:rPr>
                    <w:b/>
                    <w:bCs/>
                    <w:kern w:val="2"/>
                    <w:szCs w:val="24"/>
                  </w:rPr>
                  <w:t>et kuris ekonominę veiklą vykdantis subjektas, nepaisant jo teisinio statuso ir finansavimo būdų</w:t>
                </w:r>
                <w:r>
                  <w:rPr>
                    <w:rFonts w:eastAsia="Calibri"/>
                    <w:b/>
                    <w:bCs/>
                    <w:szCs w:val="24"/>
                  </w:rPr>
                  <w:t xml:space="preserve">) apima visas įmones, kurių tarpusavio santykiai (teisiškai ar </w:t>
                </w:r>
                <w:r>
                  <w:rPr>
                    <w:rFonts w:eastAsia="Calibri"/>
                    <w:b/>
                    <w:bCs/>
                    <w:i/>
                    <w:szCs w:val="24"/>
                  </w:rPr>
                  <w:t>de facto</w:t>
                </w:r>
                <w:r>
                  <w:rPr>
                    <w:rFonts w:eastAsia="Calibri"/>
                    <w:b/>
                    <w:bCs/>
                    <w:szCs w:val="24"/>
                  </w:rPr>
                  <w:t>) yra bent vienos rūšies iš toliau išvardytų</w:t>
                </w:r>
              </w:p>
              <w:p>
                <w:pPr>
                  <w:spacing w:line="256" w:lineRule="auto"/>
                  <w:jc w:val="both"/>
                  <w:rPr>
                    <w:rFonts w:eastAsia="Calibri"/>
                    <w:bCs/>
                    <w:i/>
                    <w:szCs w:val="24"/>
                    <w:lang w:val="en-US"/>
                  </w:rPr>
                </w:pPr>
                <w:r>
                  <w:rPr>
                    <w:rFonts w:eastAsia="Calibri"/>
                    <w:i/>
                    <w:szCs w:val="24"/>
                  </w:rPr>
                  <w:t xml:space="preserve">(pildant lentelę visos eilutės turi būti pažymėtos „Taip“ arba „Ne“. Būtina nurodyti visas įmones, kurios laikomos „viena įmone“) </w:t>
                </w:r>
              </w:p>
            </w:tc>
          </w:tr>
          <w:tr>
            <w:tc>
              <w:tcPr>
                <w:tcW w:w="70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pacing w:line="256" w:lineRule="auto"/>
                  <w:jc w:val="center"/>
                  <w:rPr>
                    <w:rFonts w:eastAsia="Calibri"/>
                    <w:b/>
                    <w:szCs w:val="24"/>
                  </w:rPr>
                </w:pPr>
                <w:r>
                  <w:rPr>
                    <w:rFonts w:eastAsia="Calibri"/>
                    <w:b/>
                    <w:szCs w:val="24"/>
                  </w:rPr>
                  <w:t>Eil.</w:t>
                </w:r>
              </w:p>
              <w:p>
                <w:pPr>
                  <w:spacing w:line="256" w:lineRule="auto"/>
                  <w:jc w:val="center"/>
                  <w:rPr>
                    <w:rFonts w:eastAsia="Calibri"/>
                    <w:b/>
                    <w:szCs w:val="24"/>
                  </w:rPr>
                </w:pPr>
                <w:r>
                  <w:rPr>
                    <w:rFonts w:eastAsia="Calibri"/>
                    <w:b/>
                    <w:szCs w:val="24"/>
                  </w:rPr>
                  <w:t>Nr.</w:t>
                </w:r>
              </w:p>
            </w:tc>
            <w:tc>
              <w:tcPr>
                <w:tcW w:w="892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pacing w:line="256" w:lineRule="auto"/>
                  <w:jc w:val="center"/>
                  <w:rPr>
                    <w:rFonts w:eastAsia="Calibri"/>
                    <w:b/>
                    <w:szCs w:val="24"/>
                  </w:rPr>
                </w:pPr>
                <w:r>
                  <w:rPr>
                    <w:rFonts w:eastAsia="Calibri"/>
                    <w:b/>
                    <w:szCs w:val="24"/>
                  </w:rPr>
                  <w:t xml:space="preserve">Įmonių tarpusavio santykių rūšys </w:t>
                </w:r>
              </w:p>
            </w:tc>
          </w:tr>
          <w:tr>
            <w:tc>
              <w:tcPr>
                <w:tcW w:w="709"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pacing w:line="256" w:lineRule="auto"/>
                  <w:jc w:val="center"/>
                  <w:rPr>
                    <w:rFonts w:eastAsia="Calibri"/>
                    <w:szCs w:val="24"/>
                  </w:rPr>
                </w:pPr>
                <w:r>
                  <w:rPr>
                    <w:rFonts w:eastAsia="Calibri"/>
                    <w:szCs w:val="24"/>
                  </w:rPr>
                  <w:t>1.</w:t>
                </w:r>
              </w:p>
            </w:tc>
            <w:tc>
              <w:tcPr>
                <w:tcW w:w="72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pacing w:line="259" w:lineRule="auto"/>
                  <w:jc w:val="both"/>
                  <w:rPr>
                    <w:rFonts w:eastAsia="Calibri"/>
                    <w:szCs w:val="24"/>
                  </w:rPr>
                </w:pPr>
                <w:r>
                  <w:rPr>
                    <w:rFonts w:eastAsia="Calibri"/>
                    <w:szCs w:val="24"/>
                  </w:rPr>
                  <w:t>Mano įmonė turi kitos įmonės akcininkų arba narių balsų daugumą, arba kita įmonė turi mano įmonės akcininkų arba narių balsų daugumą (d</w:t>
                </w:r>
                <w:r>
                  <w:rPr>
                    <w:kern w:val="2"/>
                    <w:szCs w:val="24"/>
                  </w:rPr>
                  <w:t>auguma dalyvių (akcininkų, savininkų, narių) balsų suprantama kaip daugiau nei 50 proc. dalyvių balsų)</w:t>
                </w:r>
              </w:p>
              <w:p>
                <w:pPr>
                  <w:rPr>
                    <w:sz w:val="14"/>
                    <w:szCs w:val="14"/>
                  </w:rPr>
                </w:pPr>
              </w:p>
              <w:p>
                <w:pPr>
                  <w:spacing w:line="256" w:lineRule="auto"/>
                  <w:jc w:val="both"/>
                  <w:rPr>
                    <w:rFonts w:eastAsia="Calibri"/>
                    <w:i/>
                    <w:szCs w:val="24"/>
                  </w:rPr>
                </w:pPr>
                <w:r>
                  <w:rPr>
                    <w:rFonts w:eastAsia="Calibri"/>
                    <w:i/>
                    <w:szCs w:val="24"/>
                  </w:rPr>
                  <w:t>(Jeigu pažymima „Taip“, žemiau esančioje eilutėje nurodomi įmonių pavadinimai / vardai ir pavardės, įmonių / asmens kodai ir atitinkamai balsų skaičius procentine išraiška)</w:t>
                </w:r>
              </w:p>
            </w:tc>
            <w:tc>
              <w:tcPr>
                <w:tcW w:w="1703" w:type="dxa"/>
                <w:tcBorders>
                  <w:top w:val="single" w:sz="4" w:space="0" w:color="auto"/>
                  <w:left w:val="single" w:sz="4" w:space="0" w:color="auto"/>
                  <w:bottom w:val="single" w:sz="4" w:space="0" w:color="auto"/>
                  <w:right w:val="single" w:sz="4" w:space="0" w:color="auto"/>
                </w:tcBorders>
                <w:vAlign w:val="center"/>
              </w:tcPr>
              <w:p>
                <w:pPr>
                  <w:spacing w:line="256" w:lineRule="auto"/>
                  <w:ind w:firstLine="124"/>
                  <w:jc w:val="center"/>
                  <w:rPr>
                    <w:rFonts w:eastAsia="Calibri"/>
                    <w:b/>
                    <w:szCs w:val="24"/>
                  </w:rPr>
                </w:pPr>
                <w:r>
                  <w:rPr>
                    <w:rFonts w:eastAsia="Calibri"/>
                    <w:b/>
                    <w:szCs w:val="24"/>
                  </w:rPr>
                  <w:t xml:space="preserve">Taip </w:t>
                </w:r>
                <w:r>
                  <w:rPr>
                    <w:rFonts w:eastAsia="MS Mincho"/>
                    <w:b/>
                    <w:szCs w:val="24"/>
                  </w:rPr>
                  <w:t>□</w:t>
                </w:r>
              </w:p>
              <w:p>
                <w:pPr>
                  <w:spacing w:line="256" w:lineRule="auto"/>
                  <w:jc w:val="center"/>
                  <w:rPr>
                    <w:rFonts w:eastAsia="Calibri"/>
                    <w:i/>
                    <w:szCs w:val="24"/>
                  </w:rPr>
                </w:pPr>
                <w:r>
                  <w:rPr>
                    <w:rFonts w:eastAsia="Calibri"/>
                    <w:b/>
                    <w:szCs w:val="24"/>
                  </w:rPr>
                  <w:t>Ne</w:t>
                </w:r>
                <w:r>
                  <w:rPr>
                    <w:rFonts w:eastAsia="Calibri"/>
                    <w:b/>
                    <w:szCs w:val="24"/>
                    <w:shd w:val="clear" w:color="auto" w:fill="FFFFFF"/>
                  </w:rPr>
                  <w:t xml:space="preserve"> </w:t>
                </w:r>
                <w:r>
                  <w:rPr>
                    <w:rFonts w:eastAsia="MS Mincho"/>
                    <w:b/>
                    <w:szCs w:val="24"/>
                  </w:rPr>
                  <w:t>□</w:t>
                </w:r>
              </w:p>
            </w:tc>
          </w:tr>
          <w:tr>
            <w:trPr>
              <w:trHeight w:val="335"/>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rPr>
                </w:pPr>
              </w:p>
            </w:tc>
            <w:tc>
              <w:tcPr>
                <w:tcW w:w="7218" w:type="dxa"/>
                <w:tcBorders>
                  <w:top w:val="single" w:sz="4" w:space="0" w:color="auto"/>
                  <w:left w:val="single" w:sz="4" w:space="0" w:color="auto"/>
                  <w:bottom w:val="single" w:sz="4" w:space="0" w:color="auto"/>
                  <w:right w:val="single" w:sz="4" w:space="0" w:color="auto"/>
                </w:tcBorders>
                <w:hideMark/>
              </w:tcPr>
              <w:p>
                <w:pPr>
                  <w:spacing w:line="256" w:lineRule="auto"/>
                  <w:rPr>
                    <w:rFonts w:eastAsia="Calibri"/>
                    <w:bCs/>
                    <w:szCs w:val="24"/>
                  </w:rPr>
                </w:pPr>
                <w:r>
                  <w:rPr>
                    <w:rFonts w:eastAsia="Calibri"/>
                    <w:bCs/>
                    <w:szCs w:val="24"/>
                  </w:rPr>
                  <w:t>1.</w:t>
                </w:r>
              </w:p>
              <w:p>
                <w:pPr>
                  <w:spacing w:line="256" w:lineRule="auto"/>
                  <w:rPr>
                    <w:rFonts w:eastAsia="Calibri"/>
                    <w:bCs/>
                    <w:szCs w:val="24"/>
                  </w:rPr>
                </w:pPr>
                <w:r>
                  <w:rPr>
                    <w:rFonts w:eastAsia="Calibri"/>
                    <w:bCs/>
                    <w:szCs w:val="24"/>
                  </w:rPr>
                  <w:t>2.</w:t>
                </w:r>
              </w:p>
              <w:p>
                <w:pPr>
                  <w:tabs>
                    <w:tab w:val="left" w:pos="7535"/>
                  </w:tabs>
                  <w:spacing w:line="256" w:lineRule="auto"/>
                  <w:rPr>
                    <w:rFonts w:eastAsia="Calibri"/>
                    <w:bCs/>
                    <w:szCs w:val="24"/>
                  </w:rPr>
                </w:pPr>
                <w:r>
                  <w:rPr>
                    <w:rFonts w:eastAsia="Calibri"/>
                    <w:bCs/>
                    <w:szCs w:val="24"/>
                  </w:rPr>
                  <w:t>n.</w:t>
                </w:r>
              </w:p>
            </w:tc>
            <w:tc>
              <w:tcPr>
                <w:tcW w:w="1703" w:type="dxa"/>
                <w:tcBorders>
                  <w:top w:val="single" w:sz="4" w:space="0" w:color="auto"/>
                  <w:left w:val="single" w:sz="4" w:space="0" w:color="auto"/>
                  <w:bottom w:val="single" w:sz="4" w:space="0" w:color="auto"/>
                  <w:right w:val="single" w:sz="4" w:space="0" w:color="auto"/>
                </w:tcBorders>
              </w:tcPr>
              <w:p>
                <w:pPr>
                  <w:spacing w:line="259" w:lineRule="auto"/>
                  <w:rPr>
                    <w:rFonts w:eastAsia="Calibri"/>
                    <w:bCs/>
                    <w:szCs w:val="24"/>
                  </w:rPr>
                </w:pPr>
              </w:p>
              <w:p>
                <w:pPr>
                  <w:rPr>
                    <w:sz w:val="14"/>
                    <w:szCs w:val="14"/>
                  </w:rPr>
                </w:pPr>
              </w:p>
              <w:p>
                <w:pPr>
                  <w:tabs>
                    <w:tab w:val="left" w:pos="7535"/>
                  </w:tabs>
                  <w:spacing w:line="256" w:lineRule="auto"/>
                  <w:rPr>
                    <w:rFonts w:eastAsia="Calibri"/>
                    <w:bCs/>
                    <w:szCs w:val="24"/>
                  </w:rPr>
                </w:pPr>
              </w:p>
            </w:tc>
          </w:tr>
          <w:tr>
            <w:tc>
              <w:tcPr>
                <w:tcW w:w="709" w:type="dxa"/>
                <w:vMerge w:val="restart"/>
                <w:tcBorders>
                  <w:top w:val="single" w:sz="4" w:space="0" w:color="auto"/>
                  <w:left w:val="single" w:sz="4" w:space="0" w:color="auto"/>
                  <w:right w:val="single" w:sz="4" w:space="0" w:color="auto"/>
                </w:tcBorders>
                <w:tcMar>
                  <w:top w:w="0" w:type="dxa"/>
                  <w:left w:w="108" w:type="dxa"/>
                  <w:bottom w:w="0" w:type="dxa"/>
                  <w:right w:w="108" w:type="dxa"/>
                </w:tcMar>
                <w:vAlign w:val="center"/>
                <w:hideMark/>
              </w:tcPr>
              <w:p>
                <w:pPr>
                  <w:spacing w:line="256" w:lineRule="auto"/>
                  <w:jc w:val="center"/>
                  <w:rPr>
                    <w:rFonts w:eastAsia="Calibri"/>
                    <w:szCs w:val="24"/>
                  </w:rPr>
                </w:pPr>
                <w:r>
                  <w:rPr>
                    <w:rFonts w:eastAsia="Calibri"/>
                    <w:szCs w:val="24"/>
                  </w:rPr>
                  <w:t>2.</w:t>
                </w:r>
              </w:p>
            </w:tc>
            <w:tc>
              <w:tcPr>
                <w:tcW w:w="72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pacing w:line="256" w:lineRule="auto"/>
                  <w:jc w:val="both"/>
                  <w:rPr>
                    <w:rFonts w:eastAsia="Calibri"/>
                    <w:szCs w:val="24"/>
                  </w:rPr>
                </w:pPr>
                <w:r>
                  <w:rPr>
                    <w:rFonts w:eastAsia="Calibri"/>
                    <w:szCs w:val="24"/>
                  </w:rPr>
                  <w:t>Mano įmonė turi teisę paskirti arba atleisti daugumą kitos įmonės administracijos, valdymo arba priežiūros organo narių arba kita įmonė turi teisę paskirti arba atleisti daugumą mano įmonės administracijos, valdymo arba priežiūros organo narių</w:t>
                </w:r>
              </w:p>
              <w:p>
                <w:pPr>
                  <w:spacing w:line="256" w:lineRule="auto"/>
                  <w:jc w:val="both"/>
                  <w:rPr>
                    <w:rFonts w:eastAsia="Calibri"/>
                    <w:szCs w:val="24"/>
                  </w:rPr>
                </w:pPr>
                <w:r>
                  <w:rPr>
                    <w:rFonts w:eastAsia="Calibri"/>
                    <w:i/>
                    <w:szCs w:val="24"/>
                  </w:rPr>
                  <w:t>(Jeigu pažymima „Taip“, žemiau esančioje eilutėje nurodomas teisinis pagrindas (sutartys, įstatai ar kt.), įmonių pavadinimai / vardai ir pavardės, įmonių / asmens kodai)</w:t>
                </w:r>
              </w:p>
            </w:tc>
            <w:tc>
              <w:tcPr>
                <w:tcW w:w="1703" w:type="dxa"/>
                <w:tcBorders>
                  <w:top w:val="single" w:sz="4" w:space="0" w:color="auto"/>
                  <w:left w:val="single" w:sz="4" w:space="0" w:color="auto"/>
                  <w:bottom w:val="single" w:sz="4" w:space="0" w:color="auto"/>
                  <w:right w:val="single" w:sz="4" w:space="0" w:color="auto"/>
                </w:tcBorders>
                <w:vAlign w:val="center"/>
              </w:tcPr>
              <w:p>
                <w:pPr>
                  <w:spacing w:line="256" w:lineRule="auto"/>
                  <w:ind w:firstLine="124"/>
                  <w:jc w:val="center"/>
                  <w:rPr>
                    <w:rFonts w:eastAsia="Calibri"/>
                    <w:b/>
                    <w:szCs w:val="24"/>
                  </w:rPr>
                </w:pPr>
                <w:r>
                  <w:rPr>
                    <w:rFonts w:eastAsia="Calibri"/>
                    <w:b/>
                    <w:szCs w:val="24"/>
                  </w:rPr>
                  <w:t xml:space="preserve">Taip </w:t>
                </w:r>
                <w:r>
                  <w:rPr>
                    <w:rFonts w:eastAsia="MS Mincho"/>
                    <w:b/>
                    <w:szCs w:val="24"/>
                  </w:rPr>
                  <w:t>□</w:t>
                </w:r>
              </w:p>
              <w:p>
                <w:pPr>
                  <w:spacing w:line="256" w:lineRule="auto"/>
                  <w:jc w:val="center"/>
                  <w:rPr>
                    <w:rFonts w:eastAsia="Calibri"/>
                    <w:szCs w:val="24"/>
                  </w:rPr>
                </w:pPr>
                <w:r>
                  <w:rPr>
                    <w:rFonts w:eastAsia="Calibri"/>
                    <w:b/>
                    <w:szCs w:val="24"/>
                  </w:rPr>
                  <w:t>Ne</w:t>
                </w:r>
                <w:r>
                  <w:rPr>
                    <w:rFonts w:eastAsia="Calibri"/>
                    <w:b/>
                    <w:szCs w:val="24"/>
                    <w:shd w:val="clear" w:color="auto" w:fill="FFFFFF"/>
                  </w:rPr>
                  <w:t xml:space="preserve"> </w:t>
                </w:r>
                <w:r>
                  <w:rPr>
                    <w:rFonts w:eastAsia="MS Mincho"/>
                    <w:b/>
                    <w:szCs w:val="24"/>
                  </w:rPr>
                  <w:t>□</w:t>
                </w:r>
              </w:p>
            </w:tc>
          </w:tr>
          <w:tr>
            <w:trPr>
              <w:trHeight w:val="497"/>
            </w:trPr>
            <w:tc>
              <w:tcPr>
                <w:tcW w:w="709" w:type="dxa"/>
                <w:vMerge/>
                <w:tcBorders>
                  <w:left w:val="single" w:sz="4" w:space="0" w:color="auto"/>
                  <w:bottom w:val="single" w:sz="4" w:space="0" w:color="auto"/>
                  <w:right w:val="single" w:sz="4" w:space="0" w:color="auto"/>
                </w:tcBorders>
                <w:tcMar>
                  <w:top w:w="0" w:type="dxa"/>
                  <w:left w:w="108" w:type="dxa"/>
                  <w:bottom w:w="0" w:type="dxa"/>
                  <w:right w:w="108" w:type="dxa"/>
                </w:tcMar>
              </w:tcPr>
              <w:p>
                <w:pPr>
                  <w:spacing w:line="256" w:lineRule="auto"/>
                  <w:rPr>
                    <w:rFonts w:eastAsia="Calibri"/>
                    <w:bCs/>
                    <w:szCs w:val="24"/>
                  </w:rPr>
                </w:pPr>
              </w:p>
            </w:tc>
            <w:tc>
              <w:tcPr>
                <w:tcW w:w="7218" w:type="dxa"/>
                <w:tcBorders>
                  <w:top w:val="single" w:sz="4" w:space="0" w:color="auto"/>
                  <w:left w:val="single" w:sz="4" w:space="0" w:color="auto"/>
                  <w:bottom w:val="single" w:sz="4" w:space="0" w:color="auto"/>
                  <w:right w:val="single" w:sz="4" w:space="0" w:color="auto"/>
                </w:tcBorders>
                <w:hideMark/>
              </w:tcPr>
              <w:p>
                <w:pPr>
                  <w:spacing w:line="256" w:lineRule="auto"/>
                  <w:rPr>
                    <w:rFonts w:eastAsia="Calibri"/>
                    <w:bCs/>
                    <w:szCs w:val="24"/>
                  </w:rPr>
                </w:pPr>
                <w:r>
                  <w:rPr>
                    <w:rFonts w:eastAsia="Calibri"/>
                    <w:bCs/>
                    <w:szCs w:val="24"/>
                  </w:rPr>
                  <w:t>1.</w:t>
                </w:r>
              </w:p>
              <w:p>
                <w:pPr>
                  <w:spacing w:line="256" w:lineRule="auto"/>
                  <w:rPr>
                    <w:rFonts w:eastAsia="Calibri"/>
                    <w:bCs/>
                    <w:szCs w:val="24"/>
                  </w:rPr>
                </w:pPr>
                <w:r>
                  <w:rPr>
                    <w:rFonts w:eastAsia="Calibri"/>
                    <w:bCs/>
                    <w:szCs w:val="24"/>
                  </w:rPr>
                  <w:t>2.</w:t>
                </w:r>
              </w:p>
              <w:p>
                <w:pPr>
                  <w:spacing w:line="256" w:lineRule="auto"/>
                  <w:rPr>
                    <w:rFonts w:eastAsia="Calibri"/>
                    <w:bCs/>
                    <w:szCs w:val="24"/>
                  </w:rPr>
                </w:pPr>
                <w:r>
                  <w:rPr>
                    <w:rFonts w:eastAsia="Calibri"/>
                    <w:bCs/>
                    <w:szCs w:val="24"/>
                  </w:rPr>
                  <w:t>n.</w:t>
                </w:r>
              </w:p>
            </w:tc>
            <w:tc>
              <w:tcPr>
                <w:tcW w:w="1703" w:type="dxa"/>
                <w:tcBorders>
                  <w:top w:val="single" w:sz="4" w:space="0" w:color="auto"/>
                  <w:left w:val="single" w:sz="4" w:space="0" w:color="auto"/>
                  <w:bottom w:val="single" w:sz="4" w:space="0" w:color="auto"/>
                  <w:right w:val="single" w:sz="4" w:space="0" w:color="auto"/>
                </w:tcBorders>
              </w:tcPr>
              <w:p>
                <w:pPr>
                  <w:spacing w:line="259" w:lineRule="auto"/>
                  <w:rPr>
                    <w:rFonts w:eastAsia="Calibri"/>
                    <w:bCs/>
                    <w:szCs w:val="24"/>
                  </w:rPr>
                </w:pPr>
              </w:p>
              <w:p>
                <w:pPr>
                  <w:rPr>
                    <w:sz w:val="14"/>
                    <w:szCs w:val="14"/>
                  </w:rPr>
                </w:pPr>
              </w:p>
              <w:p>
                <w:pPr>
                  <w:spacing w:line="256" w:lineRule="auto"/>
                  <w:rPr>
                    <w:rFonts w:eastAsia="Calibri"/>
                    <w:bCs/>
                    <w:szCs w:val="24"/>
                  </w:rPr>
                </w:pPr>
              </w:p>
            </w:tc>
          </w:tr>
          <w:tr>
            <w:tc>
              <w:tcPr>
                <w:tcW w:w="709" w:type="dxa"/>
                <w:vMerge w:val="restart"/>
                <w:tcBorders>
                  <w:top w:val="single" w:sz="4" w:space="0" w:color="auto"/>
                  <w:left w:val="single" w:sz="4" w:space="0" w:color="auto"/>
                  <w:right w:val="single" w:sz="4" w:space="0" w:color="auto"/>
                </w:tcBorders>
                <w:tcMar>
                  <w:top w:w="0" w:type="dxa"/>
                  <w:left w:w="108" w:type="dxa"/>
                  <w:bottom w:w="0" w:type="dxa"/>
                  <w:right w:w="108" w:type="dxa"/>
                </w:tcMar>
                <w:vAlign w:val="center"/>
                <w:hideMark/>
              </w:tcPr>
              <w:p>
                <w:pPr>
                  <w:spacing w:line="256" w:lineRule="auto"/>
                  <w:jc w:val="center"/>
                  <w:rPr>
                    <w:rFonts w:eastAsia="Calibri"/>
                    <w:szCs w:val="24"/>
                  </w:rPr>
                </w:pPr>
                <w:r>
                  <w:rPr>
                    <w:rFonts w:eastAsia="Calibri"/>
                    <w:szCs w:val="24"/>
                  </w:rPr>
                  <w:t>3.</w:t>
                </w:r>
              </w:p>
            </w:tc>
            <w:tc>
              <w:tcPr>
                <w:tcW w:w="72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pacing w:line="259" w:lineRule="auto"/>
                  <w:jc w:val="both"/>
                  <w:rPr>
                    <w:rFonts w:eastAsia="Calibri"/>
                    <w:szCs w:val="24"/>
                  </w:rPr>
                </w:pPr>
                <w:r>
                  <w:rPr>
                    <w:rFonts w:eastAsia="Calibri"/>
                    <w:szCs w:val="24"/>
                  </w:rPr>
                  <w:t>Pagal sutartį arba vadovaujantis steigimo sutarties ar įstatų nuostata mano įmonei suteikiama teisė daryti kitai įmonei lemiamą įtaką (l</w:t>
                </w:r>
                <w:r>
                  <w:rPr>
                    <w:rFonts w:eastAsia="Calibri"/>
                    <w:kern w:val="2"/>
                    <w:szCs w:val="24"/>
                  </w:rPr>
                  <w:t>emiama įtaka suprantama kaip turima teisė, neturint įmonės akcininkų ar narių balsų daugumos, skirti (atšaukti) įmonės valdymo organų narius, veto teisė priimant įmonei svarbius sprendimus ar pan.</w:t>
                </w:r>
                <w:r>
                  <w:rPr>
                    <w:rFonts w:eastAsia="Calibri"/>
                    <w:szCs w:val="24"/>
                  </w:rPr>
                  <w:t>) arba kitai įmonei suteikiama teisė daryti mano įmonei lemiamą įtaką</w:t>
                </w:r>
              </w:p>
              <w:p>
                <w:pPr>
                  <w:rPr>
                    <w:sz w:val="14"/>
                    <w:szCs w:val="14"/>
                  </w:rPr>
                </w:pPr>
              </w:p>
              <w:p>
                <w:pPr>
                  <w:spacing w:line="256" w:lineRule="auto"/>
                  <w:jc w:val="both"/>
                  <w:rPr>
                    <w:rFonts w:eastAsia="Calibri"/>
                    <w:szCs w:val="24"/>
                  </w:rPr>
                </w:pPr>
                <w:r>
                  <w:rPr>
                    <w:rFonts w:eastAsia="Calibri"/>
                    <w:i/>
                    <w:szCs w:val="24"/>
                  </w:rPr>
                  <w:t>(Jeigu pažymima „Taip“, žemiau esančioje eilutėje nurodomas teisinis pagrindas (sutartys, įstatai ar kt.), įmonių pavadinimai / vardai ir pavardės, įmonių / asmens kodai)</w:t>
                </w:r>
              </w:p>
            </w:tc>
            <w:tc>
              <w:tcPr>
                <w:tcW w:w="1703" w:type="dxa"/>
                <w:tcBorders>
                  <w:top w:val="single" w:sz="4" w:space="0" w:color="auto"/>
                  <w:left w:val="single" w:sz="4" w:space="0" w:color="auto"/>
                  <w:bottom w:val="single" w:sz="4" w:space="0" w:color="auto"/>
                  <w:right w:val="single" w:sz="4" w:space="0" w:color="auto"/>
                </w:tcBorders>
                <w:vAlign w:val="center"/>
              </w:tcPr>
              <w:p>
                <w:pPr>
                  <w:spacing w:line="256" w:lineRule="auto"/>
                  <w:ind w:firstLine="124"/>
                  <w:jc w:val="center"/>
                  <w:rPr>
                    <w:rFonts w:eastAsia="Calibri"/>
                    <w:b/>
                    <w:szCs w:val="24"/>
                  </w:rPr>
                </w:pPr>
                <w:r>
                  <w:rPr>
                    <w:rFonts w:eastAsia="Calibri"/>
                    <w:b/>
                    <w:szCs w:val="24"/>
                  </w:rPr>
                  <w:t xml:space="preserve">Taip </w:t>
                </w:r>
                <w:r>
                  <w:rPr>
                    <w:rFonts w:eastAsia="MS Mincho"/>
                    <w:b/>
                    <w:szCs w:val="24"/>
                  </w:rPr>
                  <w:t>□</w:t>
                </w:r>
              </w:p>
              <w:p>
                <w:pPr>
                  <w:spacing w:line="256" w:lineRule="auto"/>
                  <w:jc w:val="center"/>
                  <w:rPr>
                    <w:rFonts w:eastAsia="Calibri"/>
                    <w:szCs w:val="24"/>
                  </w:rPr>
                </w:pPr>
                <w:r>
                  <w:rPr>
                    <w:rFonts w:eastAsia="Calibri"/>
                    <w:b/>
                    <w:szCs w:val="24"/>
                  </w:rPr>
                  <w:t>Ne</w:t>
                </w:r>
                <w:r>
                  <w:rPr>
                    <w:rFonts w:eastAsia="Calibri"/>
                    <w:b/>
                    <w:szCs w:val="24"/>
                    <w:shd w:val="clear" w:color="auto" w:fill="FFFFFF"/>
                  </w:rPr>
                  <w:t xml:space="preserve"> </w:t>
                </w:r>
                <w:r>
                  <w:rPr>
                    <w:rFonts w:eastAsia="MS Mincho"/>
                    <w:b/>
                    <w:szCs w:val="24"/>
                  </w:rPr>
                  <w:t>□</w:t>
                </w:r>
              </w:p>
            </w:tc>
          </w:tr>
          <w:tr>
            <w:tc>
              <w:tcPr>
                <w:tcW w:w="709" w:type="dxa"/>
                <w:vMerge/>
                <w:tcBorders>
                  <w:left w:val="single" w:sz="4" w:space="0" w:color="auto"/>
                  <w:bottom w:val="single" w:sz="4" w:space="0" w:color="auto"/>
                  <w:right w:val="single" w:sz="4" w:space="0" w:color="auto"/>
                </w:tcBorders>
                <w:tcMar>
                  <w:top w:w="0" w:type="dxa"/>
                  <w:left w:w="108" w:type="dxa"/>
                  <w:bottom w:w="0" w:type="dxa"/>
                  <w:right w:w="108" w:type="dxa"/>
                </w:tcMar>
              </w:tcPr>
              <w:p>
                <w:pPr>
                  <w:spacing w:line="256" w:lineRule="auto"/>
                  <w:rPr>
                    <w:rFonts w:eastAsia="Calibri"/>
                    <w:szCs w:val="24"/>
                  </w:rPr>
                </w:pPr>
              </w:p>
            </w:tc>
            <w:tc>
              <w:tcPr>
                <w:tcW w:w="72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pacing w:line="256" w:lineRule="auto"/>
                  <w:rPr>
                    <w:rFonts w:eastAsia="Calibri"/>
                    <w:bCs/>
                    <w:szCs w:val="24"/>
                  </w:rPr>
                </w:pPr>
                <w:r>
                  <w:rPr>
                    <w:rFonts w:eastAsia="Calibri"/>
                    <w:bCs/>
                    <w:szCs w:val="24"/>
                  </w:rPr>
                  <w:t>1.</w:t>
                </w:r>
              </w:p>
              <w:p>
                <w:pPr>
                  <w:spacing w:line="256" w:lineRule="auto"/>
                  <w:rPr>
                    <w:rFonts w:eastAsia="Calibri"/>
                    <w:bCs/>
                    <w:szCs w:val="24"/>
                  </w:rPr>
                </w:pPr>
                <w:r>
                  <w:rPr>
                    <w:rFonts w:eastAsia="Calibri"/>
                    <w:bCs/>
                    <w:szCs w:val="24"/>
                  </w:rPr>
                  <w:t>2.</w:t>
                </w:r>
              </w:p>
              <w:p>
                <w:pPr>
                  <w:spacing w:line="256" w:lineRule="auto"/>
                  <w:rPr>
                    <w:rFonts w:eastAsia="Calibri"/>
                    <w:bCs/>
                    <w:szCs w:val="24"/>
                  </w:rPr>
                </w:pPr>
                <w:r>
                  <w:rPr>
                    <w:rFonts w:eastAsia="Calibri"/>
                    <w:bCs/>
                    <w:szCs w:val="24"/>
                  </w:rPr>
                  <w:t>n.</w:t>
                </w:r>
              </w:p>
            </w:tc>
            <w:tc>
              <w:tcPr>
                <w:tcW w:w="1703" w:type="dxa"/>
                <w:tcBorders>
                  <w:top w:val="single" w:sz="4" w:space="0" w:color="auto"/>
                  <w:left w:val="single" w:sz="4" w:space="0" w:color="auto"/>
                  <w:bottom w:val="single" w:sz="4" w:space="0" w:color="auto"/>
                  <w:right w:val="single" w:sz="4" w:space="0" w:color="auto"/>
                </w:tcBorders>
              </w:tcPr>
              <w:p>
                <w:pPr>
                  <w:spacing w:line="259" w:lineRule="auto"/>
                  <w:rPr>
                    <w:rFonts w:eastAsia="Calibri"/>
                    <w:bCs/>
                    <w:szCs w:val="24"/>
                  </w:rPr>
                </w:pPr>
              </w:p>
              <w:p>
                <w:pPr>
                  <w:rPr>
                    <w:sz w:val="14"/>
                    <w:szCs w:val="14"/>
                  </w:rPr>
                </w:pPr>
              </w:p>
              <w:p>
                <w:pPr>
                  <w:spacing w:line="256" w:lineRule="auto"/>
                  <w:rPr>
                    <w:rFonts w:eastAsia="Calibri"/>
                    <w:bCs/>
                    <w:szCs w:val="24"/>
                  </w:rPr>
                </w:pPr>
              </w:p>
            </w:tc>
          </w:tr>
          <w:tr>
            <w:tc>
              <w:tcPr>
                <w:tcW w:w="709"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pacing w:line="256" w:lineRule="auto"/>
                  <w:jc w:val="center"/>
                  <w:rPr>
                    <w:rFonts w:eastAsia="Calibri"/>
                    <w:szCs w:val="24"/>
                  </w:rPr>
                </w:pPr>
                <w:r>
                  <w:rPr>
                    <w:rFonts w:eastAsia="Calibri"/>
                    <w:szCs w:val="24"/>
                  </w:rPr>
                  <w:t>4.</w:t>
                </w:r>
              </w:p>
            </w:tc>
            <w:tc>
              <w:tcPr>
                <w:tcW w:w="72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pacing w:line="256" w:lineRule="auto"/>
                  <w:jc w:val="both"/>
                  <w:rPr>
                    <w:rFonts w:eastAsia="Calibri"/>
                    <w:szCs w:val="24"/>
                  </w:rPr>
                </w:pPr>
                <w:r>
                  <w:rPr>
                    <w:rFonts w:eastAsia="Calibri"/>
                    <w:szCs w:val="24"/>
                  </w:rPr>
                  <w:t>Mano įmonė, būdama kitos įmonės akcininkė arba narė, vadovaudamasi su tos įmonės kitais akcininkais ar nariais sudaryta sutartimi, viena kontroliuoja tos kitos įmonės akcininkų arba narių balsavimo teisių daugumą, arba kita įmonė, būdama mano įmonės akcininkė arba narė, vadovaudamasi su mano įmonės kitais akcininkais ar nariais sudaryta sutartimi, viena kontroliuoja mano įmonės akcininkų arba narių balsavimo teisių daugumą</w:t>
                </w:r>
              </w:p>
              <w:p>
                <w:pPr>
                  <w:spacing w:line="256" w:lineRule="auto"/>
                  <w:jc w:val="both"/>
                  <w:rPr>
                    <w:rFonts w:eastAsia="Calibri"/>
                    <w:szCs w:val="24"/>
                  </w:rPr>
                </w:pPr>
                <w:r>
                  <w:rPr>
                    <w:rFonts w:eastAsia="Calibri"/>
                    <w:i/>
                    <w:szCs w:val="24"/>
                  </w:rPr>
                  <w:t>(Jeigu pažymima „Taip“, žemiau esančioje eilutėje nurodomas teisinis pagrindas (sutartys, įstatai ar kt.), įmonių pavadinimai / vardai ir pavardės, įmonių / asmens kodai)</w:t>
                </w:r>
              </w:p>
            </w:tc>
            <w:tc>
              <w:tcPr>
                <w:tcW w:w="170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pacing w:line="256" w:lineRule="auto"/>
                  <w:ind w:firstLine="124"/>
                  <w:jc w:val="center"/>
                  <w:rPr>
                    <w:rFonts w:eastAsia="Calibri"/>
                    <w:b/>
                    <w:szCs w:val="24"/>
                  </w:rPr>
                </w:pPr>
                <w:r>
                  <w:rPr>
                    <w:rFonts w:eastAsia="Calibri"/>
                    <w:b/>
                    <w:szCs w:val="24"/>
                  </w:rPr>
                  <w:t xml:space="preserve">Taip </w:t>
                </w:r>
                <w:r>
                  <w:rPr>
                    <w:rFonts w:eastAsia="MS Mincho"/>
                    <w:b/>
                    <w:szCs w:val="24"/>
                  </w:rPr>
                  <w:t>□</w:t>
                </w:r>
              </w:p>
              <w:p>
                <w:pPr>
                  <w:spacing w:line="256" w:lineRule="auto"/>
                  <w:jc w:val="center"/>
                  <w:rPr>
                    <w:rFonts w:eastAsia="Calibri"/>
                    <w:szCs w:val="24"/>
                  </w:rPr>
                </w:pPr>
                <w:r>
                  <w:rPr>
                    <w:rFonts w:eastAsia="Calibri"/>
                    <w:b/>
                    <w:szCs w:val="24"/>
                  </w:rPr>
                  <w:t>Ne</w:t>
                </w:r>
                <w:r>
                  <w:rPr>
                    <w:rFonts w:eastAsia="Calibri"/>
                    <w:b/>
                    <w:szCs w:val="24"/>
                    <w:shd w:val="clear" w:color="auto" w:fill="FFFFFF"/>
                  </w:rPr>
                  <w:t xml:space="preserve"> </w:t>
                </w:r>
                <w:r>
                  <w:rPr>
                    <w:rFonts w:eastAsia="MS Mincho"/>
                    <w:b/>
                    <w:szCs w:val="24"/>
                  </w:rPr>
                  <w:t>□</w:t>
                </w:r>
              </w:p>
            </w:tc>
          </w:tr>
          <w:tr>
            <w:tc>
              <w:tcPr>
                <w:tcW w:w="70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rPr>
                </w:pPr>
              </w:p>
            </w:tc>
            <w:tc>
              <w:tcPr>
                <w:tcW w:w="892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pacing w:line="256" w:lineRule="auto"/>
                  <w:rPr>
                    <w:rFonts w:eastAsia="Calibri"/>
                    <w:bCs/>
                    <w:szCs w:val="24"/>
                  </w:rPr>
                </w:pPr>
                <w:r>
                  <w:rPr>
                    <w:rFonts w:eastAsia="Calibri"/>
                    <w:bCs/>
                    <w:szCs w:val="24"/>
                  </w:rPr>
                  <w:t>1.</w:t>
                </w:r>
              </w:p>
              <w:p>
                <w:pPr>
                  <w:spacing w:line="256" w:lineRule="auto"/>
                  <w:rPr>
                    <w:rFonts w:eastAsia="Calibri"/>
                    <w:bCs/>
                    <w:szCs w:val="24"/>
                  </w:rPr>
                </w:pPr>
                <w:r>
                  <w:rPr>
                    <w:rFonts w:eastAsia="Calibri"/>
                    <w:bCs/>
                    <w:szCs w:val="24"/>
                  </w:rPr>
                  <w:t>2.</w:t>
                </w:r>
              </w:p>
              <w:p>
                <w:pPr>
                  <w:spacing w:line="256" w:lineRule="auto"/>
                  <w:rPr>
                    <w:rFonts w:eastAsia="Calibri"/>
                    <w:bCs/>
                    <w:szCs w:val="24"/>
                  </w:rPr>
                </w:pPr>
                <w:r>
                  <w:rPr>
                    <w:rFonts w:eastAsia="Calibri"/>
                    <w:bCs/>
                    <w:szCs w:val="24"/>
                  </w:rPr>
                  <w:t>n.</w:t>
                </w:r>
              </w:p>
            </w:tc>
          </w:tr>
          <w:tr>
            <w:tc>
              <w:tcPr>
                <w:tcW w:w="9630" w:type="dxa"/>
                <w:gridSpan w:val="3"/>
                <w:tcBorders>
                  <w:top w:val="single" w:sz="4" w:space="0" w:color="auto"/>
                  <w:bottom w:val="single" w:sz="4" w:space="0" w:color="auto"/>
                </w:tcBorders>
                <w:vAlign w:val="center"/>
              </w:tcPr>
              <w:p>
                <w:pPr>
                  <w:spacing w:line="256" w:lineRule="auto"/>
                  <w:jc w:val="both"/>
                  <w:rPr>
                    <w:rFonts w:eastAsia="Calibri"/>
                    <w:b/>
                    <w:szCs w:val="24"/>
                    <w:highlight w:val="yellow"/>
                  </w:rPr>
                </w:pPr>
              </w:p>
              <w:p>
                <w:pPr>
                  <w:spacing w:line="256" w:lineRule="auto"/>
                  <w:ind w:firstLine="62"/>
                  <w:jc w:val="both"/>
                  <w:rPr>
                    <w:rFonts w:eastAsia="Calibri"/>
                    <w:b/>
                    <w:szCs w:val="24"/>
                  </w:rPr>
                </w:pPr>
                <w:r>
                  <w:rPr>
                    <w:rFonts w:eastAsia="Calibri"/>
                    <w:b/>
                    <w:szCs w:val="24"/>
                  </w:rPr>
                  <w:t xml:space="preserve">5. INFORMACIJA, REIKALINGA UŽTIKRINTI, KAD NEBŪTŲ PAŽEISTOS </w:t>
                </w:r>
                <w:r>
                  <w:rPr>
                    <w:rFonts w:eastAsia="Calibri"/>
                    <w:b/>
                    <w:i/>
                    <w:iCs/>
                    <w:szCs w:val="24"/>
                  </w:rPr>
                  <w:t>DE MINIMIS</w:t>
                </w:r>
                <w:r>
                  <w:rPr>
                    <w:rFonts w:eastAsia="Calibri"/>
                    <w:b/>
                    <w:szCs w:val="24"/>
                  </w:rPr>
                  <w:t xml:space="preserve"> PAGALBOS TEIKIMO SĄLYGOS, KAIP NURODYTA REGLAMENTO (ES) NR. 1408/2013 3 STRAIPSNIO 9 IR 10 DALYJE</w:t>
                </w:r>
              </w:p>
              <w:p>
                <w:pPr>
                  <w:spacing w:line="256" w:lineRule="auto"/>
                  <w:jc w:val="both"/>
                  <w:rPr>
                    <w:rFonts w:eastAsia="Calibri"/>
                    <w:b/>
                    <w:szCs w:val="24"/>
                    <w:highlight w:val="yellow"/>
                  </w:rPr>
                </w:pPr>
              </w:p>
            </w:tc>
          </w:tr>
          <w:tr>
            <w:tc>
              <w:tcPr>
                <w:tcW w:w="70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pacing w:line="256" w:lineRule="auto"/>
                  <w:jc w:val="center"/>
                  <w:rPr>
                    <w:rFonts w:eastAsia="Calibri"/>
                    <w:b/>
                    <w:szCs w:val="24"/>
                  </w:rPr>
                </w:pPr>
                <w:r>
                  <w:rPr>
                    <w:rFonts w:eastAsia="Calibri"/>
                    <w:b/>
                    <w:szCs w:val="24"/>
                  </w:rPr>
                  <w:t>Eil.</w:t>
                </w:r>
              </w:p>
              <w:p>
                <w:pPr>
                  <w:spacing w:line="256" w:lineRule="auto"/>
                  <w:jc w:val="center"/>
                  <w:rPr>
                    <w:rFonts w:eastAsia="Calibri"/>
                    <w:b/>
                    <w:szCs w:val="24"/>
                  </w:rPr>
                </w:pPr>
                <w:r>
                  <w:rPr>
                    <w:rFonts w:eastAsia="Calibri"/>
                    <w:b/>
                    <w:szCs w:val="24"/>
                  </w:rPr>
                  <w:t>Nr.</w:t>
                </w:r>
              </w:p>
            </w:tc>
            <w:tc>
              <w:tcPr>
                <w:tcW w:w="72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pacing w:line="256" w:lineRule="auto"/>
                  <w:jc w:val="center"/>
                  <w:rPr>
                    <w:rFonts w:eastAsia="Calibri"/>
                    <w:b/>
                    <w:szCs w:val="24"/>
                  </w:rPr>
                </w:pPr>
                <w:r>
                  <w:rPr>
                    <w:rFonts w:eastAsia="Calibri"/>
                    <w:b/>
                    <w:szCs w:val="24"/>
                  </w:rPr>
                  <w:t xml:space="preserve">Įmonių susijungimas, įsigijimas ir skaidymas per praėjusius trejus metus </w:t>
                </w:r>
              </w:p>
            </w:tc>
            <w:tc>
              <w:tcPr>
                <w:tcW w:w="170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pacing w:line="256" w:lineRule="auto"/>
                  <w:jc w:val="center"/>
                  <w:rPr>
                    <w:rFonts w:eastAsia="Calibri"/>
                    <w:b/>
                    <w:bCs/>
                    <w:szCs w:val="24"/>
                  </w:rPr>
                </w:pPr>
                <w:r>
                  <w:rPr>
                    <w:rFonts w:eastAsia="Calibri"/>
                    <w:b/>
                    <w:bCs/>
                    <w:szCs w:val="24"/>
                  </w:rPr>
                  <w:t>Pažymėti</w:t>
                </w:r>
              </w:p>
            </w:tc>
          </w:tr>
          <w:tr>
            <w:trPr>
              <w:trHeight w:val="365"/>
            </w:trPr>
            <w:tc>
              <w:tcPr>
                <w:tcW w:w="709"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pacing w:line="256" w:lineRule="auto"/>
                  <w:jc w:val="center"/>
                  <w:rPr>
                    <w:rFonts w:eastAsia="Calibri"/>
                    <w:szCs w:val="24"/>
                  </w:rPr>
                </w:pPr>
                <w:r>
                  <w:rPr>
                    <w:rFonts w:eastAsia="Calibri"/>
                    <w:szCs w:val="24"/>
                  </w:rPr>
                  <w:t>1.</w:t>
                </w:r>
              </w:p>
            </w:tc>
            <w:tc>
              <w:tcPr>
                <w:tcW w:w="7218" w:type="dxa"/>
                <w:tcBorders>
                  <w:top w:val="single" w:sz="4" w:space="0" w:color="auto"/>
                  <w:left w:val="single" w:sz="4" w:space="0" w:color="auto"/>
                  <w:bottom w:val="single" w:sz="4" w:space="0" w:color="auto"/>
                  <w:right w:val="single" w:sz="4" w:space="0" w:color="auto"/>
                </w:tcBorders>
                <w:hideMark/>
              </w:tcPr>
              <w:p>
                <w:pPr>
                  <w:spacing w:line="256" w:lineRule="auto"/>
                  <w:jc w:val="both"/>
                  <w:rPr>
                    <w:szCs w:val="24"/>
                  </w:rPr>
                </w:pPr>
                <w:r>
                  <w:rPr>
                    <w:szCs w:val="24"/>
                  </w:rPr>
                  <w:t>Mano įmonė per praėjusius trejus metus (t. y. per 36 mėnesių laikotarpį iki paraiškos pateikimo) susijungė su kita įmone arba mano įmonė įsigijo kitą įmonę, arba kita įmonė įsigijo mano įmonę</w:t>
                </w:r>
              </w:p>
              <w:p>
                <w:pPr>
                  <w:spacing w:line="256" w:lineRule="auto"/>
                  <w:jc w:val="both"/>
                  <w:rPr>
                    <w:rFonts w:eastAsia="Calibri"/>
                    <w:szCs w:val="24"/>
                  </w:rPr>
                </w:pPr>
                <w:r>
                  <w:rPr>
                    <w:rFonts w:eastAsia="Calibri"/>
                    <w:i/>
                    <w:szCs w:val="24"/>
                  </w:rPr>
                  <w:t xml:space="preserve">(Jeigu pažymima „Taip“, žemiau esančioje eilutėje nurodomi susijusių įmonių pavadinimai / vardai ir pavardės, įmonių / asmens kodai) </w:t>
                </w:r>
              </w:p>
            </w:tc>
            <w:tc>
              <w:tcPr>
                <w:tcW w:w="1703" w:type="dxa"/>
                <w:tcBorders>
                  <w:top w:val="single" w:sz="4" w:space="0" w:color="auto"/>
                  <w:left w:val="single" w:sz="4" w:space="0" w:color="auto"/>
                  <w:bottom w:val="single" w:sz="4" w:space="0" w:color="auto"/>
                  <w:right w:val="single" w:sz="4" w:space="0" w:color="auto"/>
                </w:tcBorders>
                <w:vAlign w:val="center"/>
                <w:hideMark/>
              </w:tcPr>
              <w:p>
                <w:pPr>
                  <w:spacing w:line="256" w:lineRule="auto"/>
                  <w:ind w:firstLine="124"/>
                  <w:jc w:val="center"/>
                  <w:rPr>
                    <w:rFonts w:eastAsia="Calibri"/>
                    <w:b/>
                    <w:szCs w:val="24"/>
                  </w:rPr>
                </w:pPr>
                <w:r>
                  <w:rPr>
                    <w:rFonts w:eastAsia="Calibri"/>
                    <w:b/>
                    <w:szCs w:val="24"/>
                  </w:rPr>
                  <w:t xml:space="preserve">Taip </w:t>
                </w:r>
                <w:r>
                  <w:rPr>
                    <w:rFonts w:eastAsia="MS Mincho"/>
                    <w:b/>
                    <w:szCs w:val="24"/>
                  </w:rPr>
                  <w:t>□</w:t>
                </w:r>
              </w:p>
              <w:p>
                <w:pPr>
                  <w:tabs>
                    <w:tab w:val="left" w:pos="675"/>
                  </w:tabs>
                  <w:spacing w:line="256" w:lineRule="auto"/>
                  <w:jc w:val="center"/>
                  <w:rPr>
                    <w:rFonts w:eastAsia="Calibri"/>
                    <w:b/>
                    <w:szCs w:val="24"/>
                  </w:rPr>
                </w:pPr>
                <w:r>
                  <w:rPr>
                    <w:rFonts w:eastAsia="Calibri"/>
                    <w:b/>
                    <w:szCs w:val="24"/>
                  </w:rPr>
                  <w:t>Ne</w:t>
                </w:r>
                <w:r>
                  <w:rPr>
                    <w:rFonts w:eastAsia="Calibri"/>
                    <w:b/>
                    <w:szCs w:val="24"/>
                    <w:shd w:val="clear" w:color="auto" w:fill="FFFFFF"/>
                  </w:rPr>
                  <w:t xml:space="preserve"> </w:t>
                </w:r>
                <w:r>
                  <w:rPr>
                    <w:rFonts w:eastAsia="MS Mincho"/>
                    <w:b/>
                    <w:szCs w:val="24"/>
                  </w:rPr>
                  <w:t>□</w:t>
                </w:r>
              </w:p>
            </w:tc>
          </w:tr>
          <w:tr>
            <w:trPr>
              <w:trHeight w:val="365"/>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rPr>
                </w:pPr>
              </w:p>
            </w:tc>
            <w:tc>
              <w:tcPr>
                <w:tcW w:w="892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pacing w:line="256" w:lineRule="auto"/>
                  <w:rPr>
                    <w:rFonts w:eastAsia="Calibri"/>
                    <w:bCs/>
                    <w:szCs w:val="24"/>
                  </w:rPr>
                </w:pPr>
                <w:r>
                  <w:rPr>
                    <w:rFonts w:eastAsia="Calibri"/>
                    <w:bCs/>
                    <w:szCs w:val="24"/>
                  </w:rPr>
                  <w:t>1.</w:t>
                </w:r>
              </w:p>
              <w:p>
                <w:pPr>
                  <w:spacing w:line="256" w:lineRule="auto"/>
                  <w:rPr>
                    <w:rFonts w:eastAsia="Calibri"/>
                    <w:bCs/>
                    <w:szCs w:val="24"/>
                  </w:rPr>
                </w:pPr>
                <w:r>
                  <w:rPr>
                    <w:rFonts w:eastAsia="Calibri"/>
                    <w:bCs/>
                    <w:szCs w:val="24"/>
                  </w:rPr>
                  <w:t>2.</w:t>
                </w:r>
              </w:p>
              <w:p>
                <w:pPr>
                  <w:spacing w:line="256" w:lineRule="auto"/>
                  <w:rPr>
                    <w:rFonts w:eastAsia="Calibri"/>
                    <w:szCs w:val="24"/>
                  </w:rPr>
                </w:pPr>
                <w:r>
                  <w:rPr>
                    <w:rFonts w:eastAsia="Calibri"/>
                    <w:bCs/>
                    <w:szCs w:val="24"/>
                  </w:rPr>
                  <w:t>n.</w:t>
                </w:r>
              </w:p>
            </w:tc>
          </w:tr>
          <w:tr>
            <w:trPr>
              <w:trHeight w:val="365"/>
            </w:trPr>
            <w:tc>
              <w:tcPr>
                <w:tcW w:w="709"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pacing w:line="256" w:lineRule="auto"/>
                  <w:jc w:val="center"/>
                  <w:rPr>
                    <w:rFonts w:eastAsia="Calibri"/>
                    <w:szCs w:val="24"/>
                  </w:rPr>
                </w:pPr>
                <w:r>
                  <w:rPr>
                    <w:rFonts w:eastAsia="Calibri"/>
                    <w:szCs w:val="24"/>
                  </w:rPr>
                  <w:t>2.</w:t>
                </w:r>
              </w:p>
            </w:tc>
            <w:tc>
              <w:tcPr>
                <w:tcW w:w="72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pacing w:line="256" w:lineRule="auto"/>
                  <w:jc w:val="both"/>
                  <w:rPr>
                    <w:szCs w:val="24"/>
                  </w:rPr>
                </w:pPr>
                <w:r>
                  <w:rPr>
                    <w:szCs w:val="24"/>
                  </w:rPr>
                  <w:t>Mano įmonė per praėjusius trejus metus (t. y. per 36 mėnesių laikotarpį iki paraiškos pateikimo) buvo įkurta suskaidžius kitą įmonę</w:t>
                </w:r>
              </w:p>
              <w:p>
                <w:pPr>
                  <w:spacing w:line="256" w:lineRule="auto"/>
                  <w:jc w:val="both"/>
                  <w:rPr>
                    <w:rFonts w:eastAsia="Calibri"/>
                    <w:i/>
                    <w:szCs w:val="24"/>
                  </w:rPr>
                </w:pPr>
                <w:r>
                  <w:rPr>
                    <w:rFonts w:eastAsia="Calibri"/>
                    <w:i/>
                    <w:szCs w:val="24"/>
                  </w:rPr>
                  <w:t xml:space="preserve">(Jeigu pažymima „Taip“, žemiau esančioje eilutėje nurodoma suskaidymo data, suskaidytos įmonės pavadinimas, įmonės kodas, taip pat </w:t>
                </w:r>
                <w:r>
                  <w:rPr>
                    <w:i/>
                    <w:szCs w:val="24"/>
                  </w:rPr>
                  <w:t xml:space="preserve">iki suskaidymo veikusiai įmonei suteiktos nereikšmingos (de minimis) pagalbos (jeigu tokia pagalba buvo suteikta) dydis pagal reglamentą </w:t>
                </w:r>
                <w:r>
                  <w:rPr>
                    <w:i/>
                    <w:color w:val="0000FF"/>
                    <w:szCs w:val="24"/>
                    <w:u w:val="single"/>
                  </w:rPr>
                  <w:t xml:space="preserve">(ES) Nr. </w:t>
                </w:r>
                <w:r>
                  <w:rPr>
                    <w:i/>
                    <w:iCs/>
                    <w:color w:val="0000FF"/>
                    <w:spacing w:val="-2"/>
                    <w:szCs w:val="24"/>
                    <w:u w:val="single"/>
                  </w:rPr>
                  <w:t>1408/2013</w:t>
                </w:r>
                <w:r>
                  <w:rPr>
                    <w:i/>
                    <w:szCs w:val="24"/>
                  </w:rPr>
                  <w:t xml:space="preserve"> ir kokiai veiklai (jeigu vykdo kelias veiklas) ji buvo panaudota</w:t>
                </w:r>
                <w:r>
                  <w:rPr>
                    <w:rFonts w:eastAsia="Calibri"/>
                    <w:i/>
                    <w:szCs w:val="24"/>
                  </w:rPr>
                  <w:t>)</w:t>
                </w:r>
              </w:p>
            </w:tc>
            <w:tc>
              <w:tcPr>
                <w:tcW w:w="1703" w:type="dxa"/>
                <w:tcBorders>
                  <w:top w:val="single" w:sz="4" w:space="0" w:color="auto"/>
                  <w:left w:val="single" w:sz="4" w:space="0" w:color="auto"/>
                  <w:bottom w:val="single" w:sz="4" w:space="0" w:color="auto"/>
                  <w:right w:val="single" w:sz="4" w:space="0" w:color="auto"/>
                </w:tcBorders>
                <w:hideMark/>
              </w:tcPr>
              <w:p>
                <w:pPr>
                  <w:spacing w:line="256" w:lineRule="auto"/>
                  <w:jc w:val="center"/>
                  <w:rPr>
                    <w:rFonts w:eastAsia="Calibri"/>
                    <w:b/>
                    <w:szCs w:val="24"/>
                  </w:rPr>
                </w:pPr>
              </w:p>
              <w:p>
                <w:pPr>
                  <w:spacing w:line="256" w:lineRule="auto"/>
                  <w:jc w:val="center"/>
                  <w:rPr>
                    <w:rFonts w:eastAsia="Calibri"/>
                    <w:b/>
                    <w:szCs w:val="24"/>
                  </w:rPr>
                </w:pPr>
              </w:p>
              <w:p>
                <w:pPr>
                  <w:spacing w:line="256" w:lineRule="auto"/>
                  <w:ind w:firstLine="124"/>
                  <w:jc w:val="center"/>
                  <w:rPr>
                    <w:rFonts w:eastAsia="Calibri"/>
                    <w:b/>
                    <w:szCs w:val="24"/>
                  </w:rPr>
                </w:pPr>
                <w:r>
                  <w:rPr>
                    <w:rFonts w:eastAsia="Calibri"/>
                    <w:b/>
                    <w:szCs w:val="24"/>
                  </w:rPr>
                  <w:t xml:space="preserve">Taip </w:t>
                </w:r>
                <w:r>
                  <w:rPr>
                    <w:rFonts w:eastAsia="MS Mincho"/>
                    <w:b/>
                    <w:szCs w:val="24"/>
                  </w:rPr>
                  <w:t>□</w:t>
                </w:r>
              </w:p>
              <w:p>
                <w:pPr>
                  <w:spacing w:line="256" w:lineRule="auto"/>
                  <w:jc w:val="center"/>
                  <w:rPr>
                    <w:rFonts w:eastAsia="Calibri"/>
                    <w:szCs w:val="24"/>
                  </w:rPr>
                </w:pPr>
                <w:r>
                  <w:rPr>
                    <w:rFonts w:eastAsia="Calibri"/>
                    <w:b/>
                    <w:szCs w:val="24"/>
                  </w:rPr>
                  <w:t>Ne</w:t>
                </w:r>
                <w:r>
                  <w:rPr>
                    <w:rFonts w:eastAsia="Calibri"/>
                    <w:b/>
                    <w:szCs w:val="24"/>
                    <w:shd w:val="clear" w:color="auto" w:fill="FFFFFF"/>
                  </w:rPr>
                  <w:t xml:space="preserve"> </w:t>
                </w:r>
                <w:r>
                  <w:rPr>
                    <w:rFonts w:eastAsia="MS Mincho"/>
                    <w:b/>
                    <w:szCs w:val="24"/>
                  </w:rPr>
                  <w:t>□</w:t>
                </w:r>
              </w:p>
            </w:tc>
          </w:tr>
          <w:tr>
            <w:trPr>
              <w:trHeight w:val="365"/>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rPr>
                </w:pPr>
              </w:p>
            </w:tc>
            <w:tc>
              <w:tcPr>
                <w:tcW w:w="892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56" w:lineRule="auto"/>
                  <w:rPr>
                    <w:rFonts w:eastAsia="Calibri"/>
                    <w:bCs/>
                    <w:szCs w:val="24"/>
                  </w:rPr>
                </w:pPr>
                <w:r>
                  <w:rPr>
                    <w:rFonts w:eastAsia="Calibri"/>
                    <w:bCs/>
                    <w:szCs w:val="24"/>
                  </w:rPr>
                  <w:t>1.</w:t>
                </w:r>
              </w:p>
              <w:p>
                <w:pPr>
                  <w:spacing w:line="256" w:lineRule="auto"/>
                  <w:rPr>
                    <w:rFonts w:eastAsia="Calibri"/>
                    <w:bCs/>
                    <w:szCs w:val="24"/>
                  </w:rPr>
                </w:pPr>
                <w:r>
                  <w:rPr>
                    <w:rFonts w:eastAsia="Calibri"/>
                    <w:bCs/>
                    <w:szCs w:val="24"/>
                  </w:rPr>
                  <w:t>2.</w:t>
                </w:r>
              </w:p>
              <w:p>
                <w:pPr>
                  <w:spacing w:line="256" w:lineRule="auto"/>
                  <w:rPr>
                    <w:rFonts w:eastAsia="Calibri"/>
                    <w:szCs w:val="24"/>
                  </w:rPr>
                </w:pPr>
                <w:r>
                  <w:rPr>
                    <w:rFonts w:eastAsia="Calibri"/>
                    <w:bCs/>
                    <w:szCs w:val="24"/>
                  </w:rPr>
                  <w:t>n.</w:t>
                </w:r>
              </w:p>
            </w:tc>
          </w:tr>
        </w:tbl>
        <w:p>
          <w:pPr>
            <w:jc w:val="both"/>
            <w:rPr>
              <w:rFonts w:eastAsia="Calibri"/>
              <w:i/>
              <w:szCs w:val="24"/>
            </w:rPr>
          </w:pPr>
          <w:r>
            <w:rPr>
              <w:szCs w:val="24"/>
            </w:rPr>
            <w:t>PASTABA. Jeigu paraiškos eilutėse nepakanka vietos, informaciją galima teikti atskirai pridedamame lape</w:t>
          </w:r>
          <w:r>
            <w:rPr>
              <w:i/>
              <w:szCs w:val="24"/>
            </w:rPr>
            <w:t xml:space="preserve"> </w:t>
          </w:r>
        </w:p>
        <w:p>
          <w:pPr/>
        </w:p>
        <w:p>
          <w:pPr>
            <w:ind w:left="405" w:hanging="360"/>
            <w:rPr>
              <w:b/>
              <w:bCs/>
              <w:szCs w:val="24"/>
              <w:lang w:eastAsia="lt-LT"/>
            </w:rPr>
          </w:pPr>
          <w:r>
            <w:rPr>
              <w:b/>
              <w:bCs/>
              <w:szCs w:val="24"/>
              <w:lang w:eastAsia="lt-LT"/>
            </w:rPr>
            <w:t>6.</w:t>
            <w:tab/>
            <w:t>Informacija apie bitynus, už kuriuos prašoma paramos:</w:t>
          </w:r>
        </w:p>
        <w:tbl>
          <w:tblPr>
            <w:tblW w:w="9333"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433"/>
            <w:gridCol w:w="4900"/>
          </w:tblGrid>
          <w:tr>
            <w:trPr>
              <w:cantSplit/>
              <w:trHeight w:val="327"/>
            </w:trPr>
            <w:tc>
              <w:tcPr>
                <w:tcW w:w="4433" w:type="dxa"/>
                <w:tcBorders>
                  <w:top w:val="single" w:sz="4" w:space="0" w:color="auto"/>
                  <w:left w:val="single" w:sz="4" w:space="0" w:color="auto"/>
                  <w:bottom w:val="single" w:sz="4" w:space="0" w:color="auto"/>
                  <w:right w:val="single" w:sz="4" w:space="0" w:color="auto"/>
                </w:tcBorders>
                <w:hideMark/>
              </w:tcPr>
              <w:p>
                <w:pPr>
                  <w:rPr>
                    <w:sz w:val="8"/>
                    <w:szCs w:val="8"/>
                  </w:rPr>
                </w:pPr>
              </w:p>
              <w:p>
                <w:pPr>
                  <w:rPr>
                    <w:b/>
                    <w:bCs/>
                    <w:szCs w:val="24"/>
                  </w:rPr>
                </w:pPr>
                <w:r>
                  <w:rPr>
                    <w:b/>
                    <w:bCs/>
                    <w:szCs w:val="24"/>
                  </w:rPr>
                  <w:t>Ekologinio bityno sertifikato numeris</w:t>
                </w:r>
              </w:p>
            </w:tc>
            <w:tc>
              <w:tcPr>
                <w:tcW w:w="4900" w:type="dxa"/>
                <w:tcBorders>
                  <w:top w:val="single" w:sz="4" w:space="0" w:color="auto"/>
                  <w:left w:val="single" w:sz="4" w:space="0" w:color="auto"/>
                  <w:bottom w:val="single" w:sz="4" w:space="0" w:color="auto"/>
                  <w:right w:val="single" w:sz="4" w:space="0" w:color="auto"/>
                </w:tcBorders>
              </w:tcPr>
              <w:p>
                <w:pPr>
                  <w:spacing w:line="254" w:lineRule="auto"/>
                  <w:rPr>
                    <w:rFonts w:eastAsia="Calibri"/>
                    <w:b/>
                    <w:bCs/>
                    <w:i/>
                    <w:szCs w:val="24"/>
                    <w:lang w:eastAsia="lt-LT"/>
                  </w:rPr>
                </w:pPr>
              </w:p>
            </w:tc>
          </w:tr>
        </w:tbl>
        <w:p>
          <w:pPr>
            <w:rPr>
              <w:b/>
              <w:bCs/>
              <w:szCs w:val="24"/>
              <w:lang w:eastAsia="lt-LT"/>
            </w:rPr>
          </w:pPr>
        </w:p>
        <w:tbl>
          <w:tblPr>
            <w:tblW w:w="9340"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693"/>
            <w:gridCol w:w="3544"/>
            <w:gridCol w:w="1701"/>
            <w:gridCol w:w="1402"/>
          </w:tblGrid>
          <w:tr>
            <w:trPr>
              <w:cantSplit/>
              <w:trHeight w:val="63"/>
            </w:trPr>
            <w:tc>
              <w:tcPr>
                <w:tcW w:w="2693" w:type="dxa"/>
                <w:tcBorders>
                  <w:top w:val="single" w:sz="4" w:space="0" w:color="auto"/>
                  <w:left w:val="single" w:sz="4" w:space="0" w:color="auto"/>
                  <w:bottom w:val="single" w:sz="4" w:space="0" w:color="auto"/>
                  <w:right w:val="single" w:sz="4" w:space="0" w:color="auto"/>
                </w:tcBorders>
                <w:hideMark/>
              </w:tcPr>
              <w:p>
                <w:pPr>
                  <w:spacing w:line="254" w:lineRule="auto"/>
                  <w:jc w:val="center"/>
                  <w:rPr>
                    <w:rFonts w:eastAsia="Calibri"/>
                    <w:b/>
                    <w:bCs/>
                    <w:iCs/>
                    <w:szCs w:val="24"/>
                    <w:lang w:eastAsia="lt-LT"/>
                  </w:rPr>
                </w:pPr>
                <w:r>
                  <w:rPr>
                    <w:rFonts w:eastAsia="Calibri"/>
                    <w:b/>
                    <w:bCs/>
                    <w:iCs/>
                    <w:szCs w:val="24"/>
                    <w:lang w:eastAsia="lt-LT"/>
                  </w:rPr>
                  <w:t>Bandos Nr.</w:t>
                </w:r>
              </w:p>
            </w:tc>
            <w:tc>
              <w:tcPr>
                <w:tcW w:w="3544" w:type="dxa"/>
                <w:tcBorders>
                  <w:top w:val="single" w:sz="4" w:space="0" w:color="auto"/>
                  <w:left w:val="single" w:sz="4" w:space="0" w:color="auto"/>
                  <w:bottom w:val="single" w:sz="4" w:space="0" w:color="auto"/>
                  <w:right w:val="single" w:sz="4" w:space="0" w:color="auto"/>
                </w:tcBorders>
              </w:tcPr>
              <w:p>
                <w:pPr>
                  <w:spacing w:line="254" w:lineRule="auto"/>
                  <w:jc w:val="center"/>
                  <w:rPr>
                    <w:rFonts w:eastAsia="Calibri"/>
                    <w:b/>
                    <w:bCs/>
                    <w:iCs/>
                    <w:szCs w:val="24"/>
                    <w:lang w:eastAsia="lt-LT"/>
                  </w:rPr>
                </w:pPr>
                <w:r>
                  <w:rPr>
                    <w:rFonts w:eastAsia="Calibri"/>
                    <w:b/>
                    <w:bCs/>
                    <w:iCs/>
                    <w:szCs w:val="24"/>
                    <w:lang w:eastAsia="lt-LT"/>
                  </w:rPr>
                  <w:t>Bandos adresas</w:t>
                </w:r>
              </w:p>
            </w:tc>
            <w:tc>
              <w:tcPr>
                <w:tcW w:w="1701" w:type="dxa"/>
                <w:tcBorders>
                  <w:top w:val="single" w:sz="4" w:space="0" w:color="auto"/>
                  <w:left w:val="single" w:sz="4" w:space="0" w:color="auto"/>
                  <w:bottom w:val="single" w:sz="4" w:space="0" w:color="auto"/>
                  <w:right w:val="single" w:sz="4" w:space="0" w:color="auto"/>
                </w:tcBorders>
              </w:tcPr>
              <w:p>
                <w:pPr>
                  <w:spacing w:line="254" w:lineRule="auto"/>
                  <w:jc w:val="center"/>
                  <w:rPr>
                    <w:rFonts w:eastAsia="Calibri"/>
                    <w:b/>
                    <w:bCs/>
                    <w:iCs/>
                    <w:szCs w:val="24"/>
                    <w:lang w:eastAsia="lt-LT"/>
                  </w:rPr>
                </w:pPr>
                <w:r>
                  <w:rPr>
                    <w:rFonts w:eastAsia="Calibri"/>
                    <w:b/>
                    <w:bCs/>
                    <w:iCs/>
                    <w:szCs w:val="24"/>
                    <w:lang w:eastAsia="lt-LT"/>
                  </w:rPr>
                  <w:t>Deklaravimo data</w:t>
                </w:r>
              </w:p>
            </w:tc>
            <w:tc>
              <w:tcPr>
                <w:tcW w:w="1402" w:type="dxa"/>
                <w:tcBorders>
                  <w:top w:val="single" w:sz="4" w:space="0" w:color="auto"/>
                  <w:left w:val="single" w:sz="4" w:space="0" w:color="auto"/>
                  <w:bottom w:val="single" w:sz="4" w:space="0" w:color="auto"/>
                  <w:right w:val="single" w:sz="4" w:space="0" w:color="auto"/>
                </w:tcBorders>
              </w:tcPr>
              <w:p>
                <w:pPr>
                  <w:spacing w:line="254" w:lineRule="auto"/>
                  <w:jc w:val="center"/>
                  <w:rPr>
                    <w:rFonts w:eastAsia="Calibri"/>
                    <w:b/>
                    <w:bCs/>
                    <w:iCs/>
                    <w:szCs w:val="24"/>
                    <w:lang w:eastAsia="lt-LT"/>
                  </w:rPr>
                </w:pPr>
                <w:r>
                  <w:rPr>
                    <w:rFonts w:eastAsia="Calibri"/>
                    <w:b/>
                    <w:bCs/>
                    <w:iCs/>
                    <w:szCs w:val="24"/>
                    <w:lang w:eastAsia="lt-LT"/>
                  </w:rPr>
                  <w:t>Bičių šeimų skaičius</w:t>
                </w:r>
              </w:p>
            </w:tc>
          </w:tr>
          <w:tr>
            <w:trPr>
              <w:cantSplit/>
              <w:trHeight w:val="63"/>
            </w:trPr>
            <w:tc>
              <w:tcPr>
                <w:tcW w:w="2693" w:type="dxa"/>
                <w:tcBorders>
                  <w:top w:val="single" w:sz="4" w:space="0" w:color="auto"/>
                  <w:left w:val="single" w:sz="4" w:space="0" w:color="auto"/>
                  <w:bottom w:val="single" w:sz="4" w:space="0" w:color="auto"/>
                  <w:right w:val="single" w:sz="4" w:space="0" w:color="auto"/>
                </w:tcBorders>
              </w:tcPr>
              <w:p>
                <w:pPr>
                  <w:spacing w:line="254" w:lineRule="auto"/>
                  <w:rPr>
                    <w:rFonts w:eastAsia="Calibri"/>
                    <w:b/>
                    <w:bCs/>
                    <w:i/>
                    <w:szCs w:val="24"/>
                    <w:lang w:eastAsia="lt-LT"/>
                  </w:rPr>
                </w:pPr>
              </w:p>
            </w:tc>
            <w:tc>
              <w:tcPr>
                <w:tcW w:w="3544" w:type="dxa"/>
                <w:tcBorders>
                  <w:top w:val="single" w:sz="4" w:space="0" w:color="auto"/>
                  <w:left w:val="single" w:sz="4" w:space="0" w:color="auto"/>
                  <w:bottom w:val="single" w:sz="4" w:space="0" w:color="auto"/>
                  <w:right w:val="single" w:sz="4" w:space="0" w:color="auto"/>
                </w:tcBorders>
              </w:tcPr>
              <w:p>
                <w:pPr>
                  <w:spacing w:line="254" w:lineRule="auto"/>
                  <w:rPr>
                    <w:rFonts w:eastAsia="Calibri"/>
                    <w:b/>
                    <w:bCs/>
                    <w:i/>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spacing w:line="254" w:lineRule="auto"/>
                  <w:rPr>
                    <w:rFonts w:eastAsia="Calibri"/>
                    <w:b/>
                    <w:bCs/>
                    <w:i/>
                    <w:szCs w:val="24"/>
                    <w:lang w:eastAsia="lt-LT"/>
                  </w:rPr>
                </w:pPr>
              </w:p>
            </w:tc>
            <w:tc>
              <w:tcPr>
                <w:tcW w:w="1402" w:type="dxa"/>
                <w:tcBorders>
                  <w:top w:val="single" w:sz="4" w:space="0" w:color="auto"/>
                  <w:left w:val="single" w:sz="4" w:space="0" w:color="auto"/>
                  <w:bottom w:val="single" w:sz="4" w:space="0" w:color="auto"/>
                  <w:right w:val="single" w:sz="4" w:space="0" w:color="auto"/>
                </w:tcBorders>
              </w:tcPr>
              <w:p>
                <w:pPr>
                  <w:spacing w:line="254" w:lineRule="auto"/>
                  <w:rPr>
                    <w:rFonts w:eastAsia="Calibri"/>
                    <w:b/>
                    <w:bCs/>
                    <w:i/>
                    <w:szCs w:val="24"/>
                    <w:lang w:eastAsia="lt-LT"/>
                  </w:rPr>
                </w:pPr>
              </w:p>
            </w:tc>
          </w:tr>
          <w:tr>
            <w:trPr>
              <w:cantSplit/>
              <w:trHeight w:val="63"/>
            </w:trPr>
            <w:tc>
              <w:tcPr>
                <w:tcW w:w="2693" w:type="dxa"/>
                <w:tcBorders>
                  <w:top w:val="single" w:sz="4" w:space="0" w:color="auto"/>
                  <w:left w:val="single" w:sz="4" w:space="0" w:color="auto"/>
                  <w:bottom w:val="single" w:sz="4" w:space="0" w:color="auto"/>
                  <w:right w:val="single" w:sz="4" w:space="0" w:color="auto"/>
                </w:tcBorders>
              </w:tcPr>
              <w:p>
                <w:pPr>
                  <w:spacing w:line="254" w:lineRule="auto"/>
                  <w:rPr>
                    <w:rFonts w:eastAsia="Calibri"/>
                    <w:b/>
                    <w:bCs/>
                    <w:i/>
                    <w:szCs w:val="24"/>
                    <w:lang w:eastAsia="lt-LT"/>
                  </w:rPr>
                </w:pPr>
              </w:p>
            </w:tc>
            <w:tc>
              <w:tcPr>
                <w:tcW w:w="3544" w:type="dxa"/>
                <w:tcBorders>
                  <w:top w:val="single" w:sz="4" w:space="0" w:color="auto"/>
                  <w:left w:val="single" w:sz="4" w:space="0" w:color="auto"/>
                  <w:bottom w:val="single" w:sz="4" w:space="0" w:color="auto"/>
                  <w:right w:val="single" w:sz="4" w:space="0" w:color="auto"/>
                </w:tcBorders>
              </w:tcPr>
              <w:p>
                <w:pPr>
                  <w:spacing w:line="254" w:lineRule="auto"/>
                  <w:rPr>
                    <w:rFonts w:eastAsia="Calibri"/>
                    <w:b/>
                    <w:bCs/>
                    <w:i/>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spacing w:line="254" w:lineRule="auto"/>
                  <w:rPr>
                    <w:rFonts w:eastAsia="Calibri"/>
                    <w:b/>
                    <w:bCs/>
                    <w:i/>
                    <w:szCs w:val="24"/>
                    <w:lang w:eastAsia="lt-LT"/>
                  </w:rPr>
                </w:pPr>
              </w:p>
            </w:tc>
            <w:tc>
              <w:tcPr>
                <w:tcW w:w="1402" w:type="dxa"/>
                <w:tcBorders>
                  <w:top w:val="single" w:sz="4" w:space="0" w:color="auto"/>
                  <w:left w:val="single" w:sz="4" w:space="0" w:color="auto"/>
                  <w:bottom w:val="single" w:sz="4" w:space="0" w:color="auto"/>
                  <w:right w:val="single" w:sz="4" w:space="0" w:color="auto"/>
                </w:tcBorders>
              </w:tcPr>
              <w:p>
                <w:pPr>
                  <w:spacing w:line="254" w:lineRule="auto"/>
                  <w:rPr>
                    <w:rFonts w:eastAsia="Calibri"/>
                    <w:b/>
                    <w:bCs/>
                    <w:i/>
                    <w:szCs w:val="24"/>
                    <w:lang w:eastAsia="lt-LT"/>
                  </w:rPr>
                </w:pPr>
              </w:p>
            </w:tc>
          </w:tr>
          <w:tr>
            <w:trPr>
              <w:cantSplit/>
              <w:trHeight w:val="63"/>
            </w:trPr>
            <w:tc>
              <w:tcPr>
                <w:tcW w:w="7938" w:type="dxa"/>
                <w:gridSpan w:val="3"/>
                <w:tcBorders>
                  <w:top w:val="single" w:sz="4" w:space="0" w:color="auto"/>
                  <w:left w:val="single" w:sz="4" w:space="0" w:color="auto"/>
                  <w:bottom w:val="single" w:sz="4" w:space="0" w:color="auto"/>
                  <w:right w:val="single" w:sz="4" w:space="0" w:color="auto"/>
                </w:tcBorders>
              </w:tcPr>
              <w:p>
                <w:pPr>
                  <w:spacing w:line="254" w:lineRule="auto"/>
                  <w:jc w:val="right"/>
                  <w:rPr>
                    <w:rFonts w:eastAsia="Calibri"/>
                    <w:b/>
                    <w:bCs/>
                    <w:iCs/>
                    <w:szCs w:val="24"/>
                    <w:lang w:eastAsia="lt-LT"/>
                  </w:rPr>
                </w:pPr>
                <w:r>
                  <w:rPr>
                    <w:rFonts w:eastAsia="Calibri"/>
                    <w:b/>
                    <w:bCs/>
                    <w:iCs/>
                    <w:szCs w:val="24"/>
                    <w:lang w:eastAsia="lt-LT"/>
                  </w:rPr>
                  <w:t>Iš viso:</w:t>
                </w:r>
              </w:p>
            </w:tc>
            <w:tc>
              <w:tcPr>
                <w:tcW w:w="1402" w:type="dxa"/>
                <w:tcBorders>
                  <w:top w:val="single" w:sz="4" w:space="0" w:color="auto"/>
                  <w:left w:val="single" w:sz="4" w:space="0" w:color="auto"/>
                  <w:bottom w:val="single" w:sz="4" w:space="0" w:color="auto"/>
                  <w:right w:val="single" w:sz="4" w:space="0" w:color="auto"/>
                </w:tcBorders>
              </w:tcPr>
              <w:p>
                <w:pPr>
                  <w:spacing w:line="254" w:lineRule="auto"/>
                  <w:rPr>
                    <w:rFonts w:eastAsia="Calibri"/>
                    <w:b/>
                    <w:bCs/>
                    <w:iCs/>
                    <w:szCs w:val="24"/>
                    <w:lang w:eastAsia="lt-LT"/>
                  </w:rPr>
                </w:pPr>
              </w:p>
            </w:tc>
          </w:tr>
        </w:tbl>
        <w:p>
          <w:pPr>
            <w:ind w:firstLine="1276"/>
            <w:rPr>
              <w:szCs w:val="24"/>
              <w:lang w:eastAsia="lt-LT"/>
            </w:rPr>
          </w:pPr>
          <w:r>
            <w:rPr>
              <w:szCs w:val="24"/>
              <w:lang w:eastAsia="lt-LT"/>
            </w:rPr>
            <w:t>Prašau suteikti paramą už ______ bičių šeimų papildomą maitinimą (ne daugiau kaip 150 bičių šeimų).</w:t>
          </w:r>
        </w:p>
        <w:p>
          <w:pPr>
            <w:rPr>
              <w:b/>
              <w:bCs/>
              <w:szCs w:val="24"/>
              <w:lang w:eastAsia="lt-LT"/>
            </w:rPr>
          </w:pPr>
        </w:p>
        <w:p>
          <w:pPr>
            <w:ind w:left="405" w:hanging="360"/>
            <w:rPr>
              <w:b/>
              <w:bCs/>
              <w:szCs w:val="24"/>
              <w:lang w:eastAsia="lt-LT"/>
            </w:rPr>
          </w:pPr>
          <w:r>
            <w:rPr>
              <w:b/>
              <w:bCs/>
              <w:szCs w:val="24"/>
              <w:lang w:eastAsia="lt-LT"/>
            </w:rPr>
            <w:t>7.</w:t>
            <w:tab/>
            <w:t>Pareiškėjo deklaracija:</w:t>
          </w:r>
        </w:p>
        <w:p>
          <w:pPr>
            <w:ind w:firstLine="567"/>
            <w:jc w:val="both"/>
            <w:rPr>
              <w:i/>
              <w:iCs/>
              <w:sz w:val="20"/>
              <w:lang w:eastAsia="lt-LT"/>
            </w:rPr>
          </w:pPr>
          <w:r>
            <w:rPr>
              <w:i/>
              <w:iCs/>
              <w:sz w:val="20"/>
              <w:lang w:eastAsia="lt-LT"/>
            </w:rPr>
            <w:t>Aš, pretenduojantis gauti paramą pagal šias taisykles, pasirašydamas šioje paraiškoje:</w:t>
          </w:r>
        </w:p>
        <w:p>
          <w:pPr>
            <w:ind w:firstLine="567"/>
            <w:jc w:val="both"/>
            <w:rPr>
              <w:sz w:val="20"/>
              <w:lang w:eastAsia="lt-LT"/>
            </w:rPr>
          </w:pPr>
          <w:r>
            <w:rPr>
              <w:sz w:val="20"/>
              <w:lang w:eastAsia="lt-LT"/>
            </w:rPr>
            <w:t>1. Patvirtinu, kad visa paramos paraiškoje pateikta informacija yra teisinga.</w:t>
          </w:r>
        </w:p>
        <w:p>
          <w:pPr>
            <w:ind w:firstLine="567"/>
            <w:jc w:val="both"/>
            <w:rPr>
              <w:sz w:val="20"/>
              <w:lang w:eastAsia="lt-LT"/>
            </w:rPr>
          </w:pPr>
          <w:r>
            <w:rPr>
              <w:sz w:val="20"/>
              <w:lang w:eastAsia="lt-LT"/>
            </w:rPr>
            <w:t>2. Patvirtinu, kad susipažinau su šios paramos teikimo taisyklių ir kitų teisės aktų, reglamentuojančių paramos teikimą, nuostatomis.</w:t>
          </w:r>
        </w:p>
        <w:p>
          <w:pPr>
            <w:ind w:firstLine="567"/>
            <w:jc w:val="both"/>
            <w:rPr>
              <w:sz w:val="20"/>
              <w:lang w:eastAsia="lt-LT"/>
            </w:rPr>
          </w:pPr>
          <w:r>
            <w:rPr>
              <w:sz w:val="20"/>
              <w:lang w:eastAsia="lt-LT"/>
            </w:rPr>
            <w:t>3. Patvirtinu, kad aš ir mano sutuoktinis negauname paramos pagal Kaimo plėtros plano priemonę „Ankstyvo pasitraukimo iš prekinės žemės ūkio gamybos rėmimas“.</w:t>
          </w:r>
        </w:p>
        <w:p>
          <w:pPr>
            <w:ind w:firstLine="567"/>
            <w:jc w:val="both"/>
            <w:rPr>
              <w:sz w:val="20"/>
              <w:lang w:eastAsia="lt-LT"/>
            </w:rPr>
          </w:pPr>
          <w:r>
            <w:rPr>
              <w:sz w:val="20"/>
              <w:lang w:eastAsia="lt-LT"/>
            </w:rPr>
            <w:t xml:space="preserve">4. </w:t>
          </w:r>
          <w:r>
            <w:rPr>
              <w:sz w:val="20"/>
            </w:rPr>
            <w:t>Įsipareigoju, gavęs (-usi) Agentūros reikalavimą (raštą, pranešimą) dėl paramos, jos dalies ar permokos grąžinimo, per reikalavime nurodytą terminą grąžinti į Agentūros sąskaitą nurodytą sumą ir sumokėti palūkanas (jei reikia).</w:t>
          </w:r>
        </w:p>
        <w:p>
          <w:pPr>
            <w:ind w:firstLine="567"/>
            <w:jc w:val="both"/>
            <w:rPr>
              <w:sz w:val="20"/>
              <w:lang w:eastAsia="lt-LT"/>
            </w:rPr>
          </w:pPr>
          <w:r>
            <w:rPr>
              <w:sz w:val="20"/>
              <w:lang w:eastAsia="lt-LT"/>
            </w:rPr>
            <w:t>5. Esu informuotas, kad paramos paraiškoje ir kituose Agentūrai pateiktuose dokumentuose esantys mano asmens ir kiti duomenys bus apdorojami ir saugomi paramos administravimo informacinėse sistemose ir kad Agentūra gaus mano asmens ir kitus duomenis iš kitų juridinių asmenų, registrų ar duomenų bazių paramos administravimo klausimais. Detalesnė informacija apie duomenų tvarkymą skelbiama Agentūros ir VĮ Žemės ūkio duomenų centro svetainėse.</w:t>
          </w:r>
        </w:p>
        <w:p>
          <w:pPr>
            <w:ind w:firstLine="567"/>
            <w:jc w:val="both"/>
            <w:rPr>
              <w:sz w:val="20"/>
              <w:lang w:eastAsia="lt-LT"/>
            </w:rPr>
          </w:pPr>
          <w:r>
            <w:rPr>
              <w:sz w:val="20"/>
              <w:lang w:eastAsia="lt-LT"/>
            </w:rPr>
            <w:t>6. Įsipareigoju 10 metų nuo paramos išmokėjimo saugoti visus dokumentus, susijusius su paramos gavimu.</w:t>
          </w:r>
        </w:p>
        <w:p>
          <w:pPr>
            <w:ind w:firstLine="567"/>
            <w:jc w:val="both"/>
            <w:rPr>
              <w:sz w:val="20"/>
              <w:lang w:eastAsia="lt-LT"/>
            </w:rPr>
          </w:pPr>
          <w:r>
            <w:rPr>
              <w:sz w:val="20"/>
              <w:lang w:eastAsia="lt-LT"/>
            </w:rPr>
            <w:t>7. Esu informuotas, kad informacija apie mano prašomą ir gautą paramą bus viešinama visuomenės informavimo tikslais, taip pat gali būti perduota audito ir tyrimų institucijoms siekiant apsaugoti Europos Sąjungos ir Lietuvos Respublikos interesus.</w:t>
          </w:r>
        </w:p>
        <w:p>
          <w:pPr>
            <w:ind w:firstLine="567"/>
            <w:jc w:val="both"/>
            <w:rPr>
              <w:sz w:val="20"/>
            </w:rPr>
          </w:pPr>
          <w:r>
            <w:rPr>
              <w:sz w:val="20"/>
            </w:rPr>
            <w:t>8. Patvirtinu, kad nesieksiu susigrąžinti PVM iš valstybės biudžeto, jei PVM pripažinta tinkama finansuoti išlaida.</w:t>
          </w:r>
        </w:p>
        <w:p>
          <w:pPr>
            <w:ind w:firstLine="567"/>
            <w:jc w:val="both"/>
            <w:rPr>
              <w:sz w:val="20"/>
            </w:rPr>
          </w:pPr>
          <w:r>
            <w:rPr>
              <w:sz w:val="20"/>
            </w:rPr>
            <w:t>9. Įsipareigoju, kad tuo atveju, jei nuo paraiškos pateikimo iki sprendimo skirti paramą priėmimo mano įmonė susijungia su kita įmone, vyksta įmonių įsigijimas ar suskaidymas, pateiksiu tai pagrindžiančią informaciją ir (ar) dokumentus.</w:t>
          </w:r>
        </w:p>
        <w:p>
          <w:pPr>
            <w:ind w:firstLine="567"/>
            <w:jc w:val="both"/>
            <w:rPr>
              <w:sz w:val="20"/>
              <w:lang w:eastAsia="lt-LT"/>
            </w:rPr>
          </w:pPr>
        </w:p>
        <w:p>
          <w:pPr>
            <w:ind w:firstLine="567"/>
            <w:jc w:val="both"/>
            <w:rPr>
              <w:sz w:val="20"/>
              <w:lang w:eastAsia="lt-LT"/>
            </w:rPr>
          </w:pPr>
        </w:p>
        <w:tbl>
          <w:tblPr>
            <w:tblW w:w="6242" w:type="dxa"/>
            <w:tblInd w:w="3256" w:type="dxa"/>
            <w:tblLayout w:type="fixed"/>
            <w:tblCellMar>
              <w:left w:w="0" w:type="dxa"/>
              <w:right w:w="0" w:type="dxa"/>
            </w:tblCellMar>
            <w:tblLook w:val="04A0" w:firstRow="1" w:lastRow="0" w:firstColumn="1" w:lastColumn="0" w:noHBand="0" w:noVBand="1"/>
          </w:tblPr>
          <w:tblGrid>
            <w:gridCol w:w="1738"/>
            <w:gridCol w:w="1238"/>
            <w:gridCol w:w="3266"/>
          </w:tblGrid>
          <w:tr>
            <w:trPr>
              <w:cantSplit/>
              <w:trHeight w:val="65"/>
            </w:trPr>
            <w:tc>
              <w:tcPr>
                <w:tcW w:w="1738" w:type="dxa"/>
                <w:tcBorders>
                  <w:bottom w:val="single" w:sz="4" w:space="0" w:color="auto"/>
                </w:tcBorders>
                <w:hideMark/>
              </w:tcPr>
              <w:p>
                <w:pPr>
                  <w:spacing w:line="254" w:lineRule="auto"/>
                  <w:rPr>
                    <w:rFonts w:eastAsia="Calibri"/>
                    <w:b/>
                    <w:bCs/>
                    <w:szCs w:val="24"/>
                    <w:lang w:eastAsia="lt-LT"/>
                  </w:rPr>
                </w:pPr>
              </w:p>
            </w:tc>
            <w:tc>
              <w:tcPr>
                <w:tcW w:w="1238" w:type="dxa"/>
              </w:tcPr>
              <w:p>
                <w:pPr>
                  <w:spacing w:line="254" w:lineRule="auto"/>
                  <w:rPr>
                    <w:rFonts w:eastAsia="Calibri"/>
                    <w:b/>
                    <w:bCs/>
                    <w:i/>
                    <w:szCs w:val="24"/>
                    <w:lang w:eastAsia="lt-LT"/>
                  </w:rPr>
                </w:pPr>
              </w:p>
            </w:tc>
            <w:tc>
              <w:tcPr>
                <w:tcW w:w="3266" w:type="dxa"/>
                <w:tcBorders>
                  <w:bottom w:val="single" w:sz="4" w:space="0" w:color="auto"/>
                </w:tcBorders>
              </w:tcPr>
              <w:p>
                <w:pPr>
                  <w:spacing w:line="254" w:lineRule="auto"/>
                  <w:rPr>
                    <w:rFonts w:eastAsia="Calibri"/>
                    <w:b/>
                    <w:bCs/>
                    <w:i/>
                    <w:szCs w:val="24"/>
                    <w:lang w:eastAsia="lt-LT"/>
                  </w:rPr>
                </w:pPr>
              </w:p>
            </w:tc>
          </w:tr>
          <w:tr>
            <w:trPr>
              <w:cantSplit/>
              <w:trHeight w:val="65"/>
            </w:trPr>
            <w:tc>
              <w:tcPr>
                <w:tcW w:w="1738" w:type="dxa"/>
                <w:tcBorders>
                  <w:top w:val="single" w:sz="4" w:space="0" w:color="auto"/>
                </w:tcBorders>
              </w:tcPr>
              <w:p>
                <w:pPr>
                  <w:spacing w:line="254" w:lineRule="auto"/>
                  <w:jc w:val="center"/>
                  <w:rPr>
                    <w:rFonts w:eastAsia="Calibri"/>
                    <w:b/>
                    <w:bCs/>
                    <w:sz w:val="20"/>
                    <w:lang w:eastAsia="lt-LT"/>
                  </w:rPr>
                </w:pPr>
                <w:r>
                  <w:rPr>
                    <w:rFonts w:eastAsia="Calibri"/>
                    <w:b/>
                    <w:bCs/>
                    <w:sz w:val="20"/>
                    <w:lang w:eastAsia="lt-LT"/>
                  </w:rPr>
                  <w:t>(parašas)</w:t>
                </w:r>
              </w:p>
            </w:tc>
            <w:tc>
              <w:tcPr>
                <w:tcW w:w="1238" w:type="dxa"/>
              </w:tcPr>
              <w:p>
                <w:pPr>
                  <w:spacing w:line="254" w:lineRule="auto"/>
                  <w:jc w:val="center"/>
                  <w:rPr>
                    <w:rFonts w:eastAsia="Calibri"/>
                    <w:b/>
                    <w:bCs/>
                    <w:sz w:val="20"/>
                    <w:lang w:eastAsia="lt-LT"/>
                  </w:rPr>
                </w:pPr>
              </w:p>
            </w:tc>
            <w:tc>
              <w:tcPr>
                <w:tcW w:w="3266" w:type="dxa"/>
                <w:tcBorders>
                  <w:top w:val="single" w:sz="4" w:space="0" w:color="auto"/>
                </w:tcBorders>
              </w:tcPr>
              <w:p>
                <w:pPr>
                  <w:spacing w:line="254" w:lineRule="auto"/>
                  <w:jc w:val="center"/>
                  <w:rPr>
                    <w:rFonts w:eastAsia="Calibri"/>
                    <w:b/>
                    <w:bCs/>
                    <w:i/>
                    <w:sz w:val="20"/>
                    <w:lang w:eastAsia="lt-LT"/>
                  </w:rPr>
                </w:pPr>
                <w:r>
                  <w:rPr>
                    <w:rFonts w:eastAsia="Calibri"/>
                    <w:b/>
                    <w:bCs/>
                    <w:sz w:val="20"/>
                    <w:lang w:eastAsia="lt-LT"/>
                  </w:rPr>
                  <w:t>(vardas, pavardė)</w:t>
                </w:r>
              </w:p>
            </w:tc>
          </w:tr>
        </w:tbl>
        <w:p>
          <w:pPr>
            <w:ind w:left="-142" w:firstLine="142"/>
            <w:rPr>
              <w:rFonts w:eastAsia="Calibri"/>
              <w:b/>
              <w:bCs/>
              <w:szCs w:val="24"/>
              <w:lang w:eastAsia="lt-LT"/>
            </w:rPr>
          </w:pPr>
        </w:p>
        <w:tbl>
          <w:tblPr>
            <w:tblW w:w="98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804"/>
          </w:tblGrid>
          <w:tr>
            <w:trPr>
              <w:trHeight w:val="697"/>
            </w:trPr>
            <w:tc>
              <w:tcPr>
                <w:tcW w:w="9804" w:type="dxa"/>
                <w:vAlign w:val="center"/>
                <w:hideMark/>
              </w:tcPr>
              <w:p>
                <w:pPr>
                  <w:rPr>
                    <w:sz w:val="8"/>
                    <w:szCs w:val="8"/>
                  </w:rPr>
                </w:pPr>
              </w:p>
              <w:p>
                <w:pPr>
                  <w:rPr>
                    <w:b/>
                    <w:bCs/>
                    <w:szCs w:val="24"/>
                    <w:lang w:eastAsia="lt-LT"/>
                  </w:rPr>
                </w:pPr>
                <w:r>
                  <w:rPr>
                    <w:b/>
                    <w:bCs/>
                    <w:sz w:val="20"/>
                    <w:lang w:eastAsia="lt-LT"/>
                  </w:rPr>
                  <w:t>Pildo savivaldybės administracijos tarnautojas ar seniūnijos darbuotojas (kai paraiška pildoma savivaldybės administracijoje):</w:t>
                </w:r>
              </w:p>
            </w:tc>
          </w:tr>
          <w:tr>
            <w:trPr>
              <w:cantSplit/>
              <w:trHeight w:val="598"/>
            </w:trPr>
            <w:tc>
              <w:tcPr>
                <w:tcW w:w="9804" w:type="dxa"/>
                <w:vAlign w:val="center"/>
                <w:hideMark/>
              </w:tcPr>
              <w:p>
                <w:pPr>
                  <w:rPr>
                    <w:sz w:val="8"/>
                    <w:szCs w:val="8"/>
                  </w:rPr>
                </w:pPr>
              </w:p>
              <w:p>
                <w:pPr>
                  <w:rPr>
                    <w:szCs w:val="24"/>
                    <w:lang w:eastAsia="lt-LT"/>
                  </w:rPr>
                </w:pPr>
                <w:r>
                  <w:rPr>
                    <w:sz w:val="20"/>
                    <w:lang w:eastAsia="lt-LT"/>
                  </w:rPr>
                  <w:t>Paraiškos registracijos ir sutikrinimo data __/__/__/__/-__/__/-__/__/</w:t>
                </w:r>
              </w:p>
            </w:tc>
          </w:tr>
          <w:tr>
            <w:trPr>
              <w:trHeight w:val="703"/>
            </w:trPr>
            <w:tc>
              <w:tcPr>
                <w:tcW w:w="9804" w:type="dxa"/>
                <w:vAlign w:val="center"/>
                <w:hideMark/>
              </w:tcPr>
              <w:p>
                <w:pPr>
                  <w:rPr>
                    <w:sz w:val="8"/>
                    <w:szCs w:val="8"/>
                  </w:rPr>
                </w:pPr>
              </w:p>
              <w:p>
                <w:pPr>
                  <w:rPr>
                    <w:sz w:val="20"/>
                    <w:lang w:eastAsia="lt-LT"/>
                  </w:rPr>
                </w:pPr>
                <w:r>
                  <w:rPr>
                    <w:sz w:val="20"/>
                    <w:lang w:eastAsia="lt-LT"/>
                  </w:rPr>
                  <w:t>Atsakingas savivaldybės ar seniūnijos darbuotojas (pareigos, vardas, pavardė, parašas)</w:t>
                </w:r>
              </w:p>
              <w:p>
                <w:pPr>
                  <w:rPr>
                    <w:sz w:val="8"/>
                    <w:szCs w:val="8"/>
                  </w:rPr>
                </w:pPr>
              </w:p>
              <w:p>
                <w:pPr>
                  <w:rPr>
                    <w:b/>
                    <w:bCs/>
                    <w:szCs w:val="24"/>
                    <w:lang w:eastAsia="lt-LT"/>
                  </w:rPr>
                </w:pPr>
              </w:p>
            </w:tc>
          </w:tr>
        </w:tbl>
        <w:p>
          <w:pPr/>
        </w:p>
      </w:sdtContent>
    </w:sdt>
    <w:sdt>
      <w:sdtPr>
        <w:alias w:val="2 pr."/>
        <w:tag w:val="part_86c78b65d7c04d248a59a18050b82092"/>
        <w:lock w:val="sdtLocked"/>
        <w:richText/>
      </w:sdtPr>
      <w:sdtContent>
        <w:p>
          <w:pPr>
            <w:overflowPunct w:val="0"/>
            <w:jc w:val="both"/>
            <w:textAlignment w:val="baseline"/>
            <w:rPr>
              <w:szCs w:val="24"/>
            </w:rPr>
            <w:sectPr>
              <w:pgSz w:w="11907" w:h="16840" w:code="9"/>
              <w:pgMar w:top="1134" w:right="1134" w:bottom="1134" w:left="1701" w:header="709" w:footer="709" w:gutter="0"/>
              <w:pgNumType w:start="1"/>
              <w:cols w:space="1296"/>
              <w:titlePg/>
              <w:docGrid w:linePitch="326"/>
            </w:sectPr>
          </w:pPr>
        </w:p>
        <w:p>
          <w:pPr>
            <w:ind w:firstLine="9639"/>
            <w:rPr>
              <w:rFonts w:eastAsia="Calibri"/>
              <w:sz w:val="20"/>
            </w:rPr>
          </w:pPr>
          <w:r>
            <w:rPr>
              <w:rFonts w:eastAsia="Calibri"/>
              <w:sz w:val="20"/>
            </w:rPr>
            <w:t>Paramos teikimo bičių laikytojams už papildomą</w:t>
          </w:r>
        </w:p>
        <w:p>
          <w:pPr>
            <w:ind w:firstLine="9639"/>
            <w:rPr>
              <w:sz w:val="20"/>
            </w:rPr>
          </w:pPr>
          <w:r>
            <w:rPr>
              <w:sz w:val="20"/>
            </w:rPr>
            <w:t>bičių maitinimą taisyklių</w:t>
          </w:r>
        </w:p>
        <w:p>
          <w:pPr>
            <w:ind w:firstLine="9639"/>
            <w:rPr>
              <w:sz w:val="20"/>
            </w:rPr>
          </w:pPr>
          <w:sdt>
            <w:sdtPr>
              <w:alias w:val="Numeris"/>
              <w:tag w:val="nr_86c78b65d7c04d248a59a18050b82092"/>
              <w:lock w:val="sdtLocked"/>
              <w:richText/>
            </w:sdtPr>
            <w:sdtContent>
              <w:r>
                <w:rPr>
                  <w:sz w:val="20"/>
                </w:rPr>
                <w:t>2</w:t>
              </w:r>
            </w:sdtContent>
          </w:sdt>
          <w:r>
            <w:rPr>
              <w:sz w:val="20"/>
            </w:rPr>
            <w:t xml:space="preserve"> priedas</w:t>
          </w:r>
        </w:p>
        <w:p>
          <w:pPr>
            <w:jc w:val="center"/>
            <w:rPr>
              <w:smallCaps/>
              <w:szCs w:val="24"/>
            </w:rPr>
          </w:pPr>
        </w:p>
        <w:p>
          <w:pPr>
            <w:jc w:val="center"/>
            <w:rPr>
              <w:b/>
              <w:bCs/>
              <w:caps/>
              <w:szCs w:val="24"/>
            </w:rPr>
          </w:pPr>
        </w:p>
        <w:p>
          <w:pPr>
            <w:tabs>
              <w:tab w:val="left" w:pos="9923"/>
            </w:tabs>
            <w:jc w:val="center"/>
            <w:rPr>
              <w:b/>
              <w:bCs/>
              <w:caps/>
              <w:sz w:val="20"/>
            </w:rPr>
          </w:pPr>
          <w:r>
            <w:rPr>
              <w:b/>
              <w:bCs/>
              <w:caps/>
              <w:sz w:val="20"/>
            </w:rPr>
            <w:t>(</w:t>
          </w:r>
          <w:r>
            <w:rPr>
              <w:b/>
              <w:bCs/>
              <w:sz w:val="20"/>
            </w:rPr>
            <w:t>Paraiškų gauti paramą už papildomą bičių maitinimą duomenų suvestinės forma)</w:t>
          </w:r>
        </w:p>
        <w:p>
          <w:pPr>
            <w:jc w:val="center"/>
            <w:rPr>
              <w:b/>
              <w:bCs/>
              <w:caps/>
              <w:sz w:val="20"/>
            </w:rPr>
          </w:pPr>
        </w:p>
        <w:p>
          <w:pPr>
            <w:jc w:val="center"/>
            <w:rPr>
              <w:b/>
              <w:bCs/>
              <w:caps/>
              <w:szCs w:val="24"/>
            </w:rPr>
          </w:pPr>
          <w:r>
            <w:rPr>
              <w:b/>
              <w:bCs/>
              <w:caps/>
              <w:szCs w:val="24"/>
            </w:rPr>
            <w:t>Valstybės Įmonė ŽEMĖS ŪKIO duomenų CENTRAS</w:t>
          </w:r>
        </w:p>
        <w:p>
          <w:pPr>
            <w:jc w:val="center"/>
            <w:rPr>
              <w:b/>
              <w:bCs/>
              <w:caps/>
              <w:strike/>
              <w:sz w:val="20"/>
            </w:rPr>
          </w:pPr>
        </w:p>
        <w:p>
          <w:pPr>
            <w:jc w:val="center"/>
            <w:rPr>
              <w:b/>
              <w:bCs/>
              <w:caps/>
              <w:szCs w:val="24"/>
            </w:rPr>
          </w:pPr>
        </w:p>
        <w:p>
          <w:pPr>
            <w:jc w:val="center"/>
            <w:rPr>
              <w:b/>
              <w:bCs/>
              <w:caps/>
              <w:szCs w:val="24"/>
            </w:rPr>
          </w:pPr>
          <w:r>
            <w:rPr>
              <w:b/>
              <w:bCs/>
              <w:caps/>
              <w:szCs w:val="24"/>
            </w:rPr>
            <w:t>PARAIŠKŲ GAUTI PARAMĄ UŽ PAPILDOMĄ BIČIŲ MAITINIMĄ DUOMENŲ SUVESTINĖ</w:t>
          </w:r>
        </w:p>
        <w:p>
          <w:pPr>
            <w:jc w:val="center"/>
            <w:rPr>
              <w:sz w:val="18"/>
              <w:szCs w:val="18"/>
            </w:rPr>
          </w:pPr>
          <w:r>
            <w:rPr>
              <w:sz w:val="18"/>
              <w:szCs w:val="18"/>
            </w:rPr>
            <w:t>(pildo valstybės įmonė Žemės ūkio duomenų centras,</w:t>
          </w:r>
          <w:r>
            <w:rPr>
              <w:color w:val="FF00FF"/>
              <w:sz w:val="18"/>
              <w:szCs w:val="18"/>
            </w:rPr>
            <w:t xml:space="preserve"> </w:t>
          </w:r>
          <w:r>
            <w:rPr>
              <w:sz w:val="18"/>
              <w:szCs w:val="18"/>
            </w:rPr>
            <w:t>pateikdamas duomenis į Nacionalinės mokėjimo agentūros prie Žemės ūkio ministerijos informacinę sistemą)</w:t>
          </w:r>
        </w:p>
        <w:p>
          <w:pPr>
            <w:jc w:val="center"/>
            <w:rPr>
              <w:caps/>
              <w:sz w:val="18"/>
              <w:szCs w:val="18"/>
            </w:rPr>
          </w:pPr>
        </w:p>
        <w:p>
          <w:pPr>
            <w:jc w:val="center"/>
            <w:rPr>
              <w:caps/>
              <w:sz w:val="20"/>
            </w:rPr>
          </w:pPr>
        </w:p>
        <w:p>
          <w:pPr>
            <w:jc w:val="center"/>
            <w:rPr>
              <w:sz w:val="20"/>
            </w:rPr>
          </w:pPr>
          <w:r>
            <w:rPr>
              <w:sz w:val="20"/>
            </w:rPr>
            <w:t xml:space="preserve">________  Nr._________</w:t>
          </w:r>
        </w:p>
        <w:p>
          <w:pPr>
            <w:ind w:left="5760" w:hanging="6753"/>
            <w:jc w:val="center"/>
            <w:rPr>
              <w:sz w:val="20"/>
            </w:rPr>
          </w:pPr>
          <w:r>
            <w:rPr>
              <w:sz w:val="20"/>
            </w:rPr>
            <w:t>(data)</w:t>
          </w:r>
        </w:p>
        <w:p>
          <w:pPr>
            <w:jc w:val="center"/>
            <w:rPr>
              <w:sz w:val="20"/>
            </w:rPr>
          </w:pPr>
          <w:r>
            <w:rPr>
              <w:sz w:val="20"/>
            </w:rPr>
            <w:t>Vilnius</w:t>
          </w:r>
        </w:p>
        <w:p>
          <w:pPr>
            <w:ind w:firstLine="10206"/>
            <w:rPr>
              <w:sz w:val="20"/>
            </w:rPr>
          </w:pPr>
        </w:p>
        <w:p>
          <w:pPr>
            <w:rPr>
              <w:strike/>
              <w:szCs w:val="24"/>
            </w:rPr>
          </w:pPr>
        </w:p>
        <w:p>
          <w:pPr>
            <w:ind w:firstLine="10065"/>
            <w:rPr>
              <w:sz w:val="18"/>
              <w:szCs w:val="18"/>
            </w:rPr>
          </w:pPr>
          <w:r>
            <w:rPr>
              <w:sz w:val="18"/>
              <w:szCs w:val="18"/>
              <w:lang w:val="pt-PT"/>
            </w:rPr>
            <w:t>20288 – nesertifikuota bi</w:t>
          </w:r>
          <w:r>
            <w:rPr>
              <w:sz w:val="18"/>
              <w:szCs w:val="18"/>
            </w:rPr>
            <w:t>čių šeima</w:t>
          </w:r>
        </w:p>
        <w:p>
          <w:pPr>
            <w:ind w:firstLine="10065"/>
            <w:rPr>
              <w:sz w:val="18"/>
              <w:szCs w:val="18"/>
            </w:rPr>
          </w:pPr>
          <w:r>
            <w:rPr>
              <w:sz w:val="18"/>
              <w:szCs w:val="18"/>
            </w:rPr>
            <w:t>20287 – ekologinės gamybos ūkio sertifikuota bičių šeima</w:t>
          </w:r>
        </w:p>
        <w:p>
          <w:pPr>
            <w:ind w:firstLine="720"/>
            <w:rPr>
              <w:szCs w:val="24"/>
            </w:rPr>
          </w:pPr>
        </w:p>
        <w:p>
          <w:pP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43"/>
            <w:gridCol w:w="836"/>
            <w:gridCol w:w="732"/>
            <w:gridCol w:w="1329"/>
            <w:gridCol w:w="732"/>
            <w:gridCol w:w="1074"/>
            <w:gridCol w:w="675"/>
            <w:gridCol w:w="675"/>
            <w:gridCol w:w="1319"/>
            <w:gridCol w:w="779"/>
            <w:gridCol w:w="1065"/>
            <w:gridCol w:w="1046"/>
            <w:gridCol w:w="676"/>
            <w:gridCol w:w="1201"/>
          </w:tblGrid>
          <w:tr>
            <w:trPr>
              <w:cantSplit/>
              <w:trHeight w:val="925"/>
            </w:trPr>
            <w:tc>
              <w:tcPr>
                <w:tcW w:w="443" w:type="dxa"/>
                <w:tcBorders>
                  <w:top w:val="single" w:sz="4" w:space="0" w:color="auto"/>
                  <w:left w:val="single" w:sz="4" w:space="0" w:color="auto"/>
                  <w:bottom w:val="single" w:sz="4" w:space="0" w:color="auto"/>
                  <w:right w:val="single" w:sz="4" w:space="0" w:color="auto"/>
                </w:tcBorders>
                <w:vAlign w:val="center"/>
                <w:hideMark/>
              </w:tcPr>
              <w:p>
                <w:pPr>
                  <w:jc w:val="center"/>
                  <w:rPr>
                    <w:sz w:val="16"/>
                    <w:szCs w:val="16"/>
                  </w:rPr>
                </w:pPr>
                <w:r>
                  <w:rPr>
                    <w:sz w:val="16"/>
                    <w:szCs w:val="16"/>
                  </w:rPr>
                  <w:t>Eil. Nr.</w:t>
                </w:r>
              </w:p>
            </w:tc>
            <w:tc>
              <w:tcPr>
                <w:tcW w:w="836" w:type="dxa"/>
                <w:tcBorders>
                  <w:top w:val="single" w:sz="4" w:space="0" w:color="auto"/>
                  <w:left w:val="single" w:sz="4" w:space="0" w:color="auto"/>
                  <w:bottom w:val="single" w:sz="4" w:space="0" w:color="auto"/>
                  <w:right w:val="single" w:sz="4" w:space="0" w:color="auto"/>
                </w:tcBorders>
                <w:vAlign w:val="center"/>
              </w:tcPr>
              <w:p>
                <w:pPr>
                  <w:rPr>
                    <w:sz w:val="16"/>
                    <w:szCs w:val="16"/>
                  </w:rPr>
                </w:pPr>
              </w:p>
              <w:p>
                <w:pPr>
                  <w:jc w:val="center"/>
                  <w:rPr>
                    <w:sz w:val="16"/>
                    <w:szCs w:val="16"/>
                  </w:rPr>
                </w:pPr>
                <w:r>
                  <w:rPr>
                    <w:sz w:val="16"/>
                    <w:szCs w:val="16"/>
                  </w:rPr>
                  <w:t>Įmonės kodas</w:t>
                </w:r>
              </w:p>
              <w:p>
                <w:pPr>
                  <w:jc w:val="center"/>
                  <w:rPr>
                    <w:sz w:val="16"/>
                    <w:szCs w:val="16"/>
                  </w:rPr>
                </w:pPr>
              </w:p>
            </w:tc>
            <w:tc>
              <w:tcPr>
                <w:tcW w:w="732" w:type="dxa"/>
                <w:tcBorders>
                  <w:top w:val="single" w:sz="4" w:space="0" w:color="auto"/>
                  <w:left w:val="single" w:sz="4" w:space="0" w:color="auto"/>
                  <w:bottom w:val="single" w:sz="4" w:space="0" w:color="auto"/>
                  <w:right w:val="single" w:sz="4" w:space="0" w:color="auto"/>
                </w:tcBorders>
                <w:vAlign w:val="center"/>
              </w:tcPr>
              <w:p>
                <w:pPr>
                  <w:jc w:val="center"/>
                  <w:rPr>
                    <w:sz w:val="16"/>
                    <w:szCs w:val="16"/>
                  </w:rPr>
                </w:pPr>
                <w:r>
                  <w:rPr>
                    <w:sz w:val="16"/>
                    <w:szCs w:val="16"/>
                  </w:rPr>
                  <w:t>Asmens vardas</w:t>
                </w:r>
              </w:p>
              <w:p>
                <w:pPr>
                  <w:jc w:val="center"/>
                  <w:rPr>
                    <w:sz w:val="16"/>
                    <w:szCs w:val="16"/>
                  </w:rPr>
                </w:pPr>
              </w:p>
            </w:tc>
            <w:tc>
              <w:tcPr>
                <w:tcW w:w="1329" w:type="dxa"/>
                <w:tcBorders>
                  <w:top w:val="single" w:sz="4" w:space="0" w:color="auto"/>
                  <w:left w:val="single" w:sz="4" w:space="0" w:color="auto"/>
                  <w:bottom w:val="single" w:sz="4" w:space="0" w:color="auto"/>
                  <w:right w:val="single" w:sz="4" w:space="0" w:color="auto"/>
                </w:tcBorders>
                <w:vAlign w:val="center"/>
                <w:hideMark/>
              </w:tcPr>
              <w:p>
                <w:pPr>
                  <w:jc w:val="center"/>
                  <w:rPr>
                    <w:sz w:val="16"/>
                    <w:szCs w:val="16"/>
                  </w:rPr>
                </w:pPr>
                <w:r>
                  <w:rPr>
                    <w:sz w:val="16"/>
                    <w:szCs w:val="16"/>
                  </w:rPr>
                  <w:t>Asmens pavardė / įmonės pavadinimas</w:t>
                </w:r>
              </w:p>
            </w:tc>
            <w:tc>
              <w:tcPr>
                <w:tcW w:w="732" w:type="dxa"/>
                <w:tcBorders>
                  <w:top w:val="single" w:sz="4" w:space="0" w:color="auto"/>
                  <w:left w:val="single" w:sz="4" w:space="0" w:color="auto"/>
                  <w:bottom w:val="single" w:sz="4" w:space="0" w:color="auto"/>
                  <w:right w:val="single" w:sz="4" w:space="0" w:color="auto"/>
                </w:tcBorders>
                <w:vAlign w:val="center"/>
                <w:hideMark/>
              </w:tcPr>
              <w:p>
                <w:pPr>
                  <w:jc w:val="center"/>
                  <w:rPr>
                    <w:sz w:val="16"/>
                    <w:szCs w:val="16"/>
                  </w:rPr>
                </w:pPr>
                <w:r>
                  <w:rPr>
                    <w:sz w:val="16"/>
                    <w:szCs w:val="16"/>
                  </w:rPr>
                  <w:t>Bičių šeimų skaičius</w:t>
                </w:r>
              </w:p>
            </w:tc>
            <w:tc>
              <w:tcPr>
                <w:tcW w:w="1074" w:type="dxa"/>
                <w:tcBorders>
                  <w:top w:val="single" w:sz="4" w:space="0" w:color="auto"/>
                  <w:left w:val="single" w:sz="4" w:space="0" w:color="auto"/>
                  <w:bottom w:val="single" w:sz="4" w:space="0" w:color="auto"/>
                  <w:right w:val="single" w:sz="4" w:space="0" w:color="auto"/>
                </w:tcBorders>
                <w:vAlign w:val="center"/>
                <w:hideMark/>
              </w:tcPr>
              <w:p>
                <w:pPr>
                  <w:jc w:val="center"/>
                  <w:rPr>
                    <w:sz w:val="16"/>
                    <w:szCs w:val="16"/>
                  </w:rPr>
                </w:pPr>
                <w:r>
                  <w:rPr>
                    <w:sz w:val="16"/>
                    <w:szCs w:val="16"/>
                  </w:rPr>
                  <w:t>Apskaičiuota paramos suma, Eur</w:t>
                </w:r>
              </w:p>
            </w:tc>
            <w:tc>
              <w:tcPr>
                <w:tcW w:w="675" w:type="dxa"/>
                <w:tcBorders>
                  <w:top w:val="single" w:sz="4" w:space="0" w:color="auto"/>
                  <w:left w:val="single" w:sz="4" w:space="0" w:color="auto"/>
                  <w:bottom w:val="single" w:sz="4" w:space="0" w:color="auto"/>
                  <w:right w:val="single" w:sz="4" w:space="0" w:color="auto"/>
                </w:tcBorders>
                <w:vAlign w:val="center"/>
                <w:hideMark/>
              </w:tcPr>
              <w:p>
                <w:pPr>
                  <w:ind w:hanging="108"/>
                  <w:jc w:val="center"/>
                  <w:rPr>
                    <w:sz w:val="16"/>
                    <w:szCs w:val="16"/>
                  </w:rPr>
                </w:pPr>
                <w:r>
                  <w:rPr>
                    <w:sz w:val="16"/>
                    <w:szCs w:val="16"/>
                  </w:rPr>
                  <w:t>Išmokos kodas</w:t>
                </w:r>
              </w:p>
            </w:tc>
            <w:tc>
              <w:tcPr>
                <w:tcW w:w="675" w:type="dxa"/>
                <w:tcBorders>
                  <w:top w:val="single" w:sz="4" w:space="0" w:color="auto"/>
                  <w:left w:val="single" w:sz="4" w:space="0" w:color="auto"/>
                  <w:bottom w:val="single" w:sz="4" w:space="0" w:color="auto"/>
                  <w:right w:val="single" w:sz="4" w:space="0" w:color="auto"/>
                </w:tcBorders>
                <w:vAlign w:val="center"/>
                <w:hideMark/>
              </w:tcPr>
              <w:p>
                <w:pPr>
                  <w:jc w:val="center"/>
                  <w:rPr>
                    <w:sz w:val="16"/>
                    <w:szCs w:val="16"/>
                  </w:rPr>
                </w:pPr>
                <w:r>
                  <w:rPr>
                    <w:sz w:val="16"/>
                    <w:szCs w:val="16"/>
                  </w:rPr>
                  <w:t>Banko kodas</w:t>
                </w:r>
              </w:p>
            </w:tc>
            <w:tc>
              <w:tcPr>
                <w:tcW w:w="1319" w:type="dxa"/>
                <w:tcBorders>
                  <w:top w:val="single" w:sz="4" w:space="0" w:color="auto"/>
                  <w:left w:val="single" w:sz="4" w:space="0" w:color="auto"/>
                  <w:bottom w:val="single" w:sz="4" w:space="0" w:color="auto"/>
                  <w:right w:val="single" w:sz="4" w:space="0" w:color="auto"/>
                </w:tcBorders>
                <w:vAlign w:val="center"/>
                <w:hideMark/>
              </w:tcPr>
              <w:p>
                <w:pPr>
                  <w:jc w:val="center"/>
                  <w:rPr>
                    <w:sz w:val="16"/>
                    <w:szCs w:val="16"/>
                  </w:rPr>
                </w:pPr>
                <w:r>
                  <w:rPr>
                    <w:sz w:val="16"/>
                    <w:szCs w:val="16"/>
                  </w:rPr>
                  <w:t>Atsiskaitomosios sąskaitos Nr.</w:t>
                </w:r>
              </w:p>
            </w:tc>
            <w:tc>
              <w:tcPr>
                <w:tcW w:w="779" w:type="dxa"/>
                <w:tcBorders>
                  <w:top w:val="single" w:sz="4" w:space="0" w:color="auto"/>
                  <w:left w:val="single" w:sz="4" w:space="0" w:color="auto"/>
                  <w:bottom w:val="single" w:sz="4" w:space="0" w:color="auto"/>
                  <w:right w:val="single" w:sz="4" w:space="0" w:color="auto"/>
                </w:tcBorders>
                <w:vAlign w:val="center"/>
                <w:hideMark/>
              </w:tcPr>
              <w:p>
                <w:pPr>
                  <w:ind w:hanging="108"/>
                  <w:jc w:val="center"/>
                  <w:rPr>
                    <w:sz w:val="16"/>
                    <w:szCs w:val="16"/>
                  </w:rPr>
                </w:pPr>
                <w:r>
                  <w:rPr>
                    <w:sz w:val="16"/>
                    <w:szCs w:val="16"/>
                  </w:rPr>
                  <w:t>Savival-dybės kodas</w:t>
                </w:r>
              </w:p>
            </w:tc>
            <w:tc>
              <w:tcPr>
                <w:tcW w:w="1065" w:type="dxa"/>
                <w:tcBorders>
                  <w:top w:val="single" w:sz="4" w:space="0" w:color="auto"/>
                  <w:left w:val="single" w:sz="4" w:space="0" w:color="auto"/>
                  <w:bottom w:val="single" w:sz="4" w:space="0" w:color="auto"/>
                  <w:right w:val="single" w:sz="4" w:space="0" w:color="auto"/>
                </w:tcBorders>
                <w:vAlign w:val="center"/>
                <w:hideMark/>
              </w:tcPr>
              <w:p>
                <w:pPr>
                  <w:jc w:val="center"/>
                  <w:rPr>
                    <w:sz w:val="16"/>
                    <w:szCs w:val="16"/>
                  </w:rPr>
                </w:pPr>
                <w:r>
                  <w:rPr>
                    <w:sz w:val="16"/>
                    <w:szCs w:val="16"/>
                  </w:rPr>
                  <w:t>Gatvės pavadinimas, namo Nr.</w:t>
                </w:r>
              </w:p>
            </w:tc>
            <w:tc>
              <w:tcPr>
                <w:tcW w:w="1046" w:type="dxa"/>
                <w:tcBorders>
                  <w:top w:val="single" w:sz="4" w:space="0" w:color="auto"/>
                  <w:left w:val="single" w:sz="4" w:space="0" w:color="auto"/>
                  <w:bottom w:val="single" w:sz="4" w:space="0" w:color="auto"/>
                  <w:right w:val="single" w:sz="4" w:space="0" w:color="auto"/>
                </w:tcBorders>
                <w:vAlign w:val="center"/>
                <w:hideMark/>
              </w:tcPr>
              <w:p>
                <w:pPr>
                  <w:jc w:val="center"/>
                  <w:rPr>
                    <w:sz w:val="16"/>
                    <w:szCs w:val="16"/>
                  </w:rPr>
                </w:pPr>
                <w:r>
                  <w:rPr>
                    <w:sz w:val="16"/>
                    <w:szCs w:val="16"/>
                  </w:rPr>
                  <w:t>Seniūnijos pavadinimas</w:t>
                </w:r>
              </w:p>
            </w:tc>
            <w:tc>
              <w:tcPr>
                <w:tcW w:w="676" w:type="dxa"/>
                <w:tcBorders>
                  <w:top w:val="single" w:sz="4" w:space="0" w:color="auto"/>
                  <w:left w:val="single" w:sz="4" w:space="0" w:color="auto"/>
                  <w:bottom w:val="single" w:sz="4" w:space="0" w:color="auto"/>
                  <w:right w:val="single" w:sz="4" w:space="0" w:color="auto"/>
                </w:tcBorders>
                <w:vAlign w:val="center"/>
                <w:hideMark/>
              </w:tcPr>
              <w:p>
                <w:pPr>
                  <w:jc w:val="center"/>
                  <w:rPr>
                    <w:sz w:val="16"/>
                    <w:szCs w:val="16"/>
                  </w:rPr>
                </w:pPr>
                <w:r>
                  <w:rPr>
                    <w:sz w:val="16"/>
                    <w:szCs w:val="16"/>
                  </w:rPr>
                  <w:t>Pašto kodas</w:t>
                </w:r>
              </w:p>
            </w:tc>
            <w:tc>
              <w:tcPr>
                <w:tcW w:w="1201" w:type="dxa"/>
                <w:tcBorders>
                  <w:top w:val="single" w:sz="4" w:space="0" w:color="auto"/>
                  <w:left w:val="single" w:sz="4" w:space="0" w:color="auto"/>
                  <w:bottom w:val="single" w:sz="4" w:space="0" w:color="auto"/>
                  <w:right w:val="single" w:sz="4" w:space="0" w:color="auto"/>
                </w:tcBorders>
                <w:vAlign w:val="center"/>
                <w:hideMark/>
              </w:tcPr>
              <w:p>
                <w:pPr>
                  <w:jc w:val="center"/>
                  <w:rPr>
                    <w:sz w:val="16"/>
                    <w:szCs w:val="16"/>
                  </w:rPr>
                </w:pPr>
                <w:r>
                  <w:rPr>
                    <w:sz w:val="16"/>
                    <w:szCs w:val="16"/>
                  </w:rPr>
                  <w:t>Savivaldybės pavadinimas</w:t>
                </w:r>
              </w:p>
            </w:tc>
          </w:tr>
          <w:tr>
            <w:tc>
              <w:tcPr>
                <w:tcW w:w="443" w:type="dxa"/>
                <w:tcBorders>
                  <w:top w:val="single" w:sz="4" w:space="0" w:color="auto"/>
                  <w:left w:val="single" w:sz="4" w:space="0" w:color="auto"/>
                  <w:bottom w:val="single" w:sz="4" w:space="0" w:color="auto"/>
                  <w:right w:val="single" w:sz="4" w:space="0" w:color="auto"/>
                </w:tcBorders>
              </w:tcPr>
              <w:p>
                <w:pPr>
                  <w:jc w:val="center"/>
                  <w:rPr>
                    <w:szCs w:val="24"/>
                  </w:rPr>
                </w:pPr>
              </w:p>
            </w:tc>
            <w:tc>
              <w:tcPr>
                <w:tcW w:w="836" w:type="dxa"/>
                <w:tcBorders>
                  <w:top w:val="single" w:sz="4" w:space="0" w:color="auto"/>
                  <w:left w:val="single" w:sz="4" w:space="0" w:color="auto"/>
                  <w:bottom w:val="single" w:sz="4" w:space="0" w:color="auto"/>
                  <w:right w:val="single" w:sz="4" w:space="0" w:color="auto"/>
                </w:tcBorders>
              </w:tcPr>
              <w:p>
                <w:pPr>
                  <w:jc w:val="center"/>
                  <w:rPr>
                    <w:szCs w:val="24"/>
                  </w:rPr>
                </w:pPr>
              </w:p>
            </w:tc>
            <w:tc>
              <w:tcPr>
                <w:tcW w:w="732"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329" w:type="dxa"/>
                <w:tcBorders>
                  <w:top w:val="single" w:sz="4" w:space="0" w:color="auto"/>
                  <w:left w:val="single" w:sz="4" w:space="0" w:color="auto"/>
                  <w:bottom w:val="single" w:sz="4" w:space="0" w:color="auto"/>
                  <w:right w:val="single" w:sz="4" w:space="0" w:color="auto"/>
                </w:tcBorders>
              </w:tcPr>
              <w:p>
                <w:pPr>
                  <w:jc w:val="center"/>
                  <w:rPr>
                    <w:szCs w:val="24"/>
                  </w:rPr>
                </w:pPr>
              </w:p>
            </w:tc>
            <w:tc>
              <w:tcPr>
                <w:tcW w:w="732"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074" w:type="dxa"/>
                <w:tcBorders>
                  <w:top w:val="single" w:sz="4" w:space="0" w:color="auto"/>
                  <w:left w:val="single" w:sz="4" w:space="0" w:color="auto"/>
                  <w:bottom w:val="single" w:sz="4" w:space="0" w:color="auto"/>
                  <w:right w:val="single" w:sz="4" w:space="0" w:color="auto"/>
                </w:tcBorders>
              </w:tcPr>
              <w:p>
                <w:pPr>
                  <w:jc w:val="center"/>
                  <w:rPr>
                    <w:szCs w:val="24"/>
                  </w:rPr>
                </w:pPr>
              </w:p>
            </w:tc>
            <w:tc>
              <w:tcPr>
                <w:tcW w:w="675" w:type="dxa"/>
                <w:tcBorders>
                  <w:top w:val="single" w:sz="4" w:space="0" w:color="auto"/>
                  <w:left w:val="single" w:sz="4" w:space="0" w:color="auto"/>
                  <w:bottom w:val="single" w:sz="4" w:space="0" w:color="auto"/>
                  <w:right w:val="single" w:sz="4" w:space="0" w:color="auto"/>
                </w:tcBorders>
              </w:tcPr>
              <w:p>
                <w:pPr>
                  <w:jc w:val="center"/>
                  <w:rPr>
                    <w:sz w:val="16"/>
                    <w:szCs w:val="16"/>
                  </w:rPr>
                </w:pPr>
              </w:p>
            </w:tc>
            <w:tc>
              <w:tcPr>
                <w:tcW w:w="675" w:type="dxa"/>
                <w:tcBorders>
                  <w:top w:val="single" w:sz="4" w:space="0" w:color="auto"/>
                  <w:left w:val="single" w:sz="4" w:space="0" w:color="auto"/>
                  <w:bottom w:val="single" w:sz="4" w:space="0" w:color="auto"/>
                  <w:right w:val="single" w:sz="4" w:space="0" w:color="auto"/>
                </w:tcBorders>
              </w:tcPr>
              <w:p>
                <w:pPr>
                  <w:jc w:val="center"/>
                  <w:rPr>
                    <w:sz w:val="16"/>
                    <w:szCs w:val="16"/>
                  </w:rPr>
                </w:pPr>
              </w:p>
            </w:tc>
            <w:tc>
              <w:tcPr>
                <w:tcW w:w="1319" w:type="dxa"/>
                <w:tcBorders>
                  <w:top w:val="single" w:sz="4" w:space="0" w:color="auto"/>
                  <w:left w:val="single" w:sz="4" w:space="0" w:color="auto"/>
                  <w:bottom w:val="single" w:sz="4" w:space="0" w:color="auto"/>
                  <w:right w:val="single" w:sz="4" w:space="0" w:color="auto"/>
                </w:tcBorders>
              </w:tcPr>
              <w:p>
                <w:pPr>
                  <w:jc w:val="center"/>
                  <w:rPr>
                    <w:sz w:val="16"/>
                    <w:szCs w:val="16"/>
                  </w:rPr>
                </w:pPr>
              </w:p>
            </w:tc>
            <w:tc>
              <w:tcPr>
                <w:tcW w:w="779" w:type="dxa"/>
                <w:tcBorders>
                  <w:top w:val="single" w:sz="4" w:space="0" w:color="auto"/>
                  <w:left w:val="single" w:sz="4" w:space="0" w:color="auto"/>
                  <w:bottom w:val="single" w:sz="4" w:space="0" w:color="auto"/>
                  <w:right w:val="single" w:sz="4" w:space="0" w:color="auto"/>
                </w:tcBorders>
              </w:tcPr>
              <w:p>
                <w:pPr>
                  <w:jc w:val="center"/>
                  <w:rPr>
                    <w:sz w:val="16"/>
                    <w:szCs w:val="16"/>
                  </w:rPr>
                </w:pPr>
              </w:p>
            </w:tc>
            <w:tc>
              <w:tcPr>
                <w:tcW w:w="1065" w:type="dxa"/>
                <w:tcBorders>
                  <w:top w:val="single" w:sz="4" w:space="0" w:color="auto"/>
                  <w:left w:val="single" w:sz="4" w:space="0" w:color="auto"/>
                  <w:bottom w:val="single" w:sz="4" w:space="0" w:color="auto"/>
                  <w:right w:val="single" w:sz="4" w:space="0" w:color="auto"/>
                </w:tcBorders>
              </w:tcPr>
              <w:p>
                <w:pPr>
                  <w:jc w:val="center"/>
                  <w:rPr>
                    <w:sz w:val="16"/>
                    <w:szCs w:val="16"/>
                  </w:rPr>
                </w:pPr>
              </w:p>
            </w:tc>
            <w:tc>
              <w:tcPr>
                <w:tcW w:w="1046" w:type="dxa"/>
                <w:tcBorders>
                  <w:top w:val="single" w:sz="4" w:space="0" w:color="auto"/>
                  <w:left w:val="single" w:sz="4" w:space="0" w:color="auto"/>
                  <w:bottom w:val="single" w:sz="4" w:space="0" w:color="auto"/>
                  <w:right w:val="single" w:sz="4" w:space="0" w:color="auto"/>
                </w:tcBorders>
              </w:tcPr>
              <w:p>
                <w:pPr>
                  <w:jc w:val="center"/>
                  <w:rPr>
                    <w:sz w:val="16"/>
                    <w:szCs w:val="16"/>
                  </w:rPr>
                </w:pPr>
              </w:p>
            </w:tc>
            <w:tc>
              <w:tcPr>
                <w:tcW w:w="676" w:type="dxa"/>
                <w:tcBorders>
                  <w:top w:val="single" w:sz="4" w:space="0" w:color="auto"/>
                  <w:left w:val="single" w:sz="4" w:space="0" w:color="auto"/>
                  <w:bottom w:val="single" w:sz="4" w:space="0" w:color="auto"/>
                  <w:right w:val="single" w:sz="4" w:space="0" w:color="auto"/>
                </w:tcBorders>
              </w:tcPr>
              <w:p>
                <w:pPr>
                  <w:jc w:val="center"/>
                  <w:rPr>
                    <w:sz w:val="16"/>
                    <w:szCs w:val="16"/>
                  </w:rPr>
                </w:pPr>
              </w:p>
            </w:tc>
            <w:tc>
              <w:tcPr>
                <w:tcW w:w="1201" w:type="dxa"/>
                <w:tcBorders>
                  <w:top w:val="single" w:sz="4" w:space="0" w:color="auto"/>
                  <w:left w:val="single" w:sz="4" w:space="0" w:color="auto"/>
                  <w:bottom w:val="single" w:sz="4" w:space="0" w:color="auto"/>
                  <w:right w:val="single" w:sz="4" w:space="0" w:color="auto"/>
                </w:tcBorders>
              </w:tcPr>
              <w:p>
                <w:pPr>
                  <w:jc w:val="center"/>
                  <w:rPr>
                    <w:sz w:val="16"/>
                    <w:szCs w:val="16"/>
                  </w:rPr>
                </w:pPr>
              </w:p>
            </w:tc>
          </w:tr>
          <w:tr>
            <w:tc>
              <w:tcPr>
                <w:tcW w:w="443" w:type="dxa"/>
                <w:tcBorders>
                  <w:top w:val="single" w:sz="4" w:space="0" w:color="auto"/>
                  <w:left w:val="single" w:sz="4" w:space="0" w:color="auto"/>
                  <w:bottom w:val="single" w:sz="4" w:space="0" w:color="auto"/>
                  <w:right w:val="single" w:sz="4" w:space="0" w:color="auto"/>
                </w:tcBorders>
              </w:tcPr>
              <w:p>
                <w:pPr>
                  <w:jc w:val="center"/>
                  <w:rPr>
                    <w:szCs w:val="24"/>
                  </w:rPr>
                </w:pPr>
              </w:p>
            </w:tc>
            <w:tc>
              <w:tcPr>
                <w:tcW w:w="836" w:type="dxa"/>
                <w:tcBorders>
                  <w:top w:val="single" w:sz="4" w:space="0" w:color="auto"/>
                  <w:left w:val="single" w:sz="4" w:space="0" w:color="auto"/>
                  <w:bottom w:val="single" w:sz="4" w:space="0" w:color="auto"/>
                  <w:right w:val="single" w:sz="4" w:space="0" w:color="auto"/>
                </w:tcBorders>
              </w:tcPr>
              <w:p>
                <w:pPr>
                  <w:jc w:val="center"/>
                  <w:rPr>
                    <w:szCs w:val="24"/>
                  </w:rPr>
                </w:pPr>
              </w:p>
            </w:tc>
            <w:tc>
              <w:tcPr>
                <w:tcW w:w="732"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329" w:type="dxa"/>
                <w:tcBorders>
                  <w:top w:val="single" w:sz="4" w:space="0" w:color="auto"/>
                  <w:left w:val="single" w:sz="4" w:space="0" w:color="auto"/>
                  <w:bottom w:val="single" w:sz="4" w:space="0" w:color="auto"/>
                  <w:right w:val="single" w:sz="4" w:space="0" w:color="auto"/>
                </w:tcBorders>
              </w:tcPr>
              <w:p>
                <w:pPr>
                  <w:jc w:val="center"/>
                  <w:rPr>
                    <w:szCs w:val="24"/>
                  </w:rPr>
                </w:pPr>
              </w:p>
            </w:tc>
            <w:tc>
              <w:tcPr>
                <w:tcW w:w="732"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074" w:type="dxa"/>
                <w:tcBorders>
                  <w:top w:val="single" w:sz="4" w:space="0" w:color="auto"/>
                  <w:left w:val="single" w:sz="4" w:space="0" w:color="auto"/>
                  <w:bottom w:val="single" w:sz="4" w:space="0" w:color="auto"/>
                  <w:right w:val="single" w:sz="4" w:space="0" w:color="auto"/>
                </w:tcBorders>
              </w:tcPr>
              <w:p>
                <w:pPr>
                  <w:jc w:val="center"/>
                  <w:rPr>
                    <w:szCs w:val="24"/>
                  </w:rPr>
                </w:pPr>
              </w:p>
            </w:tc>
            <w:tc>
              <w:tcPr>
                <w:tcW w:w="675" w:type="dxa"/>
                <w:tcBorders>
                  <w:top w:val="single" w:sz="4" w:space="0" w:color="auto"/>
                  <w:left w:val="single" w:sz="4" w:space="0" w:color="auto"/>
                  <w:bottom w:val="single" w:sz="4" w:space="0" w:color="auto"/>
                  <w:right w:val="single" w:sz="4" w:space="0" w:color="auto"/>
                </w:tcBorders>
              </w:tcPr>
              <w:p>
                <w:pPr>
                  <w:jc w:val="center"/>
                  <w:rPr>
                    <w:sz w:val="16"/>
                    <w:szCs w:val="16"/>
                  </w:rPr>
                </w:pPr>
              </w:p>
            </w:tc>
            <w:tc>
              <w:tcPr>
                <w:tcW w:w="675" w:type="dxa"/>
                <w:tcBorders>
                  <w:top w:val="single" w:sz="4" w:space="0" w:color="auto"/>
                  <w:left w:val="single" w:sz="4" w:space="0" w:color="auto"/>
                  <w:bottom w:val="single" w:sz="4" w:space="0" w:color="auto"/>
                  <w:right w:val="single" w:sz="4" w:space="0" w:color="auto"/>
                </w:tcBorders>
              </w:tcPr>
              <w:p>
                <w:pPr>
                  <w:jc w:val="center"/>
                  <w:rPr>
                    <w:sz w:val="16"/>
                    <w:szCs w:val="16"/>
                  </w:rPr>
                </w:pPr>
              </w:p>
            </w:tc>
            <w:tc>
              <w:tcPr>
                <w:tcW w:w="1319" w:type="dxa"/>
                <w:tcBorders>
                  <w:top w:val="single" w:sz="4" w:space="0" w:color="auto"/>
                  <w:left w:val="single" w:sz="4" w:space="0" w:color="auto"/>
                  <w:bottom w:val="single" w:sz="4" w:space="0" w:color="auto"/>
                  <w:right w:val="single" w:sz="4" w:space="0" w:color="auto"/>
                </w:tcBorders>
              </w:tcPr>
              <w:p>
                <w:pPr>
                  <w:jc w:val="center"/>
                  <w:rPr>
                    <w:sz w:val="16"/>
                    <w:szCs w:val="16"/>
                  </w:rPr>
                </w:pPr>
              </w:p>
            </w:tc>
            <w:tc>
              <w:tcPr>
                <w:tcW w:w="779" w:type="dxa"/>
                <w:tcBorders>
                  <w:top w:val="single" w:sz="4" w:space="0" w:color="auto"/>
                  <w:left w:val="single" w:sz="4" w:space="0" w:color="auto"/>
                  <w:bottom w:val="single" w:sz="4" w:space="0" w:color="auto"/>
                  <w:right w:val="single" w:sz="4" w:space="0" w:color="auto"/>
                </w:tcBorders>
              </w:tcPr>
              <w:p>
                <w:pPr>
                  <w:jc w:val="center"/>
                  <w:rPr>
                    <w:sz w:val="16"/>
                    <w:szCs w:val="16"/>
                  </w:rPr>
                </w:pPr>
              </w:p>
            </w:tc>
            <w:tc>
              <w:tcPr>
                <w:tcW w:w="1065" w:type="dxa"/>
                <w:tcBorders>
                  <w:top w:val="single" w:sz="4" w:space="0" w:color="auto"/>
                  <w:left w:val="single" w:sz="4" w:space="0" w:color="auto"/>
                  <w:bottom w:val="single" w:sz="4" w:space="0" w:color="auto"/>
                  <w:right w:val="single" w:sz="4" w:space="0" w:color="auto"/>
                </w:tcBorders>
              </w:tcPr>
              <w:p>
                <w:pPr>
                  <w:jc w:val="center"/>
                  <w:rPr>
                    <w:sz w:val="16"/>
                    <w:szCs w:val="16"/>
                  </w:rPr>
                </w:pPr>
              </w:p>
            </w:tc>
            <w:tc>
              <w:tcPr>
                <w:tcW w:w="1046" w:type="dxa"/>
                <w:tcBorders>
                  <w:top w:val="single" w:sz="4" w:space="0" w:color="auto"/>
                  <w:left w:val="single" w:sz="4" w:space="0" w:color="auto"/>
                  <w:bottom w:val="single" w:sz="4" w:space="0" w:color="auto"/>
                  <w:right w:val="single" w:sz="4" w:space="0" w:color="auto"/>
                </w:tcBorders>
              </w:tcPr>
              <w:p>
                <w:pPr>
                  <w:jc w:val="center"/>
                  <w:rPr>
                    <w:sz w:val="16"/>
                    <w:szCs w:val="16"/>
                  </w:rPr>
                </w:pPr>
              </w:p>
            </w:tc>
            <w:tc>
              <w:tcPr>
                <w:tcW w:w="676" w:type="dxa"/>
                <w:tcBorders>
                  <w:top w:val="single" w:sz="4" w:space="0" w:color="auto"/>
                  <w:left w:val="single" w:sz="4" w:space="0" w:color="auto"/>
                  <w:bottom w:val="single" w:sz="4" w:space="0" w:color="auto"/>
                  <w:right w:val="single" w:sz="4" w:space="0" w:color="auto"/>
                </w:tcBorders>
              </w:tcPr>
              <w:p>
                <w:pPr>
                  <w:jc w:val="center"/>
                  <w:rPr>
                    <w:sz w:val="16"/>
                    <w:szCs w:val="16"/>
                  </w:rPr>
                </w:pPr>
              </w:p>
            </w:tc>
            <w:tc>
              <w:tcPr>
                <w:tcW w:w="1201" w:type="dxa"/>
                <w:tcBorders>
                  <w:top w:val="single" w:sz="4" w:space="0" w:color="auto"/>
                  <w:left w:val="single" w:sz="4" w:space="0" w:color="auto"/>
                  <w:bottom w:val="single" w:sz="4" w:space="0" w:color="auto"/>
                  <w:right w:val="single" w:sz="4" w:space="0" w:color="auto"/>
                </w:tcBorders>
              </w:tcPr>
              <w:p>
                <w:pPr>
                  <w:jc w:val="center"/>
                  <w:rPr>
                    <w:sz w:val="16"/>
                    <w:szCs w:val="16"/>
                  </w:rPr>
                </w:pPr>
              </w:p>
            </w:tc>
          </w:tr>
          <w:tr>
            <w:tc>
              <w:tcPr>
                <w:tcW w:w="443" w:type="dxa"/>
                <w:tcBorders>
                  <w:top w:val="single" w:sz="4" w:space="0" w:color="auto"/>
                  <w:left w:val="single" w:sz="4" w:space="0" w:color="auto"/>
                  <w:bottom w:val="single" w:sz="4" w:space="0" w:color="auto"/>
                  <w:right w:val="single" w:sz="4" w:space="0" w:color="auto"/>
                </w:tcBorders>
              </w:tcPr>
              <w:p>
                <w:pPr>
                  <w:jc w:val="center"/>
                  <w:rPr>
                    <w:szCs w:val="24"/>
                  </w:rPr>
                </w:pPr>
              </w:p>
            </w:tc>
            <w:tc>
              <w:tcPr>
                <w:tcW w:w="836" w:type="dxa"/>
                <w:tcBorders>
                  <w:top w:val="single" w:sz="4" w:space="0" w:color="auto"/>
                  <w:left w:val="single" w:sz="4" w:space="0" w:color="auto"/>
                  <w:bottom w:val="single" w:sz="4" w:space="0" w:color="auto"/>
                  <w:right w:val="single" w:sz="4" w:space="0" w:color="auto"/>
                </w:tcBorders>
              </w:tcPr>
              <w:p>
                <w:pPr>
                  <w:jc w:val="center"/>
                  <w:rPr>
                    <w:szCs w:val="24"/>
                  </w:rPr>
                </w:pPr>
              </w:p>
            </w:tc>
            <w:tc>
              <w:tcPr>
                <w:tcW w:w="732"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329" w:type="dxa"/>
                <w:tcBorders>
                  <w:top w:val="single" w:sz="4" w:space="0" w:color="auto"/>
                  <w:left w:val="single" w:sz="4" w:space="0" w:color="auto"/>
                  <w:bottom w:val="single" w:sz="4" w:space="0" w:color="auto"/>
                  <w:right w:val="single" w:sz="4" w:space="0" w:color="auto"/>
                </w:tcBorders>
              </w:tcPr>
              <w:p>
                <w:pPr>
                  <w:jc w:val="center"/>
                  <w:rPr>
                    <w:szCs w:val="24"/>
                  </w:rPr>
                </w:pPr>
              </w:p>
            </w:tc>
            <w:tc>
              <w:tcPr>
                <w:tcW w:w="732"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074" w:type="dxa"/>
                <w:tcBorders>
                  <w:top w:val="single" w:sz="4" w:space="0" w:color="auto"/>
                  <w:left w:val="single" w:sz="4" w:space="0" w:color="auto"/>
                  <w:bottom w:val="single" w:sz="4" w:space="0" w:color="auto"/>
                  <w:right w:val="single" w:sz="4" w:space="0" w:color="auto"/>
                </w:tcBorders>
              </w:tcPr>
              <w:p>
                <w:pPr>
                  <w:jc w:val="center"/>
                  <w:rPr>
                    <w:szCs w:val="24"/>
                  </w:rPr>
                </w:pPr>
              </w:p>
            </w:tc>
            <w:tc>
              <w:tcPr>
                <w:tcW w:w="675" w:type="dxa"/>
                <w:tcBorders>
                  <w:top w:val="single" w:sz="4" w:space="0" w:color="auto"/>
                  <w:left w:val="single" w:sz="4" w:space="0" w:color="auto"/>
                  <w:bottom w:val="single" w:sz="4" w:space="0" w:color="auto"/>
                  <w:right w:val="single" w:sz="4" w:space="0" w:color="auto"/>
                </w:tcBorders>
              </w:tcPr>
              <w:p>
                <w:pPr>
                  <w:jc w:val="center"/>
                  <w:rPr>
                    <w:sz w:val="16"/>
                    <w:szCs w:val="16"/>
                  </w:rPr>
                </w:pPr>
              </w:p>
            </w:tc>
            <w:tc>
              <w:tcPr>
                <w:tcW w:w="675" w:type="dxa"/>
                <w:tcBorders>
                  <w:top w:val="single" w:sz="4" w:space="0" w:color="auto"/>
                  <w:left w:val="single" w:sz="4" w:space="0" w:color="auto"/>
                  <w:bottom w:val="single" w:sz="4" w:space="0" w:color="auto"/>
                  <w:right w:val="single" w:sz="4" w:space="0" w:color="auto"/>
                </w:tcBorders>
              </w:tcPr>
              <w:p>
                <w:pPr>
                  <w:jc w:val="center"/>
                  <w:rPr>
                    <w:sz w:val="16"/>
                    <w:szCs w:val="16"/>
                  </w:rPr>
                </w:pPr>
              </w:p>
            </w:tc>
            <w:tc>
              <w:tcPr>
                <w:tcW w:w="1319" w:type="dxa"/>
                <w:tcBorders>
                  <w:top w:val="single" w:sz="4" w:space="0" w:color="auto"/>
                  <w:left w:val="single" w:sz="4" w:space="0" w:color="auto"/>
                  <w:bottom w:val="single" w:sz="4" w:space="0" w:color="auto"/>
                  <w:right w:val="single" w:sz="4" w:space="0" w:color="auto"/>
                </w:tcBorders>
              </w:tcPr>
              <w:p>
                <w:pPr>
                  <w:jc w:val="center"/>
                  <w:rPr>
                    <w:sz w:val="16"/>
                    <w:szCs w:val="16"/>
                  </w:rPr>
                </w:pPr>
              </w:p>
            </w:tc>
            <w:tc>
              <w:tcPr>
                <w:tcW w:w="779" w:type="dxa"/>
                <w:tcBorders>
                  <w:top w:val="single" w:sz="4" w:space="0" w:color="auto"/>
                  <w:left w:val="single" w:sz="4" w:space="0" w:color="auto"/>
                  <w:bottom w:val="single" w:sz="4" w:space="0" w:color="auto"/>
                  <w:right w:val="single" w:sz="4" w:space="0" w:color="auto"/>
                </w:tcBorders>
              </w:tcPr>
              <w:p>
                <w:pPr>
                  <w:jc w:val="center"/>
                  <w:rPr>
                    <w:sz w:val="16"/>
                    <w:szCs w:val="16"/>
                  </w:rPr>
                </w:pPr>
              </w:p>
            </w:tc>
            <w:tc>
              <w:tcPr>
                <w:tcW w:w="1065" w:type="dxa"/>
                <w:tcBorders>
                  <w:top w:val="single" w:sz="4" w:space="0" w:color="auto"/>
                  <w:left w:val="single" w:sz="4" w:space="0" w:color="auto"/>
                  <w:bottom w:val="single" w:sz="4" w:space="0" w:color="auto"/>
                  <w:right w:val="single" w:sz="4" w:space="0" w:color="auto"/>
                </w:tcBorders>
              </w:tcPr>
              <w:p>
                <w:pPr>
                  <w:jc w:val="center"/>
                  <w:rPr>
                    <w:sz w:val="16"/>
                    <w:szCs w:val="16"/>
                  </w:rPr>
                </w:pPr>
              </w:p>
            </w:tc>
            <w:tc>
              <w:tcPr>
                <w:tcW w:w="1046" w:type="dxa"/>
                <w:tcBorders>
                  <w:top w:val="single" w:sz="4" w:space="0" w:color="auto"/>
                  <w:left w:val="single" w:sz="4" w:space="0" w:color="auto"/>
                  <w:bottom w:val="single" w:sz="4" w:space="0" w:color="auto"/>
                  <w:right w:val="single" w:sz="4" w:space="0" w:color="auto"/>
                </w:tcBorders>
              </w:tcPr>
              <w:p>
                <w:pPr>
                  <w:jc w:val="center"/>
                  <w:rPr>
                    <w:sz w:val="16"/>
                    <w:szCs w:val="16"/>
                  </w:rPr>
                </w:pPr>
              </w:p>
            </w:tc>
            <w:tc>
              <w:tcPr>
                <w:tcW w:w="676" w:type="dxa"/>
                <w:tcBorders>
                  <w:top w:val="single" w:sz="4" w:space="0" w:color="auto"/>
                  <w:left w:val="single" w:sz="4" w:space="0" w:color="auto"/>
                  <w:bottom w:val="single" w:sz="4" w:space="0" w:color="auto"/>
                  <w:right w:val="single" w:sz="4" w:space="0" w:color="auto"/>
                </w:tcBorders>
              </w:tcPr>
              <w:p>
                <w:pPr>
                  <w:jc w:val="center"/>
                  <w:rPr>
                    <w:sz w:val="16"/>
                    <w:szCs w:val="16"/>
                  </w:rPr>
                </w:pPr>
              </w:p>
            </w:tc>
            <w:tc>
              <w:tcPr>
                <w:tcW w:w="1201" w:type="dxa"/>
                <w:tcBorders>
                  <w:top w:val="single" w:sz="4" w:space="0" w:color="auto"/>
                  <w:left w:val="single" w:sz="4" w:space="0" w:color="auto"/>
                  <w:bottom w:val="single" w:sz="4" w:space="0" w:color="auto"/>
                  <w:right w:val="single" w:sz="4" w:space="0" w:color="auto"/>
                </w:tcBorders>
              </w:tcPr>
              <w:p>
                <w:pPr>
                  <w:jc w:val="center"/>
                  <w:rPr>
                    <w:sz w:val="16"/>
                    <w:szCs w:val="16"/>
                  </w:rPr>
                </w:pPr>
              </w:p>
            </w:tc>
          </w:tr>
          <w:tr>
            <w:tc>
              <w:tcPr>
                <w:tcW w:w="443" w:type="dxa"/>
                <w:tcBorders>
                  <w:top w:val="single" w:sz="4" w:space="0" w:color="auto"/>
                  <w:left w:val="single" w:sz="4" w:space="0" w:color="auto"/>
                  <w:bottom w:val="single" w:sz="4" w:space="0" w:color="auto"/>
                  <w:right w:val="single" w:sz="4" w:space="0" w:color="auto"/>
                </w:tcBorders>
              </w:tcPr>
              <w:p>
                <w:pPr>
                  <w:rPr>
                    <w:szCs w:val="24"/>
                  </w:rPr>
                </w:pPr>
              </w:p>
            </w:tc>
            <w:tc>
              <w:tcPr>
                <w:tcW w:w="836" w:type="dxa"/>
                <w:tcBorders>
                  <w:top w:val="single" w:sz="4" w:space="0" w:color="auto"/>
                  <w:left w:val="single" w:sz="4" w:space="0" w:color="auto"/>
                  <w:bottom w:val="single" w:sz="4" w:space="0" w:color="auto"/>
                  <w:right w:val="single" w:sz="4" w:space="0" w:color="auto"/>
                </w:tcBorders>
              </w:tcPr>
              <w:p>
                <w:pPr>
                  <w:jc w:val="center"/>
                  <w:rPr>
                    <w:szCs w:val="24"/>
                  </w:rPr>
                </w:pPr>
              </w:p>
            </w:tc>
            <w:tc>
              <w:tcPr>
                <w:tcW w:w="732"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329" w:type="dxa"/>
                <w:tcBorders>
                  <w:top w:val="single" w:sz="4" w:space="0" w:color="auto"/>
                  <w:left w:val="single" w:sz="4" w:space="0" w:color="auto"/>
                  <w:bottom w:val="single" w:sz="4" w:space="0" w:color="auto"/>
                  <w:right w:val="single" w:sz="4" w:space="0" w:color="auto"/>
                </w:tcBorders>
              </w:tcPr>
              <w:p>
                <w:pPr>
                  <w:jc w:val="center"/>
                  <w:rPr>
                    <w:szCs w:val="24"/>
                  </w:rPr>
                </w:pPr>
              </w:p>
            </w:tc>
            <w:tc>
              <w:tcPr>
                <w:tcW w:w="732"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074" w:type="dxa"/>
                <w:tcBorders>
                  <w:top w:val="single" w:sz="4" w:space="0" w:color="auto"/>
                  <w:left w:val="single" w:sz="4" w:space="0" w:color="auto"/>
                  <w:bottom w:val="single" w:sz="4" w:space="0" w:color="auto"/>
                  <w:right w:val="single" w:sz="4" w:space="0" w:color="auto"/>
                </w:tcBorders>
              </w:tcPr>
              <w:p>
                <w:pPr>
                  <w:jc w:val="center"/>
                  <w:rPr>
                    <w:szCs w:val="24"/>
                  </w:rPr>
                </w:pPr>
              </w:p>
            </w:tc>
            <w:tc>
              <w:tcPr>
                <w:tcW w:w="675" w:type="dxa"/>
                <w:tcBorders>
                  <w:top w:val="single" w:sz="4" w:space="0" w:color="auto"/>
                  <w:left w:val="single" w:sz="4" w:space="0" w:color="auto"/>
                  <w:bottom w:val="single" w:sz="4" w:space="0" w:color="auto"/>
                  <w:right w:val="single" w:sz="4" w:space="0" w:color="auto"/>
                </w:tcBorders>
              </w:tcPr>
              <w:p>
                <w:pPr>
                  <w:jc w:val="center"/>
                  <w:rPr>
                    <w:sz w:val="16"/>
                    <w:szCs w:val="16"/>
                  </w:rPr>
                </w:pPr>
              </w:p>
            </w:tc>
            <w:tc>
              <w:tcPr>
                <w:tcW w:w="675" w:type="dxa"/>
                <w:tcBorders>
                  <w:top w:val="single" w:sz="4" w:space="0" w:color="auto"/>
                  <w:left w:val="single" w:sz="4" w:space="0" w:color="auto"/>
                  <w:bottom w:val="single" w:sz="4" w:space="0" w:color="auto"/>
                  <w:right w:val="single" w:sz="4" w:space="0" w:color="auto"/>
                </w:tcBorders>
              </w:tcPr>
              <w:p>
                <w:pPr>
                  <w:jc w:val="center"/>
                  <w:rPr>
                    <w:sz w:val="16"/>
                    <w:szCs w:val="16"/>
                  </w:rPr>
                </w:pPr>
              </w:p>
            </w:tc>
            <w:tc>
              <w:tcPr>
                <w:tcW w:w="1319" w:type="dxa"/>
                <w:tcBorders>
                  <w:top w:val="single" w:sz="4" w:space="0" w:color="auto"/>
                  <w:left w:val="single" w:sz="4" w:space="0" w:color="auto"/>
                  <w:bottom w:val="single" w:sz="4" w:space="0" w:color="auto"/>
                  <w:right w:val="single" w:sz="4" w:space="0" w:color="auto"/>
                </w:tcBorders>
              </w:tcPr>
              <w:p>
                <w:pPr>
                  <w:jc w:val="center"/>
                  <w:rPr>
                    <w:sz w:val="16"/>
                    <w:szCs w:val="16"/>
                  </w:rPr>
                </w:pPr>
              </w:p>
            </w:tc>
            <w:tc>
              <w:tcPr>
                <w:tcW w:w="779" w:type="dxa"/>
                <w:tcBorders>
                  <w:top w:val="single" w:sz="4" w:space="0" w:color="auto"/>
                  <w:left w:val="single" w:sz="4" w:space="0" w:color="auto"/>
                  <w:bottom w:val="single" w:sz="4" w:space="0" w:color="auto"/>
                  <w:right w:val="single" w:sz="4" w:space="0" w:color="auto"/>
                </w:tcBorders>
              </w:tcPr>
              <w:p>
                <w:pPr>
                  <w:jc w:val="center"/>
                  <w:rPr>
                    <w:sz w:val="16"/>
                    <w:szCs w:val="16"/>
                  </w:rPr>
                </w:pPr>
              </w:p>
            </w:tc>
            <w:tc>
              <w:tcPr>
                <w:tcW w:w="1065" w:type="dxa"/>
                <w:tcBorders>
                  <w:top w:val="single" w:sz="4" w:space="0" w:color="auto"/>
                  <w:left w:val="single" w:sz="4" w:space="0" w:color="auto"/>
                  <w:bottom w:val="single" w:sz="4" w:space="0" w:color="auto"/>
                  <w:right w:val="single" w:sz="4" w:space="0" w:color="auto"/>
                </w:tcBorders>
              </w:tcPr>
              <w:p>
                <w:pPr>
                  <w:jc w:val="center"/>
                  <w:rPr>
                    <w:sz w:val="16"/>
                    <w:szCs w:val="16"/>
                  </w:rPr>
                </w:pPr>
              </w:p>
            </w:tc>
            <w:tc>
              <w:tcPr>
                <w:tcW w:w="1046" w:type="dxa"/>
                <w:tcBorders>
                  <w:top w:val="single" w:sz="4" w:space="0" w:color="auto"/>
                  <w:left w:val="single" w:sz="4" w:space="0" w:color="auto"/>
                  <w:bottom w:val="single" w:sz="4" w:space="0" w:color="auto"/>
                  <w:right w:val="single" w:sz="4" w:space="0" w:color="auto"/>
                </w:tcBorders>
              </w:tcPr>
              <w:p>
                <w:pPr>
                  <w:jc w:val="center"/>
                  <w:rPr>
                    <w:sz w:val="16"/>
                    <w:szCs w:val="16"/>
                  </w:rPr>
                </w:pPr>
              </w:p>
            </w:tc>
            <w:tc>
              <w:tcPr>
                <w:tcW w:w="676" w:type="dxa"/>
                <w:tcBorders>
                  <w:top w:val="single" w:sz="4" w:space="0" w:color="auto"/>
                  <w:left w:val="single" w:sz="4" w:space="0" w:color="auto"/>
                  <w:bottom w:val="single" w:sz="4" w:space="0" w:color="auto"/>
                  <w:right w:val="single" w:sz="4" w:space="0" w:color="auto"/>
                </w:tcBorders>
              </w:tcPr>
              <w:p>
                <w:pPr>
                  <w:jc w:val="center"/>
                  <w:rPr>
                    <w:sz w:val="16"/>
                    <w:szCs w:val="16"/>
                  </w:rPr>
                </w:pPr>
              </w:p>
            </w:tc>
            <w:tc>
              <w:tcPr>
                <w:tcW w:w="1201" w:type="dxa"/>
                <w:tcBorders>
                  <w:top w:val="single" w:sz="4" w:space="0" w:color="auto"/>
                  <w:left w:val="single" w:sz="4" w:space="0" w:color="auto"/>
                  <w:bottom w:val="single" w:sz="4" w:space="0" w:color="auto"/>
                  <w:right w:val="single" w:sz="4" w:space="0" w:color="auto"/>
                </w:tcBorders>
              </w:tcPr>
              <w:p>
                <w:pPr>
                  <w:jc w:val="center"/>
                  <w:rPr>
                    <w:sz w:val="16"/>
                    <w:szCs w:val="16"/>
                  </w:rPr>
                </w:pPr>
              </w:p>
            </w:tc>
          </w:tr>
        </w:tbl>
        <w:p>
          <w:pPr/>
        </w:p>
      </w:sdtContent>
    </w:sdt>
    <w:sdt>
      <w:sdtPr>
        <w:alias w:val="3 pr."/>
        <w:tag w:val="part_6809b5d3ab0c4b25ab1462aa34c36ffe"/>
        <w:lock w:val="sdtLocked"/>
        <w:richText/>
      </w:sdtPr>
      <w:sdtContent>
        <w:p>
          <w:pPr>
            <w:overflowPunct w:val="0"/>
            <w:jc w:val="both"/>
            <w:textAlignment w:val="baseline"/>
            <w:rPr>
              <w:szCs w:val="24"/>
            </w:rPr>
            <w:sectPr>
              <w:pgSz w:w="16840" w:h="11907" w:orient="landscape"/>
              <w:pgMar w:top="1560" w:right="1247" w:bottom="567" w:left="1134" w:header="567" w:footer="567" w:gutter="0"/>
              <w:pgNumType w:start="1"/>
              <w:cols w:space="1296"/>
              <w:titlePg/>
              <w:docGrid w:linePitch="326"/>
            </w:sectPr>
          </w:pPr>
        </w:p>
        <w:p>
          <w:pPr>
            <w:widowControl w:val="0"/>
            <w:suppressAutoHyphens/>
            <w:ind w:left="6237"/>
            <w:textAlignment w:val="baseline"/>
            <w:rPr>
              <w:sz w:val="20"/>
            </w:rPr>
          </w:pPr>
          <w:r>
            <w:rPr>
              <w:sz w:val="20"/>
            </w:rPr>
            <w:t>Paramos teikimo bičių laikytojams už</w:t>
          </w:r>
        </w:p>
        <w:p>
          <w:pPr>
            <w:widowControl w:val="0"/>
            <w:suppressAutoHyphens/>
            <w:ind w:left="6237"/>
            <w:textAlignment w:val="baseline"/>
            <w:rPr>
              <w:sz w:val="20"/>
            </w:rPr>
          </w:pPr>
          <w:r>
            <w:rPr>
              <w:sz w:val="20"/>
            </w:rPr>
            <w:t>papildomą bičių maitinimą taisyklių</w:t>
          </w:r>
        </w:p>
        <w:p>
          <w:pPr>
            <w:widowControl w:val="0"/>
            <w:suppressAutoHyphens/>
            <w:ind w:left="6237"/>
            <w:textAlignment w:val="baseline"/>
            <w:rPr>
              <w:sz w:val="20"/>
            </w:rPr>
          </w:pPr>
          <w:sdt>
            <w:sdtPr>
              <w:alias w:val="Numeris"/>
              <w:tag w:val="nr_6809b5d3ab0c4b25ab1462aa34c36ffe"/>
              <w:lock w:val="sdtLocked"/>
              <w:richText/>
            </w:sdtPr>
            <w:sdtContent>
              <w:r>
                <w:rPr>
                  <w:sz w:val="20"/>
                </w:rPr>
                <w:t>3</w:t>
              </w:r>
            </w:sdtContent>
          </w:sdt>
          <w:r>
            <w:rPr>
              <w:sz w:val="20"/>
            </w:rPr>
            <w:t xml:space="preserve"> priedas </w:t>
          </w:r>
        </w:p>
        <w:p>
          <w:pPr>
            <w:widowControl w:val="0"/>
            <w:suppressAutoHyphens/>
            <w:ind w:left="8640"/>
            <w:textAlignment w:val="baseline"/>
            <w:rPr>
              <w:sz w:val="20"/>
            </w:rPr>
          </w:pPr>
        </w:p>
        <w:p>
          <w:pPr>
            <w:widowControl w:val="0"/>
            <w:suppressAutoHyphens/>
            <w:ind w:firstLine="53"/>
            <w:jc w:val="center"/>
            <w:textAlignment w:val="baseline"/>
            <w:rPr>
              <w:sz w:val="20"/>
            </w:rPr>
          </w:pPr>
          <w:r>
            <w:rPr>
              <w:b/>
              <w:sz w:val="20"/>
            </w:rPr>
            <w:t>(Ataskaitos apie paramos teikimo bičių laikytojams už papildomą</w:t>
          </w:r>
        </w:p>
        <w:p>
          <w:pPr>
            <w:widowControl w:val="0"/>
            <w:suppressAutoHyphens/>
            <w:jc w:val="center"/>
            <w:textAlignment w:val="baseline"/>
            <w:rPr>
              <w:sz w:val="20"/>
            </w:rPr>
          </w:pPr>
          <w:r>
            <w:rPr>
              <w:b/>
              <w:sz w:val="20"/>
            </w:rPr>
            <w:t xml:space="preserve">bičių maitinimą </w:t>
          </w:r>
          <w:r>
            <w:rPr>
              <w:b/>
              <w:bCs/>
              <w:sz w:val="20"/>
            </w:rPr>
            <w:t>įgyvendinimą</w:t>
          </w:r>
          <w:r>
            <w:rPr>
              <w:b/>
              <w:sz w:val="20"/>
            </w:rPr>
            <w:t xml:space="preserve"> forma)</w:t>
          </w:r>
        </w:p>
        <w:p>
          <w:pPr>
            <w:widowControl w:val="0"/>
            <w:suppressAutoHyphens/>
            <w:textAlignment w:val="baseline"/>
            <w:rPr>
              <w:bCs/>
              <w:caps/>
              <w:color w:val="000000"/>
              <w:szCs w:val="24"/>
            </w:rPr>
          </w:pPr>
        </w:p>
        <w:p>
          <w:pPr>
            <w:widowControl w:val="0"/>
            <w:suppressAutoHyphens/>
            <w:jc w:val="center"/>
            <w:textAlignment w:val="baseline"/>
            <w:rPr>
              <w:b/>
              <w:bCs/>
              <w:caps/>
              <w:color w:val="000000"/>
              <w:szCs w:val="24"/>
            </w:rPr>
          </w:pPr>
          <w:r>
            <w:rPr>
              <w:b/>
              <w:bCs/>
              <w:caps/>
              <w:color w:val="000000"/>
              <w:szCs w:val="24"/>
            </w:rPr>
            <w:t>NACIONALINĖ MOKĖJIMO AGENTŪRA PRIE ŽEMĖS ŪKIO MINISTERIJOS</w:t>
          </w:r>
        </w:p>
        <w:p>
          <w:pPr>
            <w:widowControl w:val="0"/>
            <w:suppressAutoHyphens/>
            <w:jc w:val="center"/>
            <w:textAlignment w:val="baseline"/>
            <w:rPr>
              <w:b/>
              <w:bCs/>
              <w:caps/>
              <w:color w:val="000000"/>
              <w:szCs w:val="24"/>
            </w:rPr>
          </w:pPr>
        </w:p>
        <w:p>
          <w:pPr>
            <w:suppressAutoHyphens/>
            <w:jc w:val="center"/>
            <w:textAlignment w:val="baseline"/>
            <w:rPr>
              <w:b/>
              <w:bCs/>
              <w:caps/>
              <w:szCs w:val="24"/>
            </w:rPr>
          </w:pPr>
          <w:r>
            <w:rPr>
              <w:b/>
              <w:bCs/>
              <w:caps/>
              <w:szCs w:val="24"/>
            </w:rPr>
            <w:t>ATASKAITA APIE Paramos teikimo bičių laikytojams už papildomą</w:t>
          </w:r>
        </w:p>
        <w:p>
          <w:pPr>
            <w:suppressAutoHyphens/>
            <w:jc w:val="center"/>
            <w:textAlignment w:val="baseline"/>
            <w:rPr>
              <w:b/>
              <w:bCs/>
              <w:caps/>
              <w:szCs w:val="24"/>
            </w:rPr>
          </w:pPr>
          <w:r>
            <w:rPr>
              <w:b/>
              <w:bCs/>
              <w:caps/>
              <w:szCs w:val="24"/>
            </w:rPr>
            <w:t xml:space="preserve">bičių MAITINIMĄ įgyvendinimą </w:t>
          </w:r>
        </w:p>
        <w:p>
          <w:pPr>
            <w:suppressAutoHyphens/>
            <w:textAlignment w:val="baseline"/>
            <w:rPr>
              <w:szCs w:val="24"/>
            </w:rPr>
          </w:pPr>
        </w:p>
        <w:p>
          <w:pPr>
            <w:suppressAutoHyphens/>
            <w:jc w:val="center"/>
            <w:textAlignment w:val="baseline"/>
            <w:rPr>
              <w:szCs w:val="24"/>
            </w:rPr>
          </w:pPr>
          <w:r>
            <w:rPr>
              <w:szCs w:val="24"/>
            </w:rPr>
            <w:t xml:space="preserve">____________   Nr. _______________</w:t>
          </w:r>
        </w:p>
        <w:p>
          <w:pPr>
            <w:suppressAutoHyphens/>
            <w:jc w:val="center"/>
            <w:textAlignment w:val="baseline"/>
            <w:rPr>
              <w:sz w:val="20"/>
            </w:rPr>
          </w:pPr>
          <w:r>
            <w:rPr>
              <w:sz w:val="20"/>
            </w:rPr>
            <w:t>(data)</w:t>
          </w:r>
        </w:p>
        <w:p>
          <w:pPr>
            <w:suppressAutoHyphens/>
            <w:jc w:val="center"/>
            <w:textAlignment w:val="baseline"/>
            <w:rPr>
              <w:sz w:val="20"/>
            </w:rPr>
          </w:pPr>
          <w:r>
            <w:rPr>
              <w:sz w:val="20"/>
            </w:rPr>
            <w:t>____________</w:t>
          </w:r>
        </w:p>
        <w:p>
          <w:pPr>
            <w:suppressAutoHyphens/>
            <w:jc w:val="center"/>
            <w:textAlignment w:val="baseline"/>
            <w:rPr>
              <w:sz w:val="20"/>
            </w:rPr>
          </w:pPr>
          <w:r>
            <w:rPr>
              <w:sz w:val="20"/>
            </w:rPr>
            <w:t>(sudarymo vieta)</w:t>
          </w:r>
        </w:p>
        <w:p>
          <w:pPr>
            <w:suppressAutoHyphens/>
            <w:jc w:val="center"/>
            <w:textAlignment w:val="baseline"/>
            <w:rPr>
              <w:sz w:val="20"/>
            </w:rPr>
          </w:pPr>
        </w:p>
        <w:tbl>
          <w:tblPr>
            <w:tblW w:w="6947" w:type="dxa"/>
            <w:tblInd w:w="137" w:type="dxa"/>
            <w:tblCellMar>
              <w:left w:w="10" w:type="dxa"/>
              <w:right w:w="10" w:type="dxa"/>
            </w:tblCellMar>
            <w:tblLook w:val="0000" w:firstRow="0" w:lastRow="0" w:firstColumn="0" w:lastColumn="0" w:noHBand="0" w:noVBand="0"/>
          </w:tblPr>
          <w:tblGrid>
            <w:gridCol w:w="3545"/>
            <w:gridCol w:w="3402"/>
          </w:tblGrid>
          <w:tr>
            <w:trPr>
              <w:cantSplit/>
              <w:trHeight w:val="531"/>
            </w:trPr>
            <w:tc>
              <w:tcPr>
                <w:tcW w:w="35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textAlignment w:val="baseline"/>
                  <w:rPr>
                    <w:sz w:val="20"/>
                  </w:rPr>
                </w:pPr>
                <w:r>
                  <w:rPr>
                    <w:sz w:val="20"/>
                  </w:rPr>
                  <w:t xml:space="preserve">Periodas, už kurį formuojama ataskaita </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4320"/>
                  </w:tabs>
                  <w:suppressAutoHyphens/>
                  <w:ind w:firstLine="159"/>
                  <w:textAlignment w:val="baseline"/>
                  <w:rPr>
                    <w:sz w:val="20"/>
                  </w:rPr>
                </w:pPr>
              </w:p>
              <w:p>
                <w:pPr>
                  <w:tabs>
                    <w:tab w:val="left" w:pos="4320"/>
                  </w:tabs>
                  <w:suppressAutoHyphens/>
                  <w:ind w:firstLine="477"/>
                  <w:textAlignment w:val="baseline"/>
                  <w:rPr>
                    <w:sz w:val="20"/>
                  </w:rPr>
                </w:pPr>
                <w:r>
                  <w:rPr>
                    <w:sz w:val="20"/>
                  </w:rPr>
                  <w:t xml:space="preserve">(nuo)                             (iki)</w:t>
                </w:r>
              </w:p>
            </w:tc>
          </w:tr>
        </w:tbl>
        <w:p>
          <w:pPr>
            <w:suppressAutoHyphens/>
            <w:textAlignment w:val="baseline"/>
            <w:rPr>
              <w:b/>
              <w:bCs/>
              <w:szCs w:val="24"/>
            </w:rPr>
          </w:pPr>
        </w:p>
        <w:p>
          <w:pPr>
            <w:tabs>
              <w:tab w:val="left" w:pos="567"/>
            </w:tabs>
            <w:suppressAutoHyphens/>
            <w:ind w:firstLine="159"/>
            <w:textAlignment w:val="baseline"/>
            <w:rPr>
              <w:b/>
              <w:bCs/>
              <w:sz w:val="20"/>
            </w:rPr>
          </w:pPr>
          <w:r>
            <w:rPr>
              <w:b/>
              <w:bCs/>
              <w:sz w:val="20"/>
            </w:rPr>
            <w:t>PARAMOS TEIKIMO BIČIŲ LAIKYTOJAMS UŽ PAPILDOMĄ BIČIŲ MAITINIMĄ ĮGYVENDINIMAS</w:t>
          </w:r>
        </w:p>
        <w:tbl>
          <w:tblPr>
            <w:tblW w:w="9072" w:type="dxa"/>
            <w:tblInd w:w="137" w:type="dxa"/>
            <w:tblLayout w:type="fixed"/>
            <w:tblCellMar>
              <w:left w:w="10" w:type="dxa"/>
              <w:right w:w="10" w:type="dxa"/>
            </w:tblCellMar>
            <w:tblLook w:val="0000" w:firstRow="0" w:lastRow="0" w:firstColumn="0" w:lastColumn="0" w:noHBand="0" w:noVBand="0"/>
          </w:tblPr>
          <w:tblGrid>
            <w:gridCol w:w="541"/>
            <w:gridCol w:w="4987"/>
            <w:gridCol w:w="1843"/>
            <w:gridCol w:w="1701"/>
          </w:tblGrid>
          <w:tr>
            <w:trPr>
              <w:cantSplit/>
              <w:trHeight w:val="869"/>
              <w:tblHeader/>
            </w:trPr>
            <w:tc>
              <w:tcPr>
                <w:tcW w:w="5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pPr>
                <w:r>
                  <w:rPr>
                    <w:b/>
                    <w:bCs/>
                  </w:rPr>
                  <w:t>Eil. Nr.</w:t>
                </w:r>
              </w:p>
            </w:tc>
            <w:tc>
              <w:tcPr>
                <w:tcW w:w="4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pPr>
                <w:r>
                  <w:rPr>
                    <w:b/>
                    <w:bCs/>
                  </w:rPr>
                  <w:t>Informacija apie paramos teikimo bičių laikytojams už papildomą bičių maitinimą įgyvendinimą</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pPr>
                <w:r>
                  <w:rPr>
                    <w:b/>
                  </w:rPr>
                  <w:t>Bičių šeimų laikytojų skaičius, vnt.</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pPr>
                <w:r>
                  <w:rPr>
                    <w:b/>
                  </w:rPr>
                  <w:t>Ekologiškų bičių šeimų laikytojų skaičius, vnt.</w:t>
                </w:r>
              </w:p>
            </w:tc>
          </w:tr>
          <w:tr>
            <w:trPr>
              <w:cantSplit/>
              <w:tblHeader/>
            </w:trPr>
            <w:tc>
              <w:tcPr>
                <w:tcW w:w="5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pPr>
                <w:r>
                  <w:rPr>
                    <w:bCs/>
                  </w:rPr>
                  <w:t>1.</w:t>
                </w:r>
              </w:p>
            </w:tc>
            <w:tc>
              <w:tcPr>
                <w:tcW w:w="4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textAlignment w:val="baseline"/>
                </w:pPr>
                <w:r>
                  <w:rPr>
                    <w:b/>
                    <w:bCs/>
                  </w:rPr>
                  <w:t>Laikomų bičių šeimų skaičius, vnt.</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textAlignment w:val="baseline"/>
                  <w:rPr>
                    <w:b/>
                    <w:bCs/>
                    <w:sz w:val="22"/>
                    <w:szCs w:val="22"/>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textAlignment w:val="baseline"/>
                  <w:rPr>
                    <w:b/>
                    <w:bCs/>
                    <w:sz w:val="22"/>
                    <w:szCs w:val="22"/>
                  </w:rPr>
                </w:pPr>
              </w:p>
            </w:tc>
          </w:tr>
          <w:tr>
            <w:trPr>
              <w:cantSplit/>
              <w:tblHeader/>
            </w:trPr>
            <w:tc>
              <w:tcPr>
                <w:tcW w:w="5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Cs/>
                    <w:sz w:val="22"/>
                    <w:szCs w:val="22"/>
                  </w:rPr>
                </w:pPr>
              </w:p>
            </w:tc>
            <w:tc>
              <w:tcPr>
                <w:tcW w:w="4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textAlignment w:val="baseline"/>
                </w:pPr>
                <w:r>
                  <w:rPr>
                    <w:bCs/>
                  </w:rPr>
                  <w:t>1–4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textAlignment w:val="baseline"/>
                  <w:rPr>
                    <w:b/>
                    <w:bCs/>
                    <w:sz w:val="22"/>
                    <w:szCs w:val="22"/>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textAlignment w:val="baseline"/>
                  <w:rPr>
                    <w:b/>
                    <w:bCs/>
                    <w:sz w:val="22"/>
                    <w:szCs w:val="22"/>
                  </w:rPr>
                </w:pPr>
              </w:p>
            </w:tc>
          </w:tr>
          <w:tr>
            <w:trPr>
              <w:cantSplit/>
              <w:tblHeader/>
            </w:trPr>
            <w:tc>
              <w:tcPr>
                <w:tcW w:w="5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Cs/>
                    <w:sz w:val="22"/>
                    <w:szCs w:val="22"/>
                  </w:rPr>
                </w:pPr>
              </w:p>
            </w:tc>
            <w:tc>
              <w:tcPr>
                <w:tcW w:w="4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textAlignment w:val="baseline"/>
                </w:pPr>
                <w:r>
                  <w:rPr>
                    <w:bCs/>
                  </w:rPr>
                  <w:t>5–20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textAlignment w:val="baseline"/>
                  <w:rPr>
                    <w:b/>
                    <w:bCs/>
                    <w:sz w:val="22"/>
                    <w:szCs w:val="22"/>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textAlignment w:val="baseline"/>
                  <w:rPr>
                    <w:b/>
                    <w:bCs/>
                    <w:sz w:val="22"/>
                    <w:szCs w:val="22"/>
                  </w:rPr>
                </w:pPr>
              </w:p>
            </w:tc>
          </w:tr>
          <w:tr>
            <w:trPr>
              <w:cantSplit/>
              <w:tblHeader/>
            </w:trPr>
            <w:tc>
              <w:tcPr>
                <w:tcW w:w="5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Cs/>
                    <w:sz w:val="22"/>
                    <w:szCs w:val="22"/>
                  </w:rPr>
                </w:pPr>
              </w:p>
            </w:tc>
            <w:tc>
              <w:tcPr>
                <w:tcW w:w="4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textAlignment w:val="baseline"/>
                </w:pPr>
                <w:r>
                  <w:rPr>
                    <w:bCs/>
                  </w:rPr>
                  <w:t>21–40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textAlignment w:val="baseline"/>
                  <w:rPr>
                    <w:b/>
                    <w:bCs/>
                    <w:sz w:val="22"/>
                    <w:szCs w:val="22"/>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textAlignment w:val="baseline"/>
                  <w:rPr>
                    <w:b/>
                    <w:bCs/>
                    <w:sz w:val="22"/>
                    <w:szCs w:val="22"/>
                  </w:rPr>
                </w:pPr>
              </w:p>
            </w:tc>
          </w:tr>
          <w:tr>
            <w:trPr>
              <w:cantSplit/>
              <w:tblHeader/>
            </w:trPr>
            <w:tc>
              <w:tcPr>
                <w:tcW w:w="5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Cs/>
                    <w:sz w:val="22"/>
                    <w:szCs w:val="22"/>
                  </w:rPr>
                </w:pPr>
              </w:p>
            </w:tc>
            <w:tc>
              <w:tcPr>
                <w:tcW w:w="4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textAlignment w:val="baseline"/>
                </w:pPr>
                <w:r>
                  <w:rPr>
                    <w:bCs/>
                  </w:rPr>
                  <w:t>41–60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textAlignment w:val="baseline"/>
                  <w:rPr>
                    <w:b/>
                    <w:bCs/>
                    <w:sz w:val="22"/>
                    <w:szCs w:val="22"/>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textAlignment w:val="baseline"/>
                  <w:rPr>
                    <w:b/>
                    <w:bCs/>
                    <w:sz w:val="22"/>
                    <w:szCs w:val="22"/>
                  </w:rPr>
                </w:pPr>
              </w:p>
            </w:tc>
          </w:tr>
          <w:tr>
            <w:trPr>
              <w:cantSplit/>
              <w:tblHeader/>
            </w:trPr>
            <w:tc>
              <w:tcPr>
                <w:tcW w:w="5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Cs/>
                    <w:sz w:val="22"/>
                    <w:szCs w:val="22"/>
                  </w:rPr>
                </w:pPr>
              </w:p>
            </w:tc>
            <w:tc>
              <w:tcPr>
                <w:tcW w:w="4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textAlignment w:val="baseline"/>
                </w:pPr>
                <w:r>
                  <w:rPr>
                    <w:bCs/>
                  </w:rPr>
                  <w:t>61–100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textAlignment w:val="baseline"/>
                  <w:rPr>
                    <w:b/>
                    <w:bCs/>
                    <w:sz w:val="22"/>
                    <w:szCs w:val="22"/>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textAlignment w:val="baseline"/>
                  <w:rPr>
                    <w:b/>
                    <w:bCs/>
                    <w:sz w:val="22"/>
                    <w:szCs w:val="22"/>
                  </w:rPr>
                </w:pPr>
              </w:p>
            </w:tc>
          </w:tr>
          <w:tr>
            <w:trPr>
              <w:cantSplit/>
              <w:tblHeader/>
            </w:trPr>
            <w:tc>
              <w:tcPr>
                <w:tcW w:w="5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Cs/>
                    <w:sz w:val="22"/>
                    <w:szCs w:val="22"/>
                  </w:rPr>
                </w:pPr>
              </w:p>
            </w:tc>
            <w:tc>
              <w:tcPr>
                <w:tcW w:w="4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textAlignment w:val="baseline"/>
                </w:pPr>
                <w:r>
                  <w:rPr>
                    <w:bCs/>
                  </w:rPr>
                  <w:t>101–150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textAlignment w:val="baseline"/>
                  <w:rPr>
                    <w:b/>
                    <w:bCs/>
                    <w:sz w:val="22"/>
                    <w:szCs w:val="22"/>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textAlignment w:val="baseline"/>
                  <w:rPr>
                    <w:b/>
                    <w:bCs/>
                    <w:sz w:val="22"/>
                    <w:szCs w:val="22"/>
                  </w:rPr>
                </w:pPr>
              </w:p>
            </w:tc>
          </w:tr>
          <w:tr>
            <w:tc>
              <w:tcPr>
                <w:tcW w:w="5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pPr>
                <w:r>
                  <w:rPr>
                    <w:bCs/>
                  </w:rPr>
                  <w:t>2.</w:t>
                </w:r>
              </w:p>
            </w:tc>
            <w:tc>
              <w:tcPr>
                <w:tcW w:w="4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textAlignment w:val="baseline"/>
                </w:pPr>
                <w:r>
                  <w:t>Suteikta paramos už bičių šeimų papildomą maitinimą (Eur)</w:t>
                </w:r>
              </w:p>
            </w:tc>
            <w:tc>
              <w:tcPr>
                <w:tcW w:w="354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textAlignment w:val="baseline"/>
                  <w:rPr>
                    <w:bCs/>
                    <w:sz w:val="22"/>
                    <w:szCs w:val="22"/>
                  </w:rPr>
                </w:pPr>
              </w:p>
            </w:tc>
          </w:tr>
          <w:tr>
            <w:tc>
              <w:tcPr>
                <w:tcW w:w="5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pPr>
                <w:r>
                  <w:rPr>
                    <w:bCs/>
                  </w:rPr>
                  <w:t>3.</w:t>
                </w:r>
              </w:p>
            </w:tc>
            <w:tc>
              <w:tcPr>
                <w:tcW w:w="4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textAlignment w:val="baseline"/>
                </w:pPr>
                <w:r>
                  <w:t>Suteikta paramos už ekologiškų bičių šeimų papildomą maitinimą (Eur)</w:t>
                </w:r>
              </w:p>
            </w:tc>
            <w:tc>
              <w:tcPr>
                <w:tcW w:w="354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textAlignment w:val="baseline"/>
                  <w:rPr>
                    <w:bCs/>
                    <w:sz w:val="22"/>
                    <w:szCs w:val="22"/>
                  </w:rPr>
                </w:pPr>
              </w:p>
            </w:tc>
          </w:tr>
          <w:tr>
            <w:tc>
              <w:tcPr>
                <w:tcW w:w="5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Cs/>
                  </w:rPr>
                </w:pPr>
                <w:r>
                  <w:rPr>
                    <w:bCs/>
                  </w:rPr>
                  <w:t>4.</w:t>
                </w:r>
              </w:p>
            </w:tc>
            <w:tc>
              <w:tcPr>
                <w:tcW w:w="4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textAlignment w:val="baseline"/>
                  <w:rPr>
                    <w:bCs/>
                  </w:rPr>
                </w:pPr>
                <w:r>
                  <w:rPr>
                    <w:bCs/>
                  </w:rPr>
                  <w:t>Suteikta paramos už bičių šeimų papildomą maitinimą (bičių šeimų skaičius, vnt.)</w:t>
                </w:r>
              </w:p>
            </w:tc>
            <w:tc>
              <w:tcPr>
                <w:tcW w:w="354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textAlignment w:val="baseline"/>
                  <w:rPr>
                    <w:bCs/>
                    <w:sz w:val="22"/>
                    <w:szCs w:val="22"/>
                  </w:rPr>
                </w:pPr>
              </w:p>
            </w:tc>
          </w:tr>
          <w:tr>
            <w:tc>
              <w:tcPr>
                <w:tcW w:w="5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Cs/>
                  </w:rPr>
                </w:pPr>
                <w:r>
                  <w:rPr>
                    <w:bCs/>
                  </w:rPr>
                  <w:t>5.</w:t>
                </w:r>
              </w:p>
            </w:tc>
            <w:tc>
              <w:tcPr>
                <w:tcW w:w="4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textAlignment w:val="baseline"/>
                  <w:rPr>
                    <w:bCs/>
                  </w:rPr>
                </w:pPr>
                <w:r>
                  <w:rPr>
                    <w:bCs/>
                  </w:rPr>
                  <w:t>Suteikta paramos už ekologiškų bičių šeimų papildomą maitinimą (bičių šeimų skaičius, vnt.)</w:t>
                </w:r>
              </w:p>
            </w:tc>
            <w:tc>
              <w:tcPr>
                <w:tcW w:w="354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textAlignment w:val="baseline"/>
                  <w:rPr>
                    <w:bCs/>
                    <w:sz w:val="22"/>
                    <w:szCs w:val="22"/>
                  </w:rPr>
                </w:pPr>
              </w:p>
            </w:tc>
          </w:tr>
          <w:tr>
            <w:tc>
              <w:tcPr>
                <w:tcW w:w="5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Cs/>
                    <w:sz w:val="22"/>
                    <w:szCs w:val="22"/>
                  </w:rPr>
                </w:pPr>
              </w:p>
            </w:tc>
            <w:tc>
              <w:tcPr>
                <w:tcW w:w="4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textAlignment w:val="baseline"/>
                </w:pPr>
                <w:r>
                  <w:rPr>
                    <w:b/>
                    <w:bCs/>
                  </w:rPr>
                  <w:t>Bendra suma, Eur</w:t>
                </w:r>
              </w:p>
            </w:tc>
            <w:tc>
              <w:tcPr>
                <w:tcW w:w="354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textAlignment w:val="baseline"/>
                  <w:rPr>
                    <w:bCs/>
                    <w:sz w:val="22"/>
                    <w:szCs w:val="22"/>
                  </w:rPr>
                </w:pPr>
              </w:p>
            </w:tc>
          </w:tr>
        </w:tbl>
        <w:p>
          <w:pPr>
            <w:suppressAutoHyphens/>
            <w:jc w:val="both"/>
            <w:textAlignment w:val="baseline"/>
            <w:rPr>
              <w:sz w:val="20"/>
            </w:rPr>
          </w:pPr>
        </w:p>
        <w:p>
          <w:pPr>
            <w:suppressAutoHyphens/>
            <w:jc w:val="both"/>
            <w:textAlignment w:val="baseline"/>
            <w:rPr>
              <w:sz w:val="20"/>
              <w:szCs w:val="24"/>
            </w:rPr>
          </w:pPr>
        </w:p>
        <w:p>
          <w:pPr>
            <w:suppressAutoHyphens/>
            <w:jc w:val="both"/>
            <w:textAlignment w:val="baseline"/>
            <w:rPr>
              <w:sz w:val="20"/>
              <w:szCs w:val="24"/>
            </w:rPr>
          </w:pPr>
        </w:p>
        <w:p>
          <w:pPr>
            <w:suppressAutoHyphens/>
            <w:jc w:val="both"/>
            <w:textAlignment w:val="baseline"/>
            <w:rPr>
              <w:sz w:val="20"/>
              <w:szCs w:val="24"/>
            </w:rPr>
          </w:pPr>
        </w:p>
        <w:p>
          <w:pPr>
            <w:suppressAutoHyphens/>
            <w:jc w:val="both"/>
            <w:textAlignment w:val="baseline"/>
            <w:rPr>
              <w:sz w:val="20"/>
              <w:szCs w:val="24"/>
            </w:rPr>
          </w:pPr>
        </w:p>
        <w:p>
          <w:pPr>
            <w:suppressAutoHyphens/>
            <w:jc w:val="both"/>
            <w:textAlignment w:val="baseline"/>
            <w:rPr>
              <w:sz w:val="20"/>
              <w:szCs w:val="24"/>
            </w:rPr>
          </w:pPr>
        </w:p>
        <w:p>
          <w:pPr>
            <w:suppressAutoHyphens/>
            <w:jc w:val="both"/>
            <w:textAlignment w:val="baseline"/>
          </w:pPr>
          <w:r>
            <w:t>Direktorius arba jo įgalioto asmens pareigos</w:t>
            <w:tab/>
            <w:t xml:space="preserve"> (Parašas)</w:t>
            <w:tab/>
            <w:t xml:space="preserve">               (Vardas, pavardė)</w:t>
          </w:r>
        </w:p>
        <w:p>
          <w:pPr>
            <w:jc w:val="both"/>
          </w:pPr>
        </w:p>
      </w:sdtContent>
    </w:sdt>
    <w:sdt>
      <w:sdtPr>
        <w:alias w:val="4 pr."/>
        <w:tag w:val="part_3bab1dab9de840f1a5ff59db7523fce3"/>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412762E8CB4">
            <w:r w:rsidRPr="00532B9F">
              <w:rPr>
                <w:rFonts w:ascii="Times New Roman" w:eastAsia="MS Mincho" w:hAnsi="Times New Roman"/>
                <w:sz w:val="20"/>
                <w:iCs/>
                <w:color w:val="0000FF" w:themeColor="hyperlink"/>
                <w:u w:val="single"/>
              </w:rPr>
              <w:t>3D-455</w:t>
            </w:r>
          </w:fldSimple>
          <w:r>
            <w:rPr>
              <w:rFonts w:ascii="Times New Roman" w:eastAsia="MS Mincho" w:hAnsi="Times New Roman"/>
              <w:sz w:val="20"/>
              <w:iCs/>
            </w:rPr>
            <w:t>,
2008-08-19,
Žin., 2008, Nr.
96-3738 (2008-08-23), i. k. 1082330ISAK003D-455                </w:t>
          </w:r>
        </w:p>
        <w:p>
          <w:pPr>
            <w:jc w:val="both"/>
            <w:rPr>
              <w:rFonts w:ascii="Times New Roman" w:hAnsi="Times New Roman"/>
            </w:rPr>
          </w:pPr>
          <w:r>
            <w:rPr>
              <w:rFonts w:ascii="Times New Roman" w:hAnsi="Times New Roman"/>
              <w:sz w:val="20"/>
            </w:rPr>
            <w:t>Dėl žemės ūkio ministro 2008 m. birželio 26 d. įsakymo Nr. 3D-357 "Dėl Paramos teikimo bičių laikytojams už papildomą bičių maitinimą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74D8B91BD1">
            <w:r w:rsidRPr="00532B9F">
              <w:rPr>
                <w:rFonts w:ascii="Times New Roman" w:eastAsia="MS Mincho" w:hAnsi="Times New Roman"/>
                <w:sz w:val="20"/>
                <w:iCs/>
                <w:color w:val="0000FF" w:themeColor="hyperlink"/>
                <w:u w:val="single"/>
              </w:rPr>
              <w:t>3D-401</w:t>
            </w:r>
          </w:fldSimple>
          <w:r>
            <w:rPr>
              <w:rFonts w:ascii="Times New Roman" w:eastAsia="MS Mincho" w:hAnsi="Times New Roman"/>
              <w:sz w:val="20"/>
              <w:iCs/>
            </w:rPr>
            <w:t>,
2009-06-03,
Žin., 2009, Nr.
68-2776 (2009-06-09), i. k. 1092330ISAK003D-401                </w:t>
          </w:r>
        </w:p>
        <w:p>
          <w:pPr>
            <w:jc w:val="both"/>
            <w:rPr>
              <w:rFonts w:ascii="Times New Roman" w:hAnsi="Times New Roman"/>
            </w:rPr>
          </w:pPr>
          <w:r>
            <w:rPr>
              <w:rFonts w:ascii="Times New Roman" w:hAnsi="Times New Roman"/>
              <w:sz w:val="20"/>
            </w:rPr>
            <w:t>Dėl žemės ūkio ministro 2008 m. birželio 26 d. įsakymo Nr. 3D-357 "Dėl Paramos teikimo bičių laikytojams už papildomą bičių maitinimą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095470224D">
            <w:r w:rsidRPr="00532B9F">
              <w:rPr>
                <w:rFonts w:ascii="Times New Roman" w:eastAsia="MS Mincho" w:hAnsi="Times New Roman"/>
                <w:sz w:val="20"/>
                <w:iCs/>
                <w:color w:val="0000FF" w:themeColor="hyperlink"/>
                <w:u w:val="single"/>
              </w:rPr>
              <w:t>3D-617</w:t>
            </w:r>
          </w:fldSimple>
          <w:r>
            <w:rPr>
              <w:rFonts w:ascii="Times New Roman" w:eastAsia="MS Mincho" w:hAnsi="Times New Roman"/>
              <w:sz w:val="20"/>
              <w:iCs/>
            </w:rPr>
            <w:t>,
2009-08-26,
Žin., 2009, Nr.
103-4329 (2009-08-29), i. k. 1092330ISAK003D-617                </w:t>
          </w:r>
        </w:p>
        <w:p>
          <w:pPr>
            <w:jc w:val="both"/>
            <w:rPr>
              <w:rFonts w:ascii="Times New Roman" w:hAnsi="Times New Roman"/>
            </w:rPr>
          </w:pPr>
          <w:r>
            <w:rPr>
              <w:rFonts w:ascii="Times New Roman" w:hAnsi="Times New Roman"/>
              <w:sz w:val="20"/>
            </w:rPr>
            <w:t>Dėl žemės ūkio ministro 2008 m. birželio 26 d. įsakymo Nr. 3D-357 "Dėl Paramos teikimo bičių laikytojams už papildomą bičių maitinimą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14B08E40321">
            <w:r w:rsidRPr="00532B9F">
              <w:rPr>
                <w:rFonts w:ascii="Times New Roman" w:eastAsia="MS Mincho" w:hAnsi="Times New Roman"/>
                <w:sz w:val="20"/>
                <w:iCs/>
                <w:color w:val="0000FF" w:themeColor="hyperlink"/>
                <w:u w:val="single"/>
              </w:rPr>
              <w:t>3D-864</w:t>
            </w:r>
          </w:fldSimple>
          <w:r>
            <w:rPr>
              <w:rFonts w:ascii="Times New Roman" w:eastAsia="MS Mincho" w:hAnsi="Times New Roman"/>
              <w:sz w:val="20"/>
              <w:iCs/>
            </w:rPr>
            <w:t>,
2010-09-24,
Žin., 2010, Nr.
115-5888 (2010-09-30), i. k. 1102330ISAK003D-864                </w:t>
          </w:r>
        </w:p>
        <w:p>
          <w:pPr>
            <w:jc w:val="both"/>
            <w:rPr>
              <w:rFonts w:ascii="Times New Roman" w:hAnsi="Times New Roman"/>
            </w:rPr>
          </w:pPr>
          <w:r>
            <w:rPr>
              <w:rFonts w:ascii="Times New Roman" w:hAnsi="Times New Roman"/>
              <w:sz w:val="20"/>
            </w:rPr>
            <w:t>Dėl žemės ūkio ministro 2008 m. birželio 26 d. įsakymo Nr. 3D-357 "Dėl Paramos teikimo bičių laikytojams už papildomą bičių maitinimą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A23CB79267E">
            <w:r w:rsidRPr="00532B9F">
              <w:rPr>
                <w:rFonts w:ascii="Times New Roman" w:eastAsia="MS Mincho" w:hAnsi="Times New Roman"/>
                <w:sz w:val="20"/>
                <w:iCs/>
                <w:color w:val="0000FF" w:themeColor="hyperlink"/>
                <w:u w:val="single"/>
              </w:rPr>
              <w:t>3D-955</w:t>
            </w:r>
          </w:fldSimple>
          <w:r>
            <w:rPr>
              <w:rFonts w:ascii="Times New Roman" w:eastAsia="MS Mincho" w:hAnsi="Times New Roman"/>
              <w:sz w:val="20"/>
              <w:iCs/>
            </w:rPr>
            <w:t>,
2011-12-29,
Žin., 2012, Nr.
1-24 (2012-01-04), i. k. 1112330ISAK003D-955                </w:t>
          </w:r>
        </w:p>
        <w:p>
          <w:pPr>
            <w:jc w:val="both"/>
            <w:rPr>
              <w:rFonts w:ascii="Times New Roman" w:hAnsi="Times New Roman"/>
            </w:rPr>
          </w:pPr>
          <w:r>
            <w:rPr>
              <w:rFonts w:ascii="Times New Roman" w:hAnsi="Times New Roman"/>
              <w:sz w:val="20"/>
            </w:rPr>
            <w:t>Dėl žemės ūkio ministro 2008 m. birželio 26 d. įsakymo Nr. 3D-357 "Dėl Paramos teikimo bičių laikytojams už papildomą bičių maitinimą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4AAD4C83138">
            <w:r w:rsidRPr="00532B9F">
              <w:rPr>
                <w:rFonts w:ascii="Times New Roman" w:eastAsia="MS Mincho" w:hAnsi="Times New Roman"/>
                <w:sz w:val="20"/>
                <w:iCs/>
                <w:color w:val="0000FF" w:themeColor="hyperlink"/>
                <w:u w:val="single"/>
              </w:rPr>
              <w:t>3D-423</w:t>
            </w:r>
          </w:fldSimple>
          <w:r>
            <w:rPr>
              <w:rFonts w:ascii="Times New Roman" w:eastAsia="MS Mincho" w:hAnsi="Times New Roman"/>
              <w:sz w:val="20"/>
              <w:iCs/>
            </w:rPr>
            <w:t>,
2012-06-14,
Žin., 2012, Nr.
68-3514 (2012-06-19), i. k. 1122330ISAK003D-423                </w:t>
          </w:r>
        </w:p>
        <w:p>
          <w:pPr>
            <w:jc w:val="both"/>
            <w:rPr>
              <w:rFonts w:ascii="Times New Roman" w:hAnsi="Times New Roman"/>
            </w:rPr>
          </w:pPr>
          <w:r>
            <w:rPr>
              <w:rFonts w:ascii="Times New Roman" w:hAnsi="Times New Roman"/>
              <w:sz w:val="20"/>
            </w:rPr>
            <w:t>Dėl žemės ūkio ministro 2008 m. birželio 26 d. įsakymo Nr. 3D-357 "Dėl Paramos teikimo bičių laikytojams už papildomą bičių maitinimą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7D6FC3699F2">
            <w:r w:rsidRPr="00532B9F">
              <w:rPr>
                <w:rFonts w:ascii="Times New Roman" w:eastAsia="MS Mincho" w:hAnsi="Times New Roman"/>
                <w:sz w:val="20"/>
                <w:iCs/>
                <w:color w:val="0000FF" w:themeColor="hyperlink"/>
                <w:u w:val="single"/>
              </w:rPr>
              <w:t>3D-558</w:t>
            </w:r>
          </w:fldSimple>
          <w:r>
            <w:rPr>
              <w:rFonts w:ascii="Times New Roman" w:eastAsia="MS Mincho" w:hAnsi="Times New Roman"/>
              <w:sz w:val="20"/>
              <w:iCs/>
            </w:rPr>
            <w:t>,
2013-08-02,
Žin., 2013, Nr.
87-4353 (2013-08-10), i. k. 1132330ISAK003D-558                </w:t>
          </w:r>
        </w:p>
        <w:p>
          <w:pPr>
            <w:jc w:val="both"/>
            <w:rPr>
              <w:rFonts w:ascii="Times New Roman" w:hAnsi="Times New Roman"/>
            </w:rPr>
          </w:pPr>
          <w:r>
            <w:rPr>
              <w:rFonts w:ascii="Times New Roman" w:hAnsi="Times New Roman"/>
              <w:sz w:val="20"/>
            </w:rPr>
            <w:t>Dėl žemės ūkio ministro 2008 m. birželio 26 d. įsakymo Nr. 3D-357 "Dėl Paramos teikimo bičių laikytojams už papildomą bičių maitinimą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0c657081d311e3903d9adbf15c062f">
            <w:r w:rsidRPr="00532B9F">
              <w:rPr>
                <w:rFonts w:ascii="Times New Roman" w:eastAsia="MS Mincho" w:hAnsi="Times New Roman"/>
                <w:sz w:val="20"/>
                <w:iCs/>
                <w:color w:val="0000FF" w:themeColor="hyperlink"/>
                <w:u w:val="single"/>
              </w:rPr>
              <w:t>3D-889</w:t>
            </w:r>
          </w:fldSimple>
          <w:r>
            <w:rPr>
              <w:rFonts w:ascii="Times New Roman" w:eastAsia="MS Mincho" w:hAnsi="Times New Roman"/>
              <w:sz w:val="20"/>
              <w:iCs/>
            </w:rPr>
            <w:t>,
2013-12-23,
paskelbta TAR 2014-01-22, i. k. 2014-00428                </w:t>
          </w:r>
        </w:p>
        <w:p>
          <w:pPr>
            <w:jc w:val="both"/>
            <w:rPr>
              <w:rFonts w:ascii="Times New Roman" w:hAnsi="Times New Roman"/>
            </w:rPr>
          </w:pPr>
          <w:r>
            <w:rPr>
              <w:rFonts w:ascii="Times New Roman" w:hAnsi="Times New Roman"/>
              <w:sz w:val="20"/>
            </w:rPr>
            <w:t>Dėl žemės ūkio ministro 2008 m. birželio 26 d. įsakymo Nr. 3D-357 "Dėl Paramos teikimo bičių laikytojams už papildomą bičių maitinimą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1121b90165811e4afafe56485a7e49a">
            <w:r w:rsidRPr="00532B9F">
              <w:rPr>
                <w:rFonts w:ascii="Times New Roman" w:eastAsia="MS Mincho" w:hAnsi="Times New Roman"/>
                <w:sz w:val="20"/>
                <w:iCs/>
                <w:color w:val="0000FF" w:themeColor="hyperlink"/>
                <w:u w:val="single"/>
              </w:rPr>
              <w:t>3D-442</w:t>
            </w:r>
          </w:fldSimple>
          <w:r>
            <w:rPr>
              <w:rFonts w:ascii="Times New Roman" w:eastAsia="MS Mincho" w:hAnsi="Times New Roman"/>
              <w:sz w:val="20"/>
              <w:iCs/>
            </w:rPr>
            <w:t>,
2014-07-28,
paskelbta TAR 2014-07-30, i. k. 2014-10701                </w:t>
          </w:r>
        </w:p>
        <w:p>
          <w:pPr>
            <w:jc w:val="both"/>
            <w:rPr>
              <w:rFonts w:ascii="Times New Roman" w:hAnsi="Times New Roman"/>
            </w:rPr>
          </w:pPr>
          <w:r>
            <w:rPr>
              <w:rFonts w:ascii="Times New Roman" w:hAnsi="Times New Roman"/>
              <w:sz w:val="20"/>
            </w:rPr>
            <w:t>Dėl žemės ūkio ministro 2008 m. birželio 26 d. įsakymo Nr. 3D-357 ,,Dėl Paramos teikimo bičių laikytojams už papildomą bičių maitinimą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45d910552411e4ba0cc17936da0d83">
            <w:r w:rsidRPr="00532B9F">
              <w:rPr>
                <w:rFonts w:ascii="Times New Roman" w:eastAsia="MS Mincho" w:hAnsi="Times New Roman"/>
                <w:sz w:val="20"/>
                <w:iCs/>
                <w:color w:val="0000FF" w:themeColor="hyperlink"/>
                <w:u w:val="single"/>
              </w:rPr>
              <w:t>3D-752</w:t>
            </w:r>
          </w:fldSimple>
          <w:r>
            <w:rPr>
              <w:rFonts w:ascii="Times New Roman" w:eastAsia="MS Mincho" w:hAnsi="Times New Roman"/>
              <w:sz w:val="20"/>
              <w:iCs/>
            </w:rPr>
            <w:t>,
2014-10-16,
paskelbta TAR 2014-10-17, i. k. 2014-14304                </w:t>
          </w:r>
        </w:p>
        <w:p>
          <w:pPr>
            <w:jc w:val="both"/>
            <w:rPr>
              <w:rFonts w:ascii="Times New Roman" w:hAnsi="Times New Roman"/>
            </w:rPr>
          </w:pPr>
          <w:r>
            <w:rPr>
              <w:rFonts w:ascii="Times New Roman" w:hAnsi="Times New Roman"/>
              <w:sz w:val="20"/>
            </w:rPr>
            <w:t>Dėl žemės ūkio ministro 2008 m. birželio 26 d. įsakymo Nr. 3D-357 ,,Dėl Paramos teikimo bičių laikytojams už papildomą bičių maitinimą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d29d307ae511e48d20daf2927aba7d">
            <w:r w:rsidRPr="00532B9F">
              <w:rPr>
                <w:rFonts w:ascii="Times New Roman" w:eastAsia="MS Mincho" w:hAnsi="Times New Roman"/>
                <w:sz w:val="20"/>
                <w:iCs/>
                <w:color w:val="0000FF" w:themeColor="hyperlink"/>
                <w:u w:val="single"/>
              </w:rPr>
              <w:t>3D-923</w:t>
            </w:r>
          </w:fldSimple>
          <w:r>
            <w:rPr>
              <w:rFonts w:ascii="Times New Roman" w:eastAsia="MS Mincho" w:hAnsi="Times New Roman"/>
              <w:sz w:val="20"/>
              <w:iCs/>
            </w:rPr>
            <w:t>,
2014-12-03,
paskelbta TAR 2014-12-03, i. k. 2014-18651                </w:t>
          </w:r>
        </w:p>
        <w:p>
          <w:pPr>
            <w:jc w:val="both"/>
            <w:rPr>
              <w:rFonts w:ascii="Times New Roman" w:hAnsi="Times New Roman"/>
            </w:rPr>
          </w:pPr>
          <w:r>
            <w:rPr>
              <w:rFonts w:ascii="Times New Roman" w:hAnsi="Times New Roman"/>
              <w:sz w:val="20"/>
            </w:rPr>
            <w:t>Dėl žemės ūkio ministro 2008 m. birželio 26 d. įsakymo Nr. 3D-357 ,,Dėl Paramos teikimo bičių laikytojams už papildomą bičių maitinimą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0ae72026b111e4a6deb7cdea22d38c">
            <w:r w:rsidRPr="00532B9F">
              <w:rPr>
                <w:rFonts w:ascii="Times New Roman" w:eastAsia="MS Mincho" w:hAnsi="Times New Roman"/>
                <w:sz w:val="20"/>
                <w:iCs/>
                <w:color w:val="0000FF" w:themeColor="hyperlink"/>
                <w:u w:val="single"/>
              </w:rPr>
              <w:t>3D-483</w:t>
            </w:r>
          </w:fldSimple>
          <w:r>
            <w:rPr>
              <w:rFonts w:ascii="Times New Roman" w:eastAsia="MS Mincho" w:hAnsi="Times New Roman"/>
              <w:sz w:val="20"/>
              <w:iCs/>
            </w:rPr>
            <w:t>,
2014-08-18,
paskelbta TAR 2014-08-18, i. k. 2014-11086                </w:t>
          </w:r>
        </w:p>
        <w:p>
          <w:pPr>
            <w:jc w:val="both"/>
            <w:rPr>
              <w:rFonts w:ascii="Times New Roman" w:hAnsi="Times New Roman"/>
            </w:rPr>
          </w:pPr>
          <w:r>
            <w:rPr>
              <w:rFonts w:ascii="Times New Roman" w:hAnsi="Times New Roman"/>
              <w:sz w:val="20"/>
            </w:rPr>
            <w:t>Dėl žemės ūkio ministro 2008 m. birželio 26 d. įsakymo Nr. 3D-357 ,,Dėl Paramos teikimo bičių laikytojams už papildomą bičių maitinimą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5f04403f2b11e58568ed613eb39a73">
            <w:r w:rsidRPr="00532B9F">
              <w:rPr>
                <w:rFonts w:ascii="Times New Roman" w:eastAsia="MS Mincho" w:hAnsi="Times New Roman"/>
                <w:sz w:val="20"/>
                <w:iCs/>
                <w:color w:val="0000FF" w:themeColor="hyperlink"/>
                <w:u w:val="single"/>
              </w:rPr>
              <w:t>3D-631</w:t>
            </w:r>
          </w:fldSimple>
          <w:r>
            <w:rPr>
              <w:rFonts w:ascii="Times New Roman" w:eastAsia="MS Mincho" w:hAnsi="Times New Roman"/>
              <w:sz w:val="20"/>
              <w:iCs/>
            </w:rPr>
            <w:t>,
2015-08-10,
paskelbta TAR 2015-08-10, i. k. 2015-12170                </w:t>
          </w:r>
        </w:p>
        <w:p>
          <w:pPr>
            <w:jc w:val="both"/>
            <w:rPr>
              <w:rFonts w:ascii="Times New Roman" w:hAnsi="Times New Roman"/>
            </w:rPr>
          </w:pPr>
          <w:r>
            <w:rPr>
              <w:rFonts w:ascii="Times New Roman" w:hAnsi="Times New Roman"/>
              <w:sz w:val="20"/>
            </w:rPr>
            <w:t>Dėl žemės ūkio ministro 2008 m. birželio 26 d. įsakymo Nr. 3D-357 „Dėl Paramos teikimo bičių laikytojams už papildomą bičių maitinimą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83ce10713811e7827cd63159af616c">
            <w:r w:rsidRPr="00532B9F">
              <w:rPr>
                <w:rFonts w:ascii="Times New Roman" w:eastAsia="MS Mincho" w:hAnsi="Times New Roman"/>
                <w:sz w:val="20"/>
                <w:iCs/>
                <w:color w:val="0000FF" w:themeColor="hyperlink"/>
                <w:u w:val="single"/>
              </w:rPr>
              <w:t>3D-493</w:t>
            </w:r>
          </w:fldSimple>
          <w:r>
            <w:rPr>
              <w:rFonts w:ascii="Times New Roman" w:eastAsia="MS Mincho" w:hAnsi="Times New Roman"/>
              <w:sz w:val="20"/>
              <w:iCs/>
            </w:rPr>
            <w:t>,
2017-07-25,
paskelbta TAR 2017-07-26, i. k. 2017-12654                </w:t>
          </w:r>
        </w:p>
        <w:p>
          <w:pPr>
            <w:jc w:val="both"/>
            <w:rPr>
              <w:rFonts w:ascii="Times New Roman" w:hAnsi="Times New Roman"/>
            </w:rPr>
          </w:pPr>
          <w:r>
            <w:rPr>
              <w:rFonts w:ascii="Times New Roman" w:hAnsi="Times New Roman"/>
              <w:sz w:val="20"/>
            </w:rPr>
            <w:t>Dėl žemės ūkio ministro 2008 m. birželio 26 d. įsakymo Nr. 3D-357 „Dėl Paramos teikimo bičių laikytojams už papildomą bičių maitinimą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15e4d06ae511e8bbc2876081bf7fb5">
            <w:r w:rsidRPr="00532B9F">
              <w:rPr>
                <w:rFonts w:ascii="Times New Roman" w:eastAsia="MS Mincho" w:hAnsi="Times New Roman"/>
                <w:sz w:val="20"/>
                <w:iCs/>
                <w:color w:val="0000FF" w:themeColor="hyperlink"/>
                <w:u w:val="single"/>
              </w:rPr>
              <w:t>3D-375</w:t>
            </w:r>
          </w:fldSimple>
          <w:r>
            <w:rPr>
              <w:rFonts w:ascii="Times New Roman" w:eastAsia="MS Mincho" w:hAnsi="Times New Roman"/>
              <w:sz w:val="20"/>
              <w:iCs/>
            </w:rPr>
            <w:t>,
2018-06-08,
paskelbta TAR 2018-06-08, i. k. 2018-09648                </w:t>
          </w:r>
        </w:p>
        <w:p>
          <w:pPr>
            <w:jc w:val="both"/>
            <w:rPr>
              <w:rFonts w:ascii="Times New Roman" w:hAnsi="Times New Roman"/>
            </w:rPr>
          </w:pPr>
          <w:r>
            <w:rPr>
              <w:rFonts w:ascii="Times New Roman" w:hAnsi="Times New Roman"/>
              <w:sz w:val="20"/>
            </w:rPr>
            <w:t>Dėl žemės ūkio ministro 2008 m. birželio 26 d. įsakymo Nr. 3D-357 ,,Dėl Paramos teikimo bičių laikytojams už papildomą bičių maitinimą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ed669d0ce4e11e9929af1b9eea48566">
            <w:r w:rsidRPr="00532B9F">
              <w:rPr>
                <w:rFonts w:ascii="Times New Roman" w:eastAsia="MS Mincho" w:hAnsi="Times New Roman"/>
                <w:sz w:val="20"/>
                <w:iCs/>
                <w:color w:val="0000FF" w:themeColor="hyperlink"/>
                <w:u w:val="single"/>
              </w:rPr>
              <w:t>3D-499</w:t>
            </w:r>
          </w:fldSimple>
          <w:r>
            <w:rPr>
              <w:rFonts w:ascii="Times New Roman" w:eastAsia="MS Mincho" w:hAnsi="Times New Roman"/>
              <w:sz w:val="20"/>
              <w:iCs/>
            </w:rPr>
            <w:t>,
2019-09-03,
paskelbta TAR 2019-09-04, i. k. 2019-14043                </w:t>
          </w:r>
        </w:p>
        <w:p>
          <w:pPr>
            <w:jc w:val="both"/>
            <w:rPr>
              <w:rFonts w:ascii="Times New Roman" w:hAnsi="Times New Roman"/>
            </w:rPr>
          </w:pPr>
          <w:r>
            <w:rPr>
              <w:rFonts w:ascii="Times New Roman" w:hAnsi="Times New Roman"/>
              <w:sz w:val="20"/>
            </w:rPr>
            <w:t>Dėl žemės ūkio ministro 2008 m. birželio 26 d. įsakymo Nr. 3D-357 „Dėl Paramos teikimo bičių laikytojams už papildomą bičių maitinimą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17dee0871311eb9fecb5ecd3bd711c">
            <w:r w:rsidRPr="00532B9F">
              <w:rPr>
                <w:rFonts w:ascii="Times New Roman" w:eastAsia="MS Mincho" w:hAnsi="Times New Roman"/>
                <w:sz w:val="20"/>
                <w:iCs/>
                <w:color w:val="0000FF" w:themeColor="hyperlink"/>
                <w:u w:val="single"/>
              </w:rPr>
              <w:t>3D-175</w:t>
            </w:r>
          </w:fldSimple>
          <w:r>
            <w:rPr>
              <w:rFonts w:ascii="Times New Roman" w:eastAsia="MS Mincho" w:hAnsi="Times New Roman"/>
              <w:sz w:val="20"/>
              <w:iCs/>
            </w:rPr>
            <w:t>,
2021-03-17,
paskelbta TAR 2021-03-17, i. k. 2021-05335                </w:t>
          </w:r>
        </w:p>
        <w:p>
          <w:pPr>
            <w:jc w:val="both"/>
            <w:rPr>
              <w:rFonts w:ascii="Times New Roman" w:hAnsi="Times New Roman"/>
            </w:rPr>
          </w:pPr>
          <w:r>
            <w:rPr>
              <w:rFonts w:ascii="Times New Roman" w:hAnsi="Times New Roman"/>
              <w:sz w:val="20"/>
            </w:rPr>
            <w:t>Dėl žemės ūkio ministro 2008 m. birželio 26 d. įsakymo Nr. 3D-357 „Dėl Paramos teikimo bičių laikytojams už papildomą bičių maitinimą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0ca8980231711efbdaea558de59136c">
            <w:r w:rsidRPr="00532B9F">
              <w:rPr>
                <w:rFonts w:ascii="Times New Roman" w:eastAsia="MS Mincho" w:hAnsi="Times New Roman"/>
                <w:sz w:val="20"/>
                <w:iCs/>
                <w:color w:val="0000FF" w:themeColor="hyperlink"/>
                <w:u w:val="single"/>
              </w:rPr>
              <w:t>3D-445</w:t>
            </w:r>
          </w:fldSimple>
          <w:r>
            <w:rPr>
              <w:rFonts w:ascii="Times New Roman" w:eastAsia="MS Mincho" w:hAnsi="Times New Roman"/>
              <w:sz w:val="20"/>
              <w:iCs/>
            </w:rPr>
            <w:t>,
2024-06-05,
paskelbta TAR 2024-06-05, i. k. 2024-10273                </w:t>
          </w:r>
        </w:p>
        <w:p>
          <w:pPr>
            <w:jc w:val="both"/>
            <w:rPr>
              <w:rFonts w:ascii="Times New Roman" w:hAnsi="Times New Roman"/>
            </w:rPr>
          </w:pPr>
          <w:r>
            <w:rPr>
              <w:rFonts w:ascii="Times New Roman" w:hAnsi="Times New Roman"/>
              <w:sz w:val="20"/>
            </w:rPr>
            <w:t>Dėl žemės ūkio ministro 2008 m. birželio 26 d. įsakymo Nr. 3D-357 „Dėl Paramos teikimo bičių laikytojams už papildomą bičių maitinimą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ff87b206ffa11efa9a4c2046a78b308">
            <w:r w:rsidRPr="00532B9F">
              <w:rPr>
                <w:rFonts w:ascii="Times New Roman" w:eastAsia="MS Mincho" w:hAnsi="Times New Roman"/>
                <w:sz w:val="20"/>
                <w:iCs/>
                <w:color w:val="0000FF" w:themeColor="hyperlink"/>
                <w:u w:val="single"/>
              </w:rPr>
              <w:t>3D-647</w:t>
            </w:r>
          </w:fldSimple>
          <w:r>
            <w:rPr>
              <w:rFonts w:ascii="Times New Roman" w:eastAsia="MS Mincho" w:hAnsi="Times New Roman"/>
              <w:sz w:val="20"/>
              <w:iCs/>
            </w:rPr>
            <w:t>,
2024-09-11,
paskelbta TAR 2024-09-11, i. k. 2024-15977                </w:t>
          </w:r>
        </w:p>
        <w:p>
          <w:pPr>
            <w:jc w:val="both"/>
            <w:rPr>
              <w:rFonts w:ascii="Times New Roman" w:hAnsi="Times New Roman"/>
            </w:rPr>
          </w:pPr>
          <w:r>
            <w:rPr>
              <w:rFonts w:ascii="Times New Roman" w:hAnsi="Times New Roman"/>
              <w:sz w:val="20"/>
            </w:rPr>
            <w:t>Dėl Lietuvos Respublikos žemės ūkio ministro 2008 m. birželio 26 d. įsakymo Nr. 3D-357 „Dėl Paramos teikimo bičių laikytojams už papildomą bičių maitinimą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10def4ee8911ef8bf78f8ccc0e0474">
            <w:r w:rsidRPr="00532B9F">
              <w:rPr>
                <w:rFonts w:ascii="Times New Roman" w:eastAsia="MS Mincho" w:hAnsi="Times New Roman"/>
                <w:sz w:val="20"/>
                <w:iCs/>
                <w:color w:val="0000FF" w:themeColor="hyperlink"/>
                <w:u w:val="single"/>
              </w:rPr>
              <w:t>3D-63</w:t>
            </w:r>
          </w:fldSimple>
          <w:r>
            <w:rPr>
              <w:rFonts w:ascii="Times New Roman" w:eastAsia="MS Mincho" w:hAnsi="Times New Roman"/>
              <w:sz w:val="20"/>
              <w:iCs/>
            </w:rPr>
            <w:t>,
2025-02-19,
paskelbta TAR 2025-02-19, i. k. 2025-02557                </w:t>
          </w:r>
        </w:p>
        <w:p>
          <w:pPr>
            <w:jc w:val="both"/>
            <w:rPr>
              <w:rFonts w:ascii="Times New Roman" w:hAnsi="Times New Roman"/>
            </w:rPr>
          </w:pPr>
          <w:r>
            <w:rPr>
              <w:rFonts w:ascii="Times New Roman" w:hAnsi="Times New Roman"/>
              <w:sz w:val="20"/>
            </w:rPr>
            <w:t>Dėl žemės ūkio ministro 2008 m. birželio 26 d. įsakymo Nr. 3D-357 „Dėl Paramos teikimo bičių laikytojams už papildomą bičių maitinimą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708"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w:instrText>
    </w:r>
    <w:r>
      <w:rPr>
        <w:lang w:val="en-GB"/>
      </w:rPr>
      <w:instrText xml:space="preserve"> MERGEFORMAT</w:instrText>
    </w:r>
    <w:r>
      <w:rPr>
        <w:lang w:val="en-GB"/>
      </w:rPr>
      <w:fldChar w:fldCharType="separate"/>
    </w:r>
    <w:r>
      <w:t>2</w:t>
    </w:r>
    <w:r>
      <w:rPr>
        <w:lang w:val="en-GB"/>
      </w:rPr>
      <w:fldChar w:fldCharType="end"/>
    </w:r>
  </w:p>
  <w:p>
    <w:pPr>
      <w:tabs>
        <w:tab w:val="center" w:pos="4153"/>
        <w:tab w:val="right" w:pos="8306"/>
      </w:tabs>
      <w:overflowPunct w:val="0"/>
      <w:jc w:val="right"/>
      <w:textAlignment w:val="baseline"/>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7</w:t>
    </w:r>
    <w:r>
      <w:rPr>
        <w:lang w:val="en-GB"/>
      </w:rPr>
      <w:fldChar w:fldCharType="end"/>
    </w:r>
  </w:p>
  <w:p>
    <w:pPr>
      <w:tabs>
        <w:tab w:val="center" w:pos="4153"/>
        <w:tab w:val="right" w:pos="8306"/>
      </w:tabs>
      <w:overflowPunct w:val="0"/>
      <w:jc w:val="right"/>
      <w:textAlignment w:val="baseline"/>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5</w:t>
    </w:r>
    <w:r>
      <w:rPr>
        <w:lang w:val="en-GB"/>
      </w:rPr>
      <w:fldChar w:fldCharType="end"/>
    </w:r>
  </w:p>
  <w:p>
    <w:pPr>
      <w:tabs>
        <w:tab w:val="center" w:pos="4153"/>
        <w:tab w:val="right" w:pos="8306"/>
      </w:tabs>
      <w:overflowPunct w:val="0"/>
      <w:jc w:val="right"/>
      <w:textAlignment w:val="baseline"/>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153"/>
        <w:tab w:val="right" w:pos="8306"/>
      </w:tabs>
      <w:overflowPunct w:val="0"/>
      <w:jc w:val="right"/>
      <w:textAlignment w:val="baseline"/>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153"/>
        <w:tab w:val="right" w:pos="8306"/>
      </w:tabs>
      <w:overflowPunct w:val="0"/>
      <w:jc w:val="right"/>
      <w:textAlignment w:val="baseline"/>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 xml:space="preserve">PAGE   </w:instrText>
    </w:r>
    <w:r>
      <w:rPr>
        <w:lang w:val="en-GB"/>
      </w:rPr>
      <w:instrText>\* MERGEFORMAT</w:instrText>
    </w:r>
    <w:r>
      <w:rPr>
        <w:lang w:val="en-GB"/>
      </w:rPr>
      <w:fldChar w:fldCharType="separate"/>
    </w:r>
    <w:r>
      <w:t>5</w:t>
    </w:r>
    <w:r>
      <w:rPr>
        <w:lang w:val="en-GB"/>
      </w:rPr>
      <w:fldChar w:fldCharType="end"/>
    </w:r>
  </w:p>
  <w:p>
    <w:pPr>
      <w:tabs>
        <w:tab w:val="center" w:pos="4153"/>
        <w:tab w:val="right" w:pos="8306"/>
      </w:tabs>
      <w:overflowPunct w:val="0"/>
      <w:jc w:val="right"/>
      <w:textAlignment w:val="baseline"/>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153"/>
        <w:tab w:val="right" w:pos="8306"/>
      </w:tabs>
      <w:overflowPunct w:val="0"/>
      <w:jc w:val="right"/>
      <w:textAlignment w:val="baseline"/>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153"/>
        <w:tab w:val="right" w:pos="8306"/>
      </w:tabs>
      <w:overflowPunct w:val="0"/>
      <w:jc w:val="right"/>
      <w:textAlignment w:val="baseline"/>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7</w:t>
    </w:r>
    <w:r>
      <w:rPr>
        <w:lang w:val="en-GB"/>
      </w:rPr>
      <w:fldChar w:fldCharType="end"/>
    </w:r>
  </w:p>
  <w:p>
    <w:pPr>
      <w:tabs>
        <w:tab w:val="center" w:pos="4153"/>
        <w:tab w:val="right" w:pos="8306"/>
      </w:tabs>
      <w:overflowPunct w:val="0"/>
      <w:jc w:val="right"/>
      <w:textAlignment w:val="baseline"/>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5</w:t>
    </w:r>
    <w:r>
      <w:rPr>
        <w:lang w:val="en-GB"/>
      </w:rPr>
      <w:fldChar w:fldCharType="end"/>
    </w:r>
  </w:p>
  <w:p>
    <w:pPr>
      <w:tabs>
        <w:tab w:val="center" w:pos="4153"/>
        <w:tab w:val="right" w:pos="8306"/>
      </w:tabs>
      <w:overflowPunct w:val="0"/>
      <w:jc w:val="right"/>
      <w:textAlignment w:val="baseline"/>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5FC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4A0FC11-396E-495F-AAAB-5BBF44D52BE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8.xml"/>
  <Relationship Id="rId11" Type="http://schemas.openxmlformats.org/officeDocument/2006/relationships/footer" Target="footer9.xml"/>
  <Relationship Id="rId12" Type="http://schemas.openxmlformats.org/officeDocument/2006/relationships/footnotes" Target="footnotes.xml"/>
  <Relationship Id="rId13" Type="http://schemas.openxmlformats.org/officeDocument/2006/relationships/header" Target="header1.xml"/>
  <Relationship Id="rId14" Type="http://schemas.openxmlformats.org/officeDocument/2006/relationships/header" Target="header13.xml"/>
  <Relationship Id="rId15" Type="http://schemas.openxmlformats.org/officeDocument/2006/relationships/header" Target="header14.xml"/>
  <Relationship Id="rId16" Type="http://schemas.openxmlformats.org/officeDocument/2006/relationships/header" Target="header15.xml"/>
  <Relationship Id="rId17" Type="http://schemas.openxmlformats.org/officeDocument/2006/relationships/header" Target="header2.xml"/>
  <Relationship Id="rId18" Type="http://schemas.openxmlformats.org/officeDocument/2006/relationships/header" Target="header3.xml"/>
  <Relationship Id="rId19" Type="http://schemas.openxmlformats.org/officeDocument/2006/relationships/header" Target="header7.xml"/>
  <Relationship Id="rId2" Type="http://schemas.openxmlformats.org/officeDocument/2006/relationships/fontTable" Target="fontTable.xml"/>
  <Relationship Id="rId20" Type="http://schemas.openxmlformats.org/officeDocument/2006/relationships/header" Target="header8.xml"/>
  <Relationship Id="rId21" Type="http://schemas.openxmlformats.org/officeDocument/2006/relationships/header" Target="header9.xml"/>
  <Relationship Id="rId22" Type="http://schemas.openxmlformats.org/officeDocument/2006/relationships/settings" Target="settings.xml"/>
  <Relationship Id="rId23" Type="http://schemas.openxmlformats.org/officeDocument/2006/relationships/styles" Target="styles.xml"/>
  <Relationship Id="rId24" Type="http://schemas.openxmlformats.org/officeDocument/2006/relationships/theme" Target="theme/theme1.xml"/>
  <Relationship Id="rId25" Type="http://schemas.openxmlformats.org/officeDocument/2006/relationships/webSettings" Target="webSettings.xml"/>
  <Relationship Id="rId26" Type="http://schemas.openxmlformats.org/officeDocument/2006/relationships/header" Target="header46.xml"/>
  <Relationship Id="rId27" Type="http://schemas.openxmlformats.org/officeDocument/2006/relationships/header" Target="header47.xml"/>
  <Relationship Id="rId28" Type="http://schemas.openxmlformats.org/officeDocument/2006/relationships/footer" Target="footer46.xml"/>
  <Relationship Id="rId29" Type="http://schemas.openxmlformats.org/officeDocument/2006/relationships/footer" Target="footer47.xml"/>
  <Relationship Id="rId3" Type="http://schemas.openxmlformats.org/officeDocument/2006/relationships/footer" Target="footer1.xml"/>
  <Relationship Id="rId30" Type="http://schemas.openxmlformats.org/officeDocument/2006/relationships/header" Target="header48.xml"/>
  <Relationship Id="rId31" Type="http://schemas.openxmlformats.org/officeDocument/2006/relationships/footer" Target="footer48.xml"/>
  <Relationship Id="rId32" Type="http://schemas.openxmlformats.org/officeDocument/2006/relationships/header" Target="header49.xml"/>
  <Relationship Id="rId33" Type="http://schemas.openxmlformats.org/officeDocument/2006/relationships/header" Target="header50.xml"/>
  <Relationship Id="rId34" Type="http://schemas.openxmlformats.org/officeDocument/2006/relationships/footer" Target="footer49.xml"/>
  <Relationship Id="rId35" Type="http://schemas.openxmlformats.org/officeDocument/2006/relationships/footer" Target="footer50.xml"/>
  <Relationship Id="rId36" Type="http://schemas.openxmlformats.org/officeDocument/2006/relationships/header" Target="header51.xml"/>
  <Relationship Id="rId37" Type="http://schemas.openxmlformats.org/officeDocument/2006/relationships/footer" Target="footer51.xml"/>
  <Relationship Id="rId38" Type="http://schemas.openxmlformats.org/officeDocument/2006/relationships/customXml" Target="../customXml/item1.xml"/>
  <Relationship Id="rId4" Type="http://schemas.openxmlformats.org/officeDocument/2006/relationships/footer" Target="footer13.xml"/>
  <Relationship Id="rId5" Type="http://schemas.openxmlformats.org/officeDocument/2006/relationships/footer" Target="footer14.xml"/>
  <Relationship Id="rId6" Type="http://schemas.openxmlformats.org/officeDocument/2006/relationships/footer" Target="footer15.xml"/>
  <Relationship Id="rId7" Type="http://schemas.openxmlformats.org/officeDocument/2006/relationships/footer" Target="footer2.xml"/>
  <Relationship Id="rId8" Type="http://schemas.openxmlformats.org/officeDocument/2006/relationships/footer" Target="footer3.xml"/>
  <Relationship Id="rId9" Type="http://schemas.openxmlformats.org/officeDocument/2006/relationships/footer" Target="footer7.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d4506d613c14c519633d4c197a074ba" PartId="88483479525c4b39b8cef760c6f99a34">
    <Part Type="preambule" DocPartId="1756fe603432426d9d72fed17f2aab7d" PartId="e833add7e947419fb3ec4535006caae1"/>
    <Part Type="pastraipa" DocPartId="21c10a332c2c4d0da62943bd66154f51" PartId="863883cec7a142868e81fc9c6ae7be15"/>
    <Part Type="signatura" DocPartId="86d9a1817e4c434baee6251b4f0521fc" PartId="c536f30441b44c7a8f4cb72a08b3e4af"/>
  </Part>
  <Part Type="patvirtinta" Title="PARAMOS TEIKIMO BIČIŲ LAIKYTOJAMS UŽ PAPILDOMĄ BIČIŲ MAITINIMĄ TAISYKLĖS" DocPartId="798087c8ef7d43109ee51c020694113d" PartId="a0c1ef575ad24ceeb132e65397a1c5fa">
    <Part Type="skyrius" Nr="1" Title="BENDROSIOS NUOSTATOS" DocPartId="588d9efe7b65465eadab49cc096b9db9" PartId="8f65363ef4a4455b97381d9bedc829b2">
      <Part Type="punktas" Nr="1" Abbr="1 p." DocPartId="ea674aa72b9c4d5ba14c65b25b20dee0" PartId="28d011c90a85434ea5c8b4998267529f"/>
      <Part Type="punktas" Nr="2" Abbr="2 p." DocPartId="d90f4579d82b47d892c67fdff37a3c2a" PartId="301399c209fb478a9658f224a40dd2d7"/>
      <Part Type="punktas" Nr="3" Abbr="3 p." DocPartId="82d2be02de3f46e492fc66de1ccd9b7d" PartId="65ebc54859454ce8b6755bb424618d90">
        <Part Type="papunktis" Nr="3.1" Abbr="3.1 pp." DocPartId="397def7e92904797a8ff0ab8583d8607" PartId="5d802d82d1874e96a8ac3fbf42fa1e97"/>
        <Part Type="papunktis" Nr="3.2" Abbr="3.2 pp." DocPartId="0f5b1740ef704af7bbd1ef21678b475b" PartId="e792294d35324c8189c19631e6930922"/>
        <Part Type="papunktis" Nr="3.3" Abbr="3.3 pp." DocPartId="a340eea75dc847a18fa79f1235ee96e7" PartId="3e4cfc82d11b4384b13ae95049306601"/>
        <Part Type="papunktis" Nr="3.4" Abbr="3.4 pp." DocPartId="d6e2048177c24097aeaea6c4497208ff" PartId="9ee51cbe7f3a49fd8449c271bfa81d00"/>
      </Part>
    </Part>
    <Part Type="skyrius" Nr="2" Title="REIKALAVIMAI GAUTI PARAMĄ IR PARAMOS DYDIS" DocPartId="ef0045d78dd048e18dcb638b8d7ba933" PartId="1ae2c2d21adc4da2b42890f19d5adae7">
      <Part Type="punktas" Nr="4" Abbr="4 p." DocPartId="c8a8fea0671d44048a014045cd1b39df" PartId="d31fb6da3cb14227b88583eaa11e8a0d">
        <Part Type="papunktis" Nr="4.1" Abbr="4.1 pp." DocPartId="7c44f43d52744799b5c2c43475cd4673" PartId="95bc612e4fd24a2d8d028142b4c9dffb"/>
        <Part Type="papunktis" Nr="4.2" Abbr="4.2 pp." DocPartId="e804b0ccdca744558ce6b7cc6a51e11b" PartId="9bda94442c684dad90a74fa60c414bb5"/>
        <Part Type="papunktis" Nr="4.3" Abbr="4.3 pp." DocPartId="26b8b93b9b874de0a5263ede8c28c0db" PartId="5e6f6dcde3334168b5672136f9311288"/>
      </Part>
      <Part Type="punktas" Nr="5" Abbr="5 p." DocPartId="9bac22271e4249d39988e9cc78713006" PartId="740cf077e0da439a86b7a6be99fb9b4e"/>
      <Part Type="punktas" Nr="6" Abbr="6 p." DocPartId="4d5c635f244e4c52b9f977ee99612c89" PartId="7b6ca08e92f3432491abf2bd89fdc209"/>
      <Part Type="punktas" Nr="7" Abbr="7 p." DocPartId="98807c3c43914eaaa47217fdcd16506b" PartId="e24b4abe5a0e4c04803ea19b5859280e"/>
      <Part Type="punktas" Nr="8" Abbr="8 p." DocPartId="c9357d2acad74258a41441f3a0d0c1cb" PartId="ebdb356e081c493da0d4903b8ce54a16"/>
      <Part Type="punktas" Nr="9" Abbr="9 p." DocPartId="e17b1ac145ca4b8f8c0bfa59bda7f229" PartId="33ccfe64006946ca9619033a02d9bd83"/>
      <Part Type="punktas" Nr="10" Abbr="10 p." DocPartId="65f440c54ef64bbbbbe6c8837f220d79" PartId="16309ab454664ee6bd212695bfaff09f"/>
      <Part Type="punktas" Nr="11" Abbr="11 p." DocPartId="04ea111bddfd4fa699e970108742a76f" PartId="90086421ebda4ba6b7a79f056f01ea0f"/>
      <Part Type="punktas" Nr="12" Abbr="12 p." DocPartId="9421a100c7004d97a8aa45b9277c4615" PartId="41f7405957ec40c3a9df2cb0307249e0"/>
      <Part Type="punktas" Nr="13" Abbr="13 p." DocPartId="c6ece546731f41cc8485d9693036e102" PartId="fbb5fb8b57a047b8b9d8b5d31083e3d1"/>
      <Part Type="punktas" Nr="14" Abbr="14 p." DocPartId="576a056b268241eba06af63ec92c7147" PartId="767964552573449694912e9f3b608ca9"/>
      <Part Type="punktas" Nr="15" Abbr="15 p." DocPartId="470a7ea3d350422cb546ab3036e2c895" PartId="f8f529a03274462b96a53dae9aff27af"/>
    </Part>
    <Part Type="skyrius" Nr="3" Title="PARAMOS PARAIŠKŲ TEIKIMAS IR PARAMOS SKYRIMAS" DocPartId="4506104c682a428d96a2a5cf5d27c2bf" PartId="63259a741a0d47d28e61248cfe19e254">
      <Part Type="punktas" Nr="16" Abbr="16 p." DocPartId="ec7b475996f64332afff2949b1a4c1b2" PartId="63dc70c41cf5436287a3a59c3ca66c73"/>
      <Part Type="punktas" Nr="17" Abbr="17 p." DocPartId="d74af31a96434dfb84d4e9452b63cfe1" PartId="0f767fde89104360bb0a9ab1d8bbe46c"/>
      <Part Type="punktas" Nr="18" Abbr="18 p." DocPartId="1e376ef7dbb84a8791797e80eca38a69" PartId="4cc6e5c3e8ba47289b1f63609026bdc2"/>
      <Part Type="punktas" Nr="19" Abbr="19 p." DocPartId="37dbc0343ffc444b98ba5ba2fbe26d69" PartId="50960dd6670e40e6be1df8b29359c8e6">
        <Part Type="papunktis" Nr="19.1" Abbr="19.1 pp." DocPartId="7783596f395a43fea68d9eb842154e33" PartId="95babb81430e4de59741f82b74844e21"/>
        <Part Type="papunktis" Nr="19.2" Abbr="19.2 pp." DocPartId="e6f8b50eb5cb4497a113cd5d8c14ec09" PartId="32eb9b7a60be4e048a4635bf4cc0e440"/>
      </Part>
      <Part Type="punktas" Nr="20" Abbr="20 p." DocPartId="9bff7ce137f640a09c9ae14bffb6f7f2" PartId="34c0ebb89e4f483ab57b038528ddf48a">
        <Part Type="papunktis" Nr="20.1" Abbr="20.1 pp." DocPartId="7144a63bb0c94cb089e3311556ade2a1" PartId="4ce3aff8a17742b4b73c37cee40f7a61"/>
        <Part Type="papunktis" Nr="20.2" Abbr="20.2 pp." DocPartId="811ffb381a7045759ae53b04d8aec968" PartId="17c5a28247214b18b9a9801d1076e0b9"/>
        <Part Type="papunktis" Nr="20.3" Abbr="20.3 pp." DocPartId="6bca9263c4584195a33bc435fc7006dc" PartId="3a58d55c01b640fda24213e1b4bbc3c9"/>
        <Part Type="papunktis" Nr="20.4" Abbr="20.4 pp." DocPartId="55720026362941c69b289ac66a821f03" PartId="20800c1648a94ede92c1f5e76569b31f"/>
        <Part Type="papunktis" Nr="20.5" Abbr="20.5 pp." DocPartId="ae457144bd0f4ffeb41a03e2f0ab0cfd" PartId="0ba9f5b285d341c1af9a7fc66255cbc8"/>
        <Part Type="papunktis" Nr="20.6" Abbr="20.6 pp." DocPartId="c0e0ea1f58404cf5a979e6f7de7fa4b3" PartId="3619a00d78334a8a8187b6b74ab0af30"/>
        <Part Type="papunktis" Nr="20.7" Abbr="20.7 pp." DocPartId="61cb3f41f35c4adb81a307e496472398" PartId="407ed18144754f1c8d92bdd41fd015c7"/>
        <Part Type="papunktis" Nr="20.8" Abbr="20.8 pp." DocPartId="f0e2c8d95a2240b5aa50ca1a156c1549" PartId="1b0e99aa46fc4423808001d7e5a5478e"/>
      </Part>
      <Part Type="punktas" Nr="21" Abbr="21 p." DocPartId="ec06293c18864dbabc8640d1bef4b1c7" PartId="52003af9c45847a3b43e90c8b3826d76"/>
      <Part Type="punktas" Nr="22" Abbr="22 p." DocPartId="6cac91da330a45909f2d4b0ac65a01af" PartId="f999c0ebe9844d1c9fa8700eb00f1ee1"/>
      <Part Type="punktas" Nr="23" Abbr="23 p." DocPartId="07e76525fc164eb286aca0d6a314dff2" PartId="d1ef97c55ed1440581ee37f27ccc4db5"/>
      <Part Type="punktas" Nr="24" Abbr="24 p." DocPartId="cc3ee6e8726b4159ac193de125eefe2d" PartId="ed7ed2193986454db1c8403d2810f5d0"/>
    </Part>
    <Part Type="skyrius" Nr="4" Title="ATSAKOMYBĖ IR SKUNDŲ NAGRINĖJIMAS" DocPartId="7b6b22f6d3eb4ce9b0bf0bbc5397080c" PartId="a1325c4611e14c7bb7271d1c1ef09f43">
      <Part Type="punktas" Nr="25" Abbr="25 p." DocPartId="a03d14e0d4484bd08ef2dc68e9f86560" PartId="df771923a6994657b962d0f3adb126be"/>
      <Part Type="punktas" Nr="26" Abbr="26 p." DocPartId="892b3794d56047bb879ca6431e1f07dc" PartId="b549f5300b0240e3bea8b9607f5d73a5"/>
      <Part Type="punktas" Nr="27" Abbr="27 p." DocPartId="313949a8943e442390af500f8357a736" PartId="a92ff8d9e346402da4ee49679788cffc"/>
      <Part Type="punktas" Nr="28" Abbr="28 p." DocPartId="d0a32e683439459bb8722e947d7a41ba" PartId="f6e8863f3a5843febbe1570eded7cd71"/>
      <Part Type="punktas" Nr="29" Abbr="29 p." DocPartId="ca820ba551ca41cdb4af1cbb855ad376" PartId="4f822bc61ee04f769da78d14c6df9ad0"/>
      <Part Type="punktas" Nr="30" Abbr="30 p." DocPartId="208f9d2429a34de4bd79fb7e265ac505" PartId="1c387806ceaf4ec5be27cd6418a55907"/>
      <Part Type="punktas" Nr="31" Abbr="31 p." DocPartId="af767217bbfd40a7aa6390a9875d8362" PartId="3a2f937f7e23467f8b09992a714abc7b"/>
      <Part Type="punktas" Nr="32" Abbr="32 p." DocPartId="9071a1ed6f6941fbb82749cf566a0bf0" PartId="fe8ae85f9361495aa37381c6fc3e5ac4"/>
      <Part Type="punktas" Nr="33" Abbr="33 p." DocPartId="881ea70b1474441faa424ca7a53afd9b" PartId="44ae64ddd29c408cb506feb3e234444d"/>
    </Part>
    <Part Type="skyrius" Nr="5" Title="BAIGIAMOSIOS NUOSTATOS" DocPartId="20411fd2f49c409c8a7d54652a1cc77b" PartId="a7379c8ce62d496bb91049b6ab801589">
      <Part Type="punktas" Nr="34" Abbr="34 p." DocPartId="8ece0892d4fc4b5ab10745e7a6162357" PartId="60938cc5560c4eea9221a8e30d48e2cd"/>
      <Part Type="punktas" Nr="35" Abbr="35 p." DocPartId="746d6ac4ab694802909e1af7f60f8f51" PartId="cae09baf68a64ffca76a5700e83304e4"/>
      <Part Type="punktas" Nr="36" Abbr="36 p." DocPartId="9040a4204b2e407487517e329073919b" PartId="6b62054ae7f145b3998b1dfd47c3a1bd"/>
    </Part>
    <Part Type="pabaiga" DocPartId="a7edd7730e2542ba8dabb14c3e10fe22" PartId="e4040f5a632948708262e719a16031d9"/>
  </Part>
  <Part Type="priedas" Nr="1" Abbr="1 pr." Title="(Paraiškos gauti paramą už papildomą bičių maitinimą forma) Nacionalinei mokėjimo agentūrai prie Žemės ūkio ministerijos" DocPartId="e49e5c5db0234cda86db2b81b6371a13" PartId="563df9c8edf54fe3b62f778c900f0d73"/>
  <Part Type="priedas" Nr="2" Abbr="2 pr." Title="(Paraiškų gauti paramą už papildomą bičių maitinimą duomenų suvestinės forma)" DocPartId="adaabcc435134f6dae634217c568856c" PartId="86c78b65d7c04d248a59a18050b82092"/>
  <Part Type="priedas" Nr="3" Abbr="3 pr." Title="(Ataskaitos apie paramos teikimo bičių laikytojams už papildomą bičių maitinimą įgyvendinimą forma)" DocPartId="759063da6ac84cbea1bd522dab659ea6" PartId="6809b5d3ab0c4b25ab1462aa34c36ffe"/>
  <Part Type="priedas" Nr="4" Abbr="4 pr." Title="(Ataskaitos apie paramos teikimo bičių laikytojams už papildomą bičių maitinimą įgyvendinimą forma)" DocPartId="b369d827e3c94f50a95820a7bb46e6a9" PartId="3bab1dab9de840f1a5ff59db7523fce3"/>
</Parts>
</file>

<file path=customXml/itemProps1.xml><?xml version="1.0" encoding="utf-8"?>
<ds:datastoreItem xmlns:ds="http://schemas.openxmlformats.org/officeDocument/2006/customXml" ds:itemID="{815A37BF-6F08-4DC7-89D3-5AAF52037CF2}">
  <ds:schemaRefs>
    <ds:schemaRef ds:uri="http://lrs.lt/TAIS/DocParts"/>
  </ds:schemaRefs>
</ds:datastoreItem>
</file>

<file path=docProps/app.xml><?xml version="1.0" encoding="utf-8"?>
<Properties xmlns="http://schemas.openxmlformats.org/officeDocument/2006/extended-properties">
  <Template>Normal.dotm</Template>
  <TotalTime>84</TotalTime>
  <Pages>23</Pages>
  <Words>34447</Words>
  <Characters>19635</Characters>
  <Application>Microsoft Office Word</Application>
  <DocSecurity>0</DocSecurity>
  <Lines>163</Lines>
  <Paragraphs>107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ŽEMĖS ŪKIO MINISTRO Į S A K Y M A S</vt:lpstr>
    </vt:vector>
  </TitlesOfParts>
  <Company/>
  <LinksUpToDate>false</LinksUpToDate>
  <CharactersWithSpaces>53975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2015-09-02T00:00:00Z</dcterms:created>
  <dc:creator>Rima</dc:creator>
  <lastModifiedBy>JŪRĖNIENĖ Jolanta</lastModifiedBy>
  <dcterms:modified xsi:type="dcterms:W3CDTF">2025-02-20T07:37:00Z</dcterms:modified>
  <revision>33</revision>
  <dc:title>LIETUVOS RESPUBLIKOS ŽEMĖS ŪKIO MINISTRO Į S A K Y M A S</dc:title>
</coreProperties>
</file>