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c40db201165404797c66f53efe3c46d"/>
        <w:lock w:val="sdtLocked"/>
        <w:richText/>
      </w:sdtPr>
      <w:sdtContent>
        <w:p>
          <w:pPr>
            <w:jc w:val="both"/>
            <w:rPr>
              <w:rFonts w:ascii="Times New Roman" w:hAnsi="Times New Roman"/>
            </w:rPr>
          </w:pPr>
          <w:r>
            <w:rPr>
              <w:rFonts w:ascii="Times New Roman" w:hAnsi="Times New Roman"/>
              <w:b/>
              <w:i/>
            </w:rPr>
            <w:t>Suvestinė redakcija nuo 2010-03-07 iki 2011-02-05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BEBF8C33656C">
            <w:r w:rsidRPr="00532B9F">
              <w:rPr>
                <w:rFonts w:ascii="Times New Roman" w:eastAsia="MS Mincho" w:hAnsi="Times New Roman"/>
                <w:sz w:val="20"/>
                <w:i/>
                <w:iCs/>
                <w:color w:val="0000FF" w:themeColor="hyperlink"/>
                <w:u w:val="single"/>
              </w:rPr>
              <w:t>70-2685</w:t>
            </w:r>
          </w:fldSimple>
          <w:r>
            <w:rPr>
              <w:rFonts w:ascii="Times New Roman" w:eastAsia="MS Mincho" w:hAnsi="Times New Roman"/>
              <w:sz w:val="20"/>
              <w:i/>
              <w:iCs/>
            </w:rPr>
            <w:t>, i. k. 1082050ISAK001K-213</w:t>
          </w:r>
        </w:p>
        <w:p>
          <w:pPr>
            <w:jc w:val="both"/>
            <w:rPr>
              <w:rFonts w:ascii="Times New Roman" w:hAnsi="Times New Roman"/>
              <w:sz w:val="20"/>
            </w:rPr>
          </w:pPr>
        </w:p>
        <w:p>
          <w:pPr>
            <w:jc w:val="center"/>
          </w:pPr>
          <w:r>
            <w:pict w14:anchorId="5B802B5D">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t>LIETUVOS RESPUBLIKOS FINANSŲ MINISTRO</w:t>
          </w:r>
        </w:p>
        <w:p>
          <w:pPr>
            <w:jc w:val="center"/>
            <w:rPr>
              <w:spacing w:val="60"/>
            </w:rPr>
          </w:pPr>
          <w:r>
            <w:rPr>
              <w:spacing w:val="60"/>
            </w:rPr>
            <w:t>ĮSAKYMAS</w:t>
          </w:r>
        </w:p>
        <w:p>
          <w:pPr>
            <w:jc w:val="center"/>
          </w:pPr>
        </w:p>
        <w:p>
          <w:pPr>
            <w:tabs>
              <w:tab w:val="left" w:pos="850"/>
            </w:tabs>
            <w:jc w:val="center"/>
            <w:rPr>
              <w:b/>
              <w:bCs/>
            </w:rPr>
          </w:pPr>
          <w:r>
            <w:rPr>
              <w:b/>
              <w:bCs/>
            </w:rPr>
            <w:t>DĖL VIEŠOJO SEKTORIAUS APSKAITOS IR FINANSINĖS ATSKAITOMYBĖS 23-IOJO STANDARTO PATVIRTINIMO</w:t>
          </w:r>
        </w:p>
        <w:p>
          <w:pPr>
            <w:jc w:val="center"/>
          </w:pPr>
        </w:p>
        <w:p>
          <w:pPr>
            <w:jc w:val="center"/>
          </w:pPr>
          <w:r>
            <w:t>2008 m. birželio 11 d. Nr. 1K-213</w:t>
          </w:r>
        </w:p>
        <w:p>
          <w:pPr>
            <w:jc w:val="center"/>
          </w:pPr>
          <w:r>
            <w:t>Vilnius</w:t>
          </w:r>
        </w:p>
        <w:p>
          <w:pPr>
            <w:ind w:firstLine="567"/>
            <w:jc w:val="both"/>
          </w:pPr>
        </w:p>
        <w:sdt>
          <w:sdtPr>
            <w:alias w:val="preambule"/>
            <w:tag w:val="part_145c675190024fd49d1fd31c5e08209f"/>
            <w:lock w:val="sdtLocked"/>
            <w:richText/>
          </w:sdtPr>
          <w:sdtContent>
            <w:p>
              <w:pPr>
                <w:ind w:firstLine="567"/>
                <w:jc w:val="both"/>
              </w:pPr>
              <w:r>
                <w:t xml:space="preserve">Vadovaudamasis Lietuvos Respublikos buhalterinės apskaitos įstatymo (Žin., 2001, Nr. </w:t>
              </w:r>
              <w:hyperlink r:id="rId10" w:tgtFrame="_blank" w:history="1">
                <w:r>
                  <w:rPr>
                    <w:color w:val="0000FF" w:themeColor="hyperlink"/>
                    <w:u w:val="single"/>
                  </w:rPr>
                  <w:t>99-3515</w:t>
                </w:r>
              </w:hyperlink>
              <w:r>
                <w:t xml:space="preserve">; 2003, Nr. </w:t>
              </w:r>
              <w:hyperlink r:id="rId11" w:tgtFrame="_blank" w:history="1">
                <w:r>
                  <w:rPr>
                    <w:color w:val="0000FF" w:themeColor="hyperlink"/>
                    <w:u w:val="single"/>
                  </w:rPr>
                  <w:t>123-5586</w:t>
                </w:r>
              </w:hyperlink>
              <w:r>
                <w:t xml:space="preserve">; 2007, Nr. </w:t>
              </w:r>
              <w:hyperlink r:id="rId12" w:tgtFrame="_blank" w:history="1">
                <w:r>
                  <w:rPr>
                    <w:color w:val="0000FF" w:themeColor="hyperlink"/>
                    <w:u w:val="single"/>
                  </w:rPr>
                  <w:t>68-2654</w:t>
                </w:r>
              </w:hyperlink>
              <w:r>
                <w:t>) 3 straipsnio 5 dalimi:</w:t>
              </w:r>
            </w:p>
          </w:sdtContent>
        </w:sdt>
        <w:sdt>
          <w:sdtPr>
            <w:alias w:val="1 p."/>
            <w:tag w:val="part_058e9ed149b84781a3a4919d5b8a1e23"/>
            <w:lock w:val="sdtLocked"/>
            <w:richText/>
          </w:sdtPr>
          <w:sdtContent>
            <w:p>
              <w:pPr>
                <w:ind w:firstLine="567"/>
                <w:jc w:val="both"/>
              </w:pPr>
              <w:sdt>
                <w:sdtPr>
                  <w:alias w:val="Numeris"/>
                  <w:tag w:val="nr_058e9ed149b84781a3a4919d5b8a1e23"/>
                  <w:lock w:val="sdtLocked"/>
                  <w:richText/>
                </w:sdtPr>
                <w:sdtContent>
                  <w:r>
                    <w:t>1</w:t>
                  </w:r>
                </w:sdtContent>
              </w:sdt>
              <w:r>
                <w:t xml:space="preserve">. </w:t>
              </w:r>
              <w:r>
                <w:rPr>
                  <w:spacing w:val="60"/>
                </w:rPr>
                <w:t>Tvirtinu</w:t>
              </w:r>
              <w:r>
                <w:t xml:space="preserve"> 23-iąjį viešojo sektoriaus apskaitos ir finansinės atskaitomybės standartą „Tarpinių finansinių ataskaitų rinkinys“ (pridedama).</w:t>
              </w:r>
            </w:p>
          </w:sdtContent>
        </w:sdt>
        <w:sdt>
          <w:sdtPr>
            <w:alias w:val="2 p."/>
            <w:tag w:val="part_645eedda35064634ac0b8ff731ec7c48"/>
            <w:lock w:val="sdtLocked"/>
            <w:richText/>
          </w:sdtPr>
          <w:sdtContent>
            <w:p>
              <w:pPr>
                <w:ind w:firstLine="567"/>
                <w:jc w:val="both"/>
              </w:pPr>
              <w:sdt>
                <w:sdtPr>
                  <w:alias w:val="Numeris"/>
                  <w:tag w:val="nr_645eedda35064634ac0b8ff731ec7c48"/>
                  <w:lock w:val="sdtLocked"/>
                  <w:richText/>
                </w:sdtPr>
                <w:sdtContent>
                  <w:r>
                    <w:t>2</w:t>
                  </w:r>
                </w:sdtContent>
              </w:sdt>
              <w:r>
                <w:t xml:space="preserve">. Šis standartas turi būti taikomas sudarant 2010 m. sausio 1 d. ir vėliau prasidedančių laikotarpių finansinių ataskaitų rinkinį.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8735C9590">
                <w:r w:rsidRPr="00532B9F">
                  <w:rPr>
                    <w:rFonts w:ascii="Times New Roman" w:eastAsia="MS Mincho" w:hAnsi="Times New Roman"/>
                    <w:sz w:val="20"/>
                    <w:i/>
                    <w:iCs/>
                    <w:color w:val="0000FF" w:themeColor="hyperlink"/>
                    <w:u w:val="single"/>
                  </w:rPr>
                  <w:t>1K-444</w:t>
                </w:r>
              </w:fldSimple>
              <w:r>
                <w:rPr>
                  <w:rFonts w:ascii="Times New Roman" w:eastAsia="MS Mincho" w:hAnsi="Times New Roman"/>
                  <w:sz w:val="20"/>
                  <w:i/>
                  <w:iCs/>
                </w:rPr>
                <w:t>,
2008-12-18,
Žin., 2008, Nr.
147-5920 (2008-12-23), i. k. 1082050ISAK001K-444            </w:t>
              </w:r>
            </w:p>
            <w:p/>
          </w:sdtContent>
        </w:sdt>
        <w:sdt>
          <w:sdtPr>
            <w:alias w:val="signatura"/>
            <w:tag w:val="part_499339a6907d47b5b52603a8b075e384"/>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FINANSŲ MINISTRAS</w:t>
                <w:tab/>
                <w:t>RIMANTAS ŠADŽIUS</w:t>
              </w:r>
            </w:p>
          </w:sdtContent>
        </w:sdt>
      </w:sdtContent>
    </w:sdt>
    <w:sdt>
      <w:sdtPr>
        <w:alias w:val="patvirtinta"/>
        <w:tag w:val="part_c3091131f2d04ced8ffadc7fe60cb8b7"/>
        <w:lock w:val="sdtLocked"/>
        <w:richText/>
      </w:sdtPr>
      <w:sdtContent>
        <w:p>
          <w:pPr>
            <w:widowControl w:val="0"/>
            <w:suppressAutoHyphens/>
            <w:ind w:firstLine="5102"/>
            <w:sectPr>
              <w:pgSz w:w="11907" w:h="16840" w:code="9"/>
              <w:pgMar w:top="1134" w:right="1134" w:bottom="1134" w:left="1701" w:header="567" w:footer="284" w:gutter="0"/>
              <w:cols w:space="1296"/>
              <w:docGrid w:linePitch="360"/>
            </w:sectPr>
          </w:pP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 xml:space="preserve">2008 m. birželio 11 d. </w:t>
          </w:r>
        </w:p>
        <w:p>
          <w:pPr>
            <w:widowControl w:val="0"/>
            <w:suppressAutoHyphens/>
            <w:ind w:firstLine="5102"/>
            <w:rPr>
              <w:color w:val="000000"/>
            </w:rPr>
          </w:pPr>
          <w:r>
            <w:rPr>
              <w:color w:val="000000"/>
            </w:rPr>
            <w:t>įsakymu Nr. 1K-213</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2010 m. kovo 2 d. įsakymo Nr. 1K-051</w:t>
          </w:r>
        </w:p>
        <w:p>
          <w:pPr>
            <w:widowControl w:val="0"/>
            <w:suppressAutoHyphens/>
            <w:ind w:firstLine="5102"/>
            <w:rPr>
              <w:color w:val="000000"/>
            </w:rPr>
          </w:pPr>
          <w:r>
            <w:rPr>
              <w:color w:val="000000"/>
            </w:rPr>
            <w:t>redakcija)</w:t>
          </w:r>
        </w:p>
        <w:p>
          <w:pPr>
            <w:widowControl w:val="0"/>
            <w:suppressAutoHyphens/>
            <w:ind w:firstLine="567"/>
            <w:jc w:val="both"/>
            <w:rPr>
              <w:color w:val="000000"/>
            </w:rPr>
          </w:pPr>
        </w:p>
        <w:sdt>
          <w:sdtPr>
            <w:alias w:val="Pavadinimas"/>
            <w:tag w:val="title_c3091131f2d04ced8ffadc7fe60cb8b7"/>
            <w:lock w:val="sdtLocked"/>
            <w:richText/>
          </w:sdtPr>
          <w:sdtContent>
            <w:p>
              <w:pPr>
                <w:widowControl w:val="0"/>
                <w:suppressAutoHyphens/>
                <w:jc w:val="center"/>
                <w:rPr>
                  <w:b/>
                  <w:bCs/>
                  <w:caps/>
                  <w:color w:val="000000"/>
                </w:rPr>
              </w:pPr>
              <w:r>
                <w:rPr>
                  <w:b/>
                  <w:bCs/>
                  <w:caps/>
                  <w:color w:val="000000"/>
                </w:rPr>
                <w:t xml:space="preserve">23-IASIS VIEŠOJO SEKTORIAUS APSKAITOS IR FINANSINĖS ATSKAITOMYBĖS STANDARTAS </w:t>
              </w:r>
            </w:p>
            <w:p>
              <w:pPr>
                <w:widowControl w:val="0"/>
                <w:suppressAutoHyphens/>
                <w:jc w:val="center"/>
                <w:rPr>
                  <w:b/>
                  <w:bCs/>
                  <w:caps/>
                  <w:color w:val="000000"/>
                </w:rPr>
              </w:pPr>
              <w:r>
                <w:rPr>
                  <w:b/>
                  <w:bCs/>
                  <w:caps/>
                  <w:color w:val="000000"/>
                </w:rPr>
                <w:t>„TARPINIŲ FINANSINIŲ ATASKAITŲ RINKINYS“</w:t>
              </w:r>
            </w:p>
          </w:sdtContent>
        </w:sdt>
        <w:p>
          <w:pPr>
            <w:widowControl w:val="0"/>
            <w:suppressAutoHyphens/>
            <w:ind w:firstLine="567"/>
            <w:jc w:val="both"/>
            <w:rPr>
              <w:color w:val="000000"/>
            </w:rPr>
          </w:pPr>
        </w:p>
        <w:sdt>
          <w:sdtPr>
            <w:alias w:val="skyrius"/>
            <w:tag w:val="part_711cd71a6a424fc18692d23d17da35a7"/>
            <w:lock w:val="sdtLocked"/>
            <w:richText/>
          </w:sdtPr>
          <w:sdtContent>
            <w:p>
              <w:pPr>
                <w:widowControl w:val="0"/>
                <w:suppressAutoHyphens/>
                <w:jc w:val="center"/>
                <w:rPr>
                  <w:b/>
                  <w:bCs/>
                  <w:caps/>
                  <w:color w:val="000000"/>
                </w:rPr>
              </w:pPr>
              <w:sdt>
                <w:sdtPr>
                  <w:alias w:val="Numeris"/>
                  <w:tag w:val="nr_711cd71a6a424fc18692d23d17da35a7"/>
                  <w:lock w:val="sdtLocked"/>
                  <w:richText/>
                </w:sdtPr>
                <w:sdtContent>
                  <w:r>
                    <w:rPr>
                      <w:b/>
                      <w:bCs/>
                      <w:caps/>
                      <w:color w:val="000000"/>
                    </w:rPr>
                    <w:t>I</w:t>
                  </w:r>
                </w:sdtContent>
              </w:sdt>
              <w:r>
                <w:rPr>
                  <w:b/>
                  <w:bCs/>
                  <w:caps/>
                  <w:color w:val="000000"/>
                </w:rPr>
                <w:t xml:space="preserve">. </w:t>
              </w:r>
              <w:sdt>
                <w:sdtPr>
                  <w:alias w:val="Pavadinimas"/>
                  <w:tag w:val="title_711cd71a6a424fc18692d23d17da35a7"/>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bff28b6470d4438883d0cf1573af377c"/>
                <w:lock w:val="sdtLocked"/>
                <w:richText/>
              </w:sdtPr>
              <w:sdtContent>
                <w:p>
                  <w:pPr>
                    <w:widowControl w:val="0"/>
                    <w:suppressAutoHyphens/>
                    <w:ind w:firstLine="567"/>
                    <w:jc w:val="both"/>
                    <w:rPr>
                      <w:color w:val="000000"/>
                    </w:rPr>
                  </w:pPr>
                  <w:sdt>
                    <w:sdtPr>
                      <w:alias w:val="Numeris"/>
                      <w:tag w:val="nr_bff28b6470d4438883d0cf1573af377c"/>
                      <w:lock w:val="sdtLocked"/>
                      <w:richText/>
                    </w:sdtPr>
                    <w:sdtContent>
                      <w:r>
                        <w:rPr>
                          <w:color w:val="000000"/>
                        </w:rPr>
                        <w:t>1</w:t>
                      </w:r>
                    </w:sdtContent>
                  </w:sdt>
                  <w:r>
                    <w:rPr>
                      <w:color w:val="000000"/>
                    </w:rPr>
                    <w:t>. 23-iasis viešojo sektoriaus apskaitos ir finansinės atskaitomybės standartas „Tarpinių finansinių ataskaitų rinkinys“ (toliau – šis standartas) nustato tarpinių finansinių ataskaitų rinkinio (toliau – tarpinės finansinės ataskaitos) sudarymo tvarką, sudėtį ir minimalius turinio reikalavimus.</w:t>
                  </w:r>
                </w:p>
              </w:sdtContent>
            </w:sdt>
            <w:sdt>
              <w:sdtPr>
                <w:alias w:val="2 p."/>
                <w:tag w:val="part_d944425349934577abbdd0c6ceb3b090"/>
                <w:lock w:val="sdtLocked"/>
                <w:richText/>
              </w:sdtPr>
              <w:sdtContent>
                <w:p>
                  <w:pPr>
                    <w:widowControl w:val="0"/>
                    <w:suppressAutoHyphens/>
                    <w:ind w:firstLine="567"/>
                    <w:jc w:val="both"/>
                    <w:rPr>
                      <w:color w:val="000000"/>
                    </w:rPr>
                  </w:pPr>
                  <w:sdt>
                    <w:sdtPr>
                      <w:alias w:val="Numeris"/>
                      <w:tag w:val="nr_d944425349934577abbdd0c6ceb3b090"/>
                      <w:lock w:val="sdtLocked"/>
                      <w:richText/>
                    </w:sdtPr>
                    <w:sdtContent>
                      <w:r>
                        <w:rPr>
                          <w:color w:val="000000"/>
                        </w:rPr>
                        <w:t>2</w:t>
                      </w:r>
                    </w:sdtContent>
                  </w:sdt>
                  <w:r>
                    <w:rPr>
                      <w:color w:val="000000"/>
                    </w:rPr>
                    <w:t>. Tarpinių finansinių ataskaitų sudarymo reikalavimai yra tokie patys, kaip nustatyta 2-ajame viešojo sektoriaus apskaitos ir finansinės atskaitomybės standarte „Finansinės būklės ataskaita“ ir 3-iajame viešojo sektoriaus apskaitos ir finansinės atskaitomybės standarte „Veiklos rezultatų ataskaita“.</w:t>
                  </w:r>
                </w:p>
              </w:sdtContent>
            </w:sdt>
            <w:sdt>
              <w:sdtPr>
                <w:alias w:val="3 p."/>
                <w:tag w:val="part_fee862c0464d49afad66e1a2a526d928"/>
                <w:lock w:val="sdtLocked"/>
                <w:richText/>
              </w:sdtPr>
              <w:sdtContent>
                <w:p>
                  <w:pPr>
                    <w:widowControl w:val="0"/>
                    <w:suppressAutoHyphens/>
                    <w:ind w:firstLine="567"/>
                    <w:jc w:val="both"/>
                    <w:rPr>
                      <w:color w:val="000000"/>
                    </w:rPr>
                  </w:pPr>
                  <w:sdt>
                    <w:sdtPr>
                      <w:alias w:val="Numeris"/>
                      <w:tag w:val="nr_fee862c0464d49afad66e1a2a526d928"/>
                      <w:lock w:val="sdtLocked"/>
                      <w:richText/>
                    </w:sdtPr>
                    <w:sdtContent>
                      <w:r>
                        <w:rPr>
                          <w:color w:val="000000"/>
                        </w:rPr>
                        <w:t>3</w:t>
                      </w:r>
                    </w:sdtContent>
                  </w:sdt>
                  <w:r>
                    <w:rPr>
                      <w:color w:val="000000"/>
                    </w:rPr>
                    <w:t xml:space="preserve">. Šis standartas taikomas viešojo sektoriaus subjektui, rengiančiam žemesniojo lygio atskirų tarpinių finansinių ataskaitų rinkinį. </w:t>
                  </w:r>
                  <w:r>
                    <w:rPr>
                      <w:color w:val="000000"/>
                      <w:spacing w:val="-1"/>
                    </w:rPr>
                    <w:t xml:space="preserve">Jei viešojo sektoriaus subjektas, rengiantis viešojo sektoriaus subjektų grupės žemesniojo lygio konsoliduotųjų finansinių ataskaitų rinkinį, nusprendžia sudaryti tarpinių konsoliduotųjų finansinių ataskaitų rinkinį pats arba to reikalauja teisės aktai, viešojo sektoriaus subjektas jį sudaro vadovaudamasis šiuo standartu ir 15-uoju </w:t>
                  </w:r>
                  <w:r>
                    <w:rPr>
                      <w:color w:val="000000"/>
                    </w:rPr>
                    <w:t>viešojo sektoriaus apskaitos ir finansinės atskaitomybės standartu.</w:t>
                  </w:r>
                </w:p>
              </w:sdtContent>
            </w:sdt>
            <w:sdt>
              <w:sdtPr>
                <w:alias w:val="4 p."/>
                <w:tag w:val="part_30fcef2a001946b3b44357dbd676c09a"/>
                <w:lock w:val="sdtLocked"/>
                <w:richText/>
              </w:sdtPr>
              <w:sdtContent>
                <w:p>
                  <w:pPr>
                    <w:widowControl w:val="0"/>
                    <w:suppressAutoHyphens/>
                    <w:ind w:firstLine="567"/>
                    <w:jc w:val="both"/>
                    <w:rPr>
                      <w:color w:val="000000"/>
                    </w:rPr>
                  </w:pPr>
                  <w:sdt>
                    <w:sdtPr>
                      <w:alias w:val="Numeris"/>
                      <w:tag w:val="nr_30fcef2a001946b3b44357dbd676c09a"/>
                      <w:lock w:val="sdtLocked"/>
                      <w:richText/>
                    </w:sdtPr>
                    <w:sdtContent>
                      <w:r>
                        <w:rPr>
                          <w:color w:val="000000"/>
                        </w:rPr>
                        <w:t>4</w:t>
                      </w:r>
                    </w:sdtContent>
                  </w:sdt>
                  <w:r>
                    <w:rPr>
                      <w:color w:val="000000"/>
                    </w:rPr>
                    <w:t>. Jei dėl įvykusio likvidavimo ar reorganizavimo viešojo sektoriaus subjektas rengia finansinių ataskaitų rinkinį už ataskaitinį laikotarpį, trumpesnį negu 12 mėnesių, jis taiko 1-ojo viešojo sektoriaus apskaitos ir finansinės atskaitomybės standarto „Informacijos pateikimas finansinių ataskaitų rinkinyje“ nuostatas.</w:t>
                  </w:r>
                </w:p>
              </w:sdtContent>
            </w:sdt>
            <w:sdt>
              <w:sdtPr>
                <w:alias w:val="5 p."/>
                <w:tag w:val="part_a6054c9727cd4b9f8a9e4ce061cd8b87"/>
                <w:lock w:val="sdtLocked"/>
                <w:richText/>
              </w:sdtPr>
              <w:sdtContent>
                <w:p>
                  <w:pPr>
                    <w:widowControl w:val="0"/>
                    <w:suppressAutoHyphens/>
                    <w:ind w:firstLine="567"/>
                    <w:jc w:val="both"/>
                    <w:rPr>
                      <w:color w:val="000000"/>
                    </w:rPr>
                  </w:pPr>
                  <w:sdt>
                    <w:sdtPr>
                      <w:alias w:val="Numeris"/>
                      <w:tag w:val="nr_a6054c9727cd4b9f8a9e4ce061cd8b87"/>
                      <w:lock w:val="sdtLocked"/>
                      <w:richText/>
                    </w:sdtPr>
                    <w:sdtContent>
                      <w:r>
                        <w:rPr>
                          <w:color w:val="000000"/>
                        </w:rPr>
                        <w:t>5</w:t>
                      </w:r>
                    </w:sdtContent>
                  </w:sdt>
                  <w:r>
                    <w:rPr>
                      <w:color w:val="000000"/>
                    </w:rPr>
                    <w:t>. Šiame standarte vartojamos sąvokos:</w:t>
                  </w:r>
                </w:p>
                <w:p>
                  <w:pPr>
                    <w:widowControl w:val="0"/>
                    <w:suppressAutoHyphens/>
                    <w:ind w:firstLine="567"/>
                    <w:jc w:val="both"/>
                    <w:rPr>
                      <w:b/>
                      <w:bCs/>
                      <w:color w:val="000000"/>
                    </w:rPr>
                  </w:pPr>
                  <w:r>
                    <w:rPr>
                      <w:b/>
                      <w:bCs/>
                      <w:color w:val="000000"/>
                    </w:rPr>
                    <w:t>Tarpinių finansinių ataskaitų rinkinys</w:t>
                  </w:r>
                  <w:r>
                    <w:rPr>
                      <w:color w:val="000000"/>
                    </w:rPr>
                    <w:t xml:space="preserve"> – finansinių ataskaitų rinkinys, sudaromas</w:t>
                  </w:r>
                  <w:r>
                    <w:rPr>
                      <w:b/>
                      <w:bCs/>
                      <w:color w:val="000000"/>
                    </w:rPr>
                    <w:t xml:space="preserve"> </w:t>
                  </w:r>
                  <w:r>
                    <w:rPr>
                      <w:color w:val="000000"/>
                    </w:rPr>
                    <w:t>apibendrinus laikotarpio, trumpesnio negu finansiniai metai, duomenis.</w:t>
                  </w:r>
                </w:p>
                <w:p>
                  <w:pPr>
                    <w:widowControl w:val="0"/>
                    <w:suppressAutoHyphens/>
                    <w:ind w:firstLine="567"/>
                    <w:jc w:val="both"/>
                    <w:rPr>
                      <w:color w:val="000000"/>
                    </w:rPr>
                  </w:pPr>
                  <w:r>
                    <w:rPr>
                      <w:b/>
                      <w:bCs/>
                      <w:color w:val="000000"/>
                    </w:rPr>
                    <w:t>Tarpinis ataskaitinis laikotarpis</w:t>
                  </w:r>
                  <w:r>
                    <w:rPr>
                      <w:color w:val="000000"/>
                    </w:rPr>
                    <w:t xml:space="preserve"> – ataskaitinis laikotarpis, trumpesnis nei finansiniai metai (pvz., mėnuo, ketvirtis, pusmetis).</w:t>
                  </w:r>
                </w:p>
                <w:p>
                  <w:pPr>
                    <w:widowControl w:val="0"/>
                    <w:suppressAutoHyphens/>
                    <w:ind w:firstLine="567"/>
                    <w:jc w:val="both"/>
                    <w:rPr>
                      <w:color w:val="000000"/>
                    </w:rPr>
                  </w:pPr>
                  <w:r>
                    <w:rPr>
                      <w:b/>
                      <w:bCs/>
                      <w:color w:val="000000"/>
                    </w:rPr>
                    <w:t>Tarpinių</w:t>
                  </w:r>
                  <w:r>
                    <w:rPr>
                      <w:color w:val="000000"/>
                    </w:rPr>
                    <w:t xml:space="preserve"> </w:t>
                  </w:r>
                  <w:r>
                    <w:rPr>
                      <w:b/>
                      <w:bCs/>
                      <w:color w:val="000000"/>
                    </w:rPr>
                    <w:t>finansinių ataskaitų aiškinamasis raštas</w:t>
                  </w:r>
                  <w:r>
                    <w:rPr>
                      <w:color w:val="000000"/>
                    </w:rPr>
                    <w:t xml:space="preserve"> (toliau – sutrumpintas aiškinamasis raštas) – pagal šio standarto nuostatas parengta finansinė ataskaita, kurioje detalizuojami ir paaiškinami viešojo sektoriaus subjekto tarpinėse finansinės būklės ir veiklos rezultatų ataskaitose teikiami duomenys, taip pat teikiama papildoma reikšminga informacija, nenurodyta šiose finansinėse ataskaitose.</w:t>
                  </w:r>
                </w:p>
              </w:sdtContent>
            </w:sdt>
            <w:sdt>
              <w:sdtPr>
                <w:alias w:val="6 p."/>
                <w:tag w:val="part_93612e4631cc4348bc3e43d8c37da00a"/>
                <w:lock w:val="sdtLocked"/>
                <w:richText/>
              </w:sdtPr>
              <w:sdtContent>
                <w:p>
                  <w:pPr>
                    <w:widowControl w:val="0"/>
                    <w:suppressAutoHyphens/>
                    <w:ind w:firstLine="567"/>
                    <w:jc w:val="both"/>
                    <w:rPr>
                      <w:color w:val="000000"/>
                    </w:rPr>
                  </w:pPr>
                  <w:sdt>
                    <w:sdtPr>
                      <w:alias w:val="Numeris"/>
                      <w:tag w:val="nr_93612e4631cc4348bc3e43d8c37da00a"/>
                      <w:lock w:val="sdtLocked"/>
                      <w:richText/>
                    </w:sdtPr>
                    <w:sdtContent>
                      <w:r>
                        <w:rPr>
                          <w:color w:val="000000"/>
                        </w:rPr>
                        <w:t>6</w:t>
                      </w:r>
                    </w:sdtContent>
                  </w:sdt>
                  <w:r>
                    <w:rPr>
                      <w:color w:val="000000"/>
                    </w:rPr>
                    <w:t xml:space="preserve">. Kitos šiame standarte vartojamos sąvokos suprantamos taip, kaip jos apibrėžtos Lietuvos Respublikos buhalterinės apskaitos įstatyme (Žin., 2001, Nr. </w:t>
                  </w:r>
                  <w:hyperlink r:id="rId13" w:tgtFrame="_blank" w:history="1">
                    <w:r>
                      <w:rPr>
                        <w:color w:val="0000FF" w:themeColor="hyperlink"/>
                        <w:u w:val="single"/>
                      </w:rPr>
                      <w:t>99-3515</w:t>
                    </w:r>
                  </w:hyperlink>
                  <w:r>
                    <w:rPr>
                      <w:color w:val="000000"/>
                    </w:rPr>
                    <w:t xml:space="preserve">; 2008, Nr. </w:t>
                  </w:r>
                  <w:hyperlink r:id="rId14" w:tgtFrame="_blank" w:history="1">
                    <w:r>
                      <w:rPr>
                        <w:color w:val="0000FF" w:themeColor="hyperlink"/>
                        <w:u w:val="single"/>
                      </w:rPr>
                      <w:t>137-5372</w:t>
                    </w:r>
                  </w:hyperlink>
                  <w:r>
                    <w:rPr>
                      <w:color w:val="000000"/>
                    </w:rPr>
                    <w:t xml:space="preserve">), Lietuvos Respublikos viešojo sektoriaus atskaitomybės įstatyme (Žin., 2007, Nr. </w:t>
                  </w:r>
                  <w:hyperlink r:id="rId15" w:tgtFrame="_blank" w:history="1">
                    <w:r>
                      <w:rPr>
                        <w:color w:val="0000FF" w:themeColor="hyperlink"/>
                        <w:u w:val="single"/>
                      </w:rPr>
                      <w:t>77-3046</w:t>
                    </w:r>
                  </w:hyperlink>
                  <w:r>
                    <w:rPr>
                      <w:color w:val="000000"/>
                    </w:rPr>
                    <w:t xml:space="preserve">; 2008, Nr. </w:t>
                  </w:r>
                  <w:hyperlink r:id="rId16" w:tgtFrame="_blank" w:history="1">
                    <w:r>
                      <w:rPr>
                        <w:color w:val="0000FF" w:themeColor="hyperlink"/>
                        <w:u w:val="single"/>
                      </w:rPr>
                      <w:t>137-5370</w:t>
                    </w:r>
                  </w:hyperlink>
                  <w:r>
                    <w:rPr>
                      <w:color w:val="000000"/>
                    </w:rPr>
                    <w:t>) ir kituose viešojo sektoriaus apskaitos ir finansinės atskaitomybės standartuose (toliau – VSAFAS).</w:t>
                  </w:r>
                </w:p>
                <w:p>
                  <w:pPr>
                    <w:widowControl w:val="0"/>
                    <w:suppressAutoHyphens/>
                    <w:ind w:firstLine="567"/>
                    <w:jc w:val="both"/>
                    <w:rPr>
                      <w:color w:val="000000"/>
                    </w:rPr>
                  </w:pPr>
                </w:p>
              </w:sdtContent>
            </w:sdt>
          </w:sdtContent>
        </w:sdt>
        <w:sdt>
          <w:sdtPr>
            <w:alias w:val="skyrius"/>
            <w:tag w:val="part_d5ea1a4aefab461a8cd8d111226a34ab"/>
            <w:lock w:val="sdtLocked"/>
            <w:richText/>
          </w:sdtPr>
          <w:sdtContent>
            <w:p>
              <w:pPr>
                <w:widowControl w:val="0"/>
                <w:suppressAutoHyphens/>
                <w:jc w:val="center"/>
                <w:rPr>
                  <w:b/>
                  <w:bCs/>
                  <w:caps/>
                  <w:color w:val="000000"/>
                </w:rPr>
              </w:pPr>
              <w:sdt>
                <w:sdtPr>
                  <w:alias w:val="Numeris"/>
                  <w:tag w:val="nr_d5ea1a4aefab461a8cd8d111226a34ab"/>
                  <w:lock w:val="sdtLocked"/>
                  <w:richText/>
                </w:sdtPr>
                <w:sdtContent>
                  <w:r>
                    <w:rPr>
                      <w:b/>
                      <w:bCs/>
                      <w:caps/>
                      <w:color w:val="000000"/>
                    </w:rPr>
                    <w:t>II</w:t>
                  </w:r>
                </w:sdtContent>
              </w:sdt>
              <w:r>
                <w:rPr>
                  <w:b/>
                  <w:bCs/>
                  <w:caps/>
                  <w:color w:val="000000"/>
                </w:rPr>
                <w:t xml:space="preserve">. </w:t>
              </w:r>
              <w:sdt>
                <w:sdtPr>
                  <w:alias w:val="Pavadinimas"/>
                  <w:tag w:val="title_d5ea1a4aefab461a8cd8d111226a34ab"/>
                  <w:lock w:val="sdtLocked"/>
                  <w:richText/>
                </w:sdtPr>
                <w:sdtContent>
                  <w:r>
                    <w:rPr>
                      <w:b/>
                      <w:bCs/>
                      <w:caps/>
                      <w:color w:val="000000"/>
                    </w:rPr>
                    <w:t>TARPINIŲ FINANSINIŲ ATASKAITŲ BENDRIEJI REIKALAVIMAI</w:t>
                  </w:r>
                </w:sdtContent>
              </w:sdt>
            </w:p>
            <w:p>
              <w:pPr>
                <w:widowControl w:val="0"/>
                <w:suppressAutoHyphens/>
                <w:ind w:firstLine="567"/>
                <w:jc w:val="both"/>
                <w:rPr>
                  <w:color w:val="000000"/>
                </w:rPr>
              </w:pPr>
            </w:p>
            <w:sdt>
              <w:sdtPr>
                <w:alias w:val="7 p."/>
                <w:tag w:val="part_3a4f01b5fbec4458bf5e21c684dd8eed"/>
                <w:lock w:val="sdtLocked"/>
                <w:richText/>
              </w:sdtPr>
              <w:sdtContent>
                <w:p>
                  <w:pPr>
                    <w:widowControl w:val="0"/>
                    <w:suppressAutoHyphens/>
                    <w:ind w:firstLine="567"/>
                    <w:jc w:val="both"/>
                    <w:rPr>
                      <w:color w:val="000000"/>
                    </w:rPr>
                  </w:pPr>
                  <w:sdt>
                    <w:sdtPr>
                      <w:alias w:val="Numeris"/>
                      <w:tag w:val="nr_3a4f01b5fbec4458bf5e21c684dd8eed"/>
                      <w:lock w:val="sdtLocked"/>
                      <w:richText/>
                    </w:sdtPr>
                    <w:sdtContent>
                      <w:r>
                        <w:rPr>
                          <w:color w:val="000000"/>
                        </w:rPr>
                        <w:t>7</w:t>
                      </w:r>
                    </w:sdtContent>
                  </w:sdt>
                  <w:r>
                    <w:rPr>
                      <w:color w:val="000000"/>
                    </w:rPr>
                    <w:t>. Tarpinių finansinių ataskaitų rinkinys turi būti aiškiai identifikuojamas ir atskiriamas nuo kitos informacijos ar kiekvieno kito dokumento, kuriuos skelbia ar teikia viešojo sektoriaus subjektas, teisės aktų nustatyta tvarka.</w:t>
                  </w:r>
                </w:p>
              </w:sdtContent>
            </w:sdt>
            <w:sdt>
              <w:sdtPr>
                <w:alias w:val="8 p."/>
                <w:tag w:val="part_e7e014f0177f4b9a970ac505a4ad7ef3"/>
                <w:lock w:val="sdtLocked"/>
                <w:richText/>
              </w:sdtPr>
              <w:sdtContent>
                <w:p>
                  <w:pPr>
                    <w:widowControl w:val="0"/>
                    <w:suppressAutoHyphens/>
                    <w:ind w:firstLine="567"/>
                    <w:jc w:val="both"/>
                    <w:rPr>
                      <w:color w:val="000000"/>
                    </w:rPr>
                  </w:pPr>
                  <w:sdt>
                    <w:sdtPr>
                      <w:alias w:val="Numeris"/>
                      <w:tag w:val="nr_e7e014f0177f4b9a970ac505a4ad7ef3"/>
                      <w:lock w:val="sdtLocked"/>
                      <w:richText/>
                    </w:sdtPr>
                    <w:sdtContent>
                      <w:r>
                        <w:rPr>
                          <w:color w:val="000000"/>
                        </w:rPr>
                        <w:t>8</w:t>
                      </w:r>
                    </w:sdtContent>
                  </w:sdt>
                  <w:r>
                    <w:rPr>
                      <w:color w:val="000000"/>
                    </w:rPr>
                    <w:t>. Viešojo sektoriaus subjektas tarpinių finansinių ataskaitų rinkiniui sudaryti turi taikyti tą pačią apskaitos politiką, kaip ir metinių finansinių ataskaitų rinkiniui sudaryti.</w:t>
                  </w:r>
                </w:p>
              </w:sdtContent>
            </w:sdt>
            <w:sdt>
              <w:sdtPr>
                <w:alias w:val="9 p."/>
                <w:tag w:val="part_e9d5a45c1ced47aab12cfe1b855693dd"/>
                <w:lock w:val="sdtLocked"/>
                <w:richText/>
              </w:sdtPr>
              <w:sdtContent>
                <w:p>
                  <w:pPr>
                    <w:widowControl w:val="0"/>
                    <w:suppressAutoHyphens/>
                    <w:ind w:firstLine="567"/>
                    <w:jc w:val="both"/>
                    <w:rPr>
                      <w:color w:val="000000"/>
                    </w:rPr>
                  </w:pPr>
                  <w:sdt>
                    <w:sdtPr>
                      <w:alias w:val="Numeris"/>
                      <w:tag w:val="nr_e9d5a45c1ced47aab12cfe1b855693dd"/>
                      <w:lock w:val="sdtLocked"/>
                      <w:richText/>
                    </w:sdtPr>
                    <w:sdtContent>
                      <w:r>
                        <w:rPr>
                          <w:color w:val="000000"/>
                        </w:rPr>
                        <w:t>9</w:t>
                      </w:r>
                    </w:sdtContent>
                  </w:sdt>
                  <w:r>
                    <w:rPr>
                      <w:color w:val="000000"/>
                    </w:rPr>
                    <w:t>. Tarpinėse finansinėse ataskaitose informacija pateikiama nuo ataskaitinių finansinių metų pradžios iki paskutinės tarpinio ataskaitinio laikotarpio dienos.</w:t>
                  </w:r>
                </w:p>
              </w:sdtContent>
            </w:sdt>
            <w:sdt>
              <w:sdtPr>
                <w:alias w:val="10 p."/>
                <w:tag w:val="part_56d7a0aaecff4071ada0e0fb33533697"/>
                <w:lock w:val="sdtLocked"/>
                <w:richText/>
              </w:sdtPr>
              <w:sdtContent>
                <w:p>
                  <w:pPr>
                    <w:widowControl w:val="0"/>
                    <w:suppressAutoHyphens/>
                    <w:ind w:firstLine="567"/>
                    <w:jc w:val="both"/>
                    <w:rPr>
                      <w:color w:val="000000"/>
                      <w:spacing w:val="-1"/>
                    </w:rPr>
                  </w:pPr>
                  <w:sdt>
                    <w:sdtPr>
                      <w:alias w:val="Numeris"/>
                      <w:tag w:val="nr_56d7a0aaecff4071ada0e0fb33533697"/>
                      <w:lock w:val="sdtLocked"/>
                      <w:richText/>
                    </w:sdtPr>
                    <w:sdtContent>
                      <w:r>
                        <w:rPr>
                          <w:color w:val="000000"/>
                          <w:spacing w:val="-1"/>
                        </w:rPr>
                        <w:t>10</w:t>
                      </w:r>
                    </w:sdtContent>
                  </w:sdt>
                  <w:r>
                    <w:rPr>
                      <w:color w:val="000000"/>
                      <w:spacing w:val="-1"/>
                    </w:rPr>
                    <w:t>. Viešojo sektoriaus subjekto tarpinio ataskaitinio laikotarpio pabaiga sutampa su kalendorinių metų pirmojo, antrojo ir trečiojo ketvirčių pabaiga. Tarpinio ataskaitinio laikotarpio informacija tarpinėse finansinėse ataskaitose pateikiama kaupiant 3, 6 ir 9 mėnesių informaciją.</w:t>
                  </w:r>
                </w:p>
                <w:p>
                  <w:pPr>
                    <w:widowControl w:val="0"/>
                    <w:suppressAutoHyphens/>
                    <w:ind w:firstLine="567"/>
                    <w:jc w:val="both"/>
                    <w:rPr>
                      <w:color w:val="000000"/>
                    </w:rPr>
                  </w:pPr>
                </w:p>
              </w:sdtContent>
            </w:sdt>
          </w:sdtContent>
        </w:sdt>
        <w:sdt>
          <w:sdtPr>
            <w:alias w:val="skyrius"/>
            <w:tag w:val="part_d0acac0ac21c4ca0b219d94fa8c9c10e"/>
            <w:lock w:val="sdtLocked"/>
            <w:richText/>
          </w:sdtPr>
          <w:sdtContent>
            <w:p>
              <w:pPr>
                <w:widowControl w:val="0"/>
                <w:suppressAutoHyphens/>
                <w:jc w:val="center"/>
                <w:rPr>
                  <w:b/>
                  <w:bCs/>
                  <w:caps/>
                  <w:color w:val="000000"/>
                </w:rPr>
              </w:pPr>
              <w:sdt>
                <w:sdtPr>
                  <w:alias w:val="Numeris"/>
                  <w:tag w:val="nr_d0acac0ac21c4ca0b219d94fa8c9c10e"/>
                  <w:lock w:val="sdtLocked"/>
                  <w:richText/>
                </w:sdtPr>
                <w:sdtContent>
                  <w:r>
                    <w:rPr>
                      <w:b/>
                      <w:bCs/>
                      <w:caps/>
                      <w:color w:val="000000"/>
                    </w:rPr>
                    <w:t>III</w:t>
                  </w:r>
                </w:sdtContent>
              </w:sdt>
              <w:r>
                <w:rPr>
                  <w:b/>
                  <w:bCs/>
                  <w:caps/>
                  <w:color w:val="000000"/>
                </w:rPr>
                <w:t xml:space="preserve">. </w:t>
              </w:r>
              <w:sdt>
                <w:sdtPr>
                  <w:alias w:val="Pavadinimas"/>
                  <w:tag w:val="title_d0acac0ac21c4ca0b219d94fa8c9c10e"/>
                  <w:lock w:val="sdtLocked"/>
                  <w:richText/>
                </w:sdtPr>
                <w:sdtContent>
                  <w:r>
                    <w:rPr>
                      <w:b/>
                      <w:bCs/>
                      <w:caps/>
                      <w:color w:val="000000"/>
                    </w:rPr>
                    <w:t>TARPINIŲ FINANSINIŲ ATASKAITŲ RINKINIO SUDĖTIS</w:t>
                  </w:r>
                </w:sdtContent>
              </w:sdt>
            </w:p>
            <w:p>
              <w:pPr>
                <w:widowControl w:val="0"/>
                <w:suppressAutoHyphens/>
                <w:ind w:firstLine="567"/>
                <w:jc w:val="both"/>
                <w:rPr>
                  <w:color w:val="000000"/>
                </w:rPr>
              </w:pPr>
            </w:p>
            <w:sdt>
              <w:sdtPr>
                <w:alias w:val="11 p."/>
                <w:tag w:val="part_10ddd7637e614222a093cd3ff197b414"/>
                <w:lock w:val="sdtLocked"/>
                <w:richText/>
              </w:sdtPr>
              <w:sdtContent>
                <w:p>
                  <w:pPr>
                    <w:widowControl w:val="0"/>
                    <w:suppressAutoHyphens/>
                    <w:ind w:firstLine="567"/>
                    <w:jc w:val="both"/>
                    <w:rPr>
                      <w:color w:val="000000"/>
                    </w:rPr>
                  </w:pPr>
                  <w:sdt>
                    <w:sdtPr>
                      <w:alias w:val="Numeris"/>
                      <w:tag w:val="nr_10ddd7637e614222a093cd3ff197b414"/>
                      <w:lock w:val="sdtLocked"/>
                      <w:richText/>
                    </w:sdtPr>
                    <w:sdtContent>
                      <w:r>
                        <w:rPr>
                          <w:color w:val="000000"/>
                        </w:rPr>
                        <w:t>11</w:t>
                      </w:r>
                    </w:sdtContent>
                  </w:sdt>
                  <w:r>
                    <w:rPr>
                      <w:color w:val="000000"/>
                    </w:rPr>
                    <w:t>. Tarpinių finansinių ataskaitų rinkinį sudaro šios ataskaitos:</w:t>
                  </w:r>
                </w:p>
                <w:sdt>
                  <w:sdtPr>
                    <w:alias w:val="11.1 p."/>
                    <w:tag w:val="part_6429cebf51bd44eb93ab49889ec5e154"/>
                    <w:lock w:val="sdtLocked"/>
                    <w:richText/>
                  </w:sdtPr>
                  <w:sdtContent>
                    <w:p>
                      <w:pPr>
                        <w:widowControl w:val="0"/>
                        <w:suppressAutoHyphens/>
                        <w:ind w:firstLine="567"/>
                        <w:jc w:val="both"/>
                        <w:rPr>
                          <w:color w:val="000000"/>
                        </w:rPr>
                      </w:pPr>
                      <w:sdt>
                        <w:sdtPr>
                          <w:alias w:val="Numeris"/>
                          <w:tag w:val="nr_6429cebf51bd44eb93ab49889ec5e154"/>
                          <w:lock w:val="sdtLocked"/>
                          <w:richText/>
                        </w:sdtPr>
                        <w:sdtContent>
                          <w:r>
                            <w:rPr>
                              <w:color w:val="000000"/>
                            </w:rPr>
                            <w:t>11.1</w:t>
                          </w:r>
                        </w:sdtContent>
                      </w:sdt>
                      <w:r>
                        <w:rPr>
                          <w:color w:val="000000"/>
                        </w:rPr>
                        <w:t>. finansinės būklės ataskaita. Joje pateikiama tarpinio ataskaitinio laikotarpio paskutinės dienos ir lyginamoji praėjusių finansinių metų paskutinės dienos informacija;</w:t>
                      </w:r>
                    </w:p>
                  </w:sdtContent>
                </w:sdt>
                <w:sdt>
                  <w:sdtPr>
                    <w:alias w:val="11.2 p."/>
                    <w:tag w:val="part_5ea33d0359164e58ada5e6f4b923bf9d"/>
                    <w:lock w:val="sdtLocked"/>
                    <w:richText/>
                  </w:sdtPr>
                  <w:sdtContent>
                    <w:p>
                      <w:pPr>
                        <w:widowControl w:val="0"/>
                        <w:suppressAutoHyphens/>
                        <w:ind w:firstLine="567"/>
                        <w:jc w:val="both"/>
                        <w:rPr>
                          <w:color w:val="000000"/>
                        </w:rPr>
                      </w:pPr>
                      <w:sdt>
                        <w:sdtPr>
                          <w:alias w:val="Numeris"/>
                          <w:tag w:val="nr_5ea33d0359164e58ada5e6f4b923bf9d"/>
                          <w:lock w:val="sdtLocked"/>
                          <w:richText/>
                        </w:sdtPr>
                        <w:sdtContent>
                          <w:r>
                            <w:rPr>
                              <w:color w:val="000000"/>
                            </w:rPr>
                            <w:t>11.2</w:t>
                          </w:r>
                        </w:sdtContent>
                      </w:sdt>
                      <w:r>
                        <w:rPr>
                          <w:color w:val="000000"/>
                        </w:rPr>
                        <w:t>. veiklos rezultatų ataskaita. Joje pateikiama nuo ataskaitinių finansinių metų pradžios iki tarpinio ataskaitinio laikotarpio pabaigos ir lyginamoji praėjusių finansinių metų atitinkamo tarpinio ataskaitinio laikotarpio informacija;</w:t>
                      </w:r>
                    </w:p>
                  </w:sdtContent>
                </w:sdt>
                <w:sdt>
                  <w:sdtPr>
                    <w:alias w:val="11.3 p."/>
                    <w:tag w:val="part_90198d7d71f245e18ba19d252beb1c96"/>
                    <w:lock w:val="sdtLocked"/>
                    <w:richText/>
                  </w:sdtPr>
                  <w:sdtContent>
                    <w:p>
                      <w:pPr>
                        <w:widowControl w:val="0"/>
                        <w:suppressAutoHyphens/>
                        <w:ind w:firstLine="567"/>
                        <w:jc w:val="both"/>
                        <w:rPr>
                          <w:color w:val="000000"/>
                        </w:rPr>
                      </w:pPr>
                      <w:sdt>
                        <w:sdtPr>
                          <w:alias w:val="Numeris"/>
                          <w:tag w:val="nr_90198d7d71f245e18ba19d252beb1c96"/>
                          <w:lock w:val="sdtLocked"/>
                          <w:richText/>
                        </w:sdtPr>
                        <w:sdtContent>
                          <w:r>
                            <w:rPr>
                              <w:color w:val="000000"/>
                            </w:rPr>
                            <w:t>11.3</w:t>
                          </w:r>
                        </w:sdtContent>
                      </w:sdt>
                      <w:r>
                        <w:rPr>
                          <w:color w:val="000000"/>
                        </w:rPr>
                        <w:t>. sutrumpintas aiškinamasis raštas.</w:t>
                      </w:r>
                    </w:p>
                  </w:sdtContent>
                </w:sdt>
              </w:sdtContent>
            </w:sdt>
            <w:sdt>
              <w:sdtPr>
                <w:alias w:val="12 p."/>
                <w:tag w:val="part_55d50559e71841b298810dab65fcf7e8"/>
                <w:lock w:val="sdtLocked"/>
                <w:richText/>
              </w:sdtPr>
              <w:sdtContent>
                <w:p>
                  <w:pPr>
                    <w:widowControl w:val="0"/>
                    <w:suppressAutoHyphens/>
                    <w:ind w:firstLine="567"/>
                    <w:jc w:val="both"/>
                    <w:rPr>
                      <w:color w:val="000000"/>
                    </w:rPr>
                  </w:pPr>
                  <w:sdt>
                    <w:sdtPr>
                      <w:alias w:val="Numeris"/>
                      <w:tag w:val="nr_55d50559e71841b298810dab65fcf7e8"/>
                      <w:lock w:val="sdtLocked"/>
                      <w:richText/>
                    </w:sdtPr>
                    <w:sdtContent>
                      <w:r>
                        <w:rPr>
                          <w:color w:val="000000"/>
                        </w:rPr>
                        <w:t>12</w:t>
                      </w:r>
                    </w:sdtContent>
                  </w:sdt>
                  <w:r>
                    <w:rPr>
                      <w:color w:val="000000"/>
                    </w:rPr>
                    <w:t>. Tarpinių finansinių ataskaitų privalomos formos yra tokios pačios, kaip nustatyta 2-ajame VSAFAS „Finansinės būklės ataskaita“ ir 3-iajame VSAFAS „Veiklos rezultatų ataskaita“.</w:t>
                  </w:r>
                </w:p>
              </w:sdtContent>
            </w:sdt>
            <w:sdt>
              <w:sdtPr>
                <w:alias w:val="13 p."/>
                <w:tag w:val="part_e00046e0aa5f41608b2f4b0217d1fd71"/>
                <w:lock w:val="sdtLocked"/>
                <w:richText/>
              </w:sdtPr>
              <w:sdtContent>
                <w:p>
                  <w:pPr>
                    <w:widowControl w:val="0"/>
                    <w:suppressAutoHyphens/>
                    <w:ind w:firstLine="567"/>
                    <w:jc w:val="both"/>
                    <w:rPr>
                      <w:color w:val="000000"/>
                      <w:spacing w:val="-2"/>
                    </w:rPr>
                  </w:pPr>
                  <w:sdt>
                    <w:sdtPr>
                      <w:alias w:val="Numeris"/>
                      <w:tag w:val="nr_e00046e0aa5f41608b2f4b0217d1fd71"/>
                      <w:lock w:val="sdtLocked"/>
                      <w:richText/>
                    </w:sdtPr>
                    <w:sdtContent>
                      <w:r>
                        <w:rPr>
                          <w:color w:val="000000"/>
                          <w:spacing w:val="-2"/>
                        </w:rPr>
                        <w:t>13</w:t>
                      </w:r>
                    </w:sdtContent>
                  </w:sdt>
                  <w:r>
                    <w:rPr>
                      <w:color w:val="000000"/>
                      <w:spacing w:val="-2"/>
                    </w:rPr>
                    <w:t>. Sutrumpintas aiškinamasis raštas yra rengiamas pagal šio standarto dalies „Sutrumpinto aiškinamojo rašto reikalavimai“ nuostatas.</w:t>
                  </w:r>
                </w:p>
                <w:p>
                  <w:pPr>
                    <w:widowControl w:val="0"/>
                    <w:suppressAutoHyphens/>
                    <w:ind w:firstLine="567"/>
                    <w:jc w:val="both"/>
                    <w:rPr>
                      <w:color w:val="000000"/>
                    </w:rPr>
                  </w:pPr>
                </w:p>
              </w:sdtContent>
            </w:sdt>
          </w:sdtContent>
        </w:sdt>
        <w:sdt>
          <w:sdtPr>
            <w:alias w:val="skyrius"/>
            <w:tag w:val="part_d12fb2626ad748718ee49891cbdad02c"/>
            <w:lock w:val="sdtLocked"/>
            <w:richText/>
          </w:sdtPr>
          <w:sdtContent>
            <w:p>
              <w:pPr>
                <w:widowControl w:val="0"/>
                <w:suppressAutoHyphens/>
                <w:jc w:val="center"/>
                <w:rPr>
                  <w:b/>
                  <w:bCs/>
                  <w:caps/>
                  <w:color w:val="000000"/>
                </w:rPr>
              </w:pPr>
              <w:sdt>
                <w:sdtPr>
                  <w:alias w:val="Numeris"/>
                  <w:tag w:val="nr_d12fb2626ad748718ee49891cbdad02c"/>
                  <w:lock w:val="sdtLocked"/>
                  <w:richText/>
                </w:sdtPr>
                <w:sdtContent>
                  <w:r>
                    <w:rPr>
                      <w:b/>
                      <w:bCs/>
                      <w:caps/>
                      <w:color w:val="000000"/>
                    </w:rPr>
                    <w:t>IV</w:t>
                  </w:r>
                </w:sdtContent>
              </w:sdt>
              <w:r>
                <w:rPr>
                  <w:b/>
                  <w:bCs/>
                  <w:caps/>
                  <w:color w:val="000000"/>
                </w:rPr>
                <w:t xml:space="preserve">. </w:t>
              </w:r>
              <w:sdt>
                <w:sdtPr>
                  <w:alias w:val="Pavadinimas"/>
                  <w:tag w:val="title_d12fb2626ad748718ee49891cbdad02c"/>
                  <w:lock w:val="sdtLocked"/>
                  <w:richText/>
                </w:sdtPr>
                <w:sdtContent>
                  <w:r>
                    <w:rPr>
                      <w:b/>
                      <w:bCs/>
                      <w:caps/>
                      <w:color w:val="000000"/>
                    </w:rPr>
                    <w:t>SUTRUMPINTO AIŠKINAMOJO RAŠTO REIKALAVIMAI</w:t>
                  </w:r>
                </w:sdtContent>
              </w:sdt>
            </w:p>
            <w:p>
              <w:pPr>
                <w:widowControl w:val="0"/>
                <w:suppressAutoHyphens/>
                <w:ind w:firstLine="567"/>
                <w:jc w:val="both"/>
                <w:rPr>
                  <w:color w:val="000000"/>
                </w:rPr>
              </w:pPr>
            </w:p>
            <w:sdt>
              <w:sdtPr>
                <w:alias w:val="14 p."/>
                <w:tag w:val="part_f18eeba065604ddda312979e56fe8b30"/>
                <w:lock w:val="sdtLocked"/>
                <w:richText/>
              </w:sdtPr>
              <w:sdtContent>
                <w:p>
                  <w:pPr>
                    <w:widowControl w:val="0"/>
                    <w:suppressAutoHyphens/>
                    <w:ind w:firstLine="567"/>
                    <w:jc w:val="both"/>
                    <w:rPr>
                      <w:color w:val="000000"/>
                    </w:rPr>
                  </w:pPr>
                  <w:sdt>
                    <w:sdtPr>
                      <w:alias w:val="Numeris"/>
                      <w:tag w:val="nr_f18eeba065604ddda312979e56fe8b30"/>
                      <w:lock w:val="sdtLocked"/>
                      <w:richText/>
                    </w:sdtPr>
                    <w:sdtContent>
                      <w:r>
                        <w:rPr>
                          <w:color w:val="000000"/>
                        </w:rPr>
                        <w:t>14</w:t>
                      </w:r>
                    </w:sdtContent>
                  </w:sdt>
                  <w:r>
                    <w:rPr>
                      <w:color w:val="000000"/>
                    </w:rPr>
                    <w:t>. Sutrumpintą aiškinamąjį raštą sudaro tokios dalys:</w:t>
                  </w:r>
                </w:p>
                <w:sdt>
                  <w:sdtPr>
                    <w:alias w:val="14.1 p."/>
                    <w:tag w:val="part_00c298d673254ab59c0b58e859f8454d"/>
                    <w:lock w:val="sdtLocked"/>
                    <w:richText/>
                  </w:sdtPr>
                  <w:sdtContent>
                    <w:p>
                      <w:pPr>
                        <w:widowControl w:val="0"/>
                        <w:suppressAutoHyphens/>
                        <w:ind w:firstLine="567"/>
                        <w:jc w:val="both"/>
                        <w:rPr>
                          <w:color w:val="000000"/>
                        </w:rPr>
                      </w:pPr>
                      <w:sdt>
                        <w:sdtPr>
                          <w:alias w:val="Numeris"/>
                          <w:tag w:val="nr_00c298d673254ab59c0b58e859f8454d"/>
                          <w:lock w:val="sdtLocked"/>
                          <w:richText/>
                        </w:sdtPr>
                        <w:sdtContent>
                          <w:r>
                            <w:rPr>
                              <w:color w:val="000000"/>
                            </w:rPr>
                            <w:t>14.1</w:t>
                          </w:r>
                        </w:sdtContent>
                      </w:sdt>
                      <w:r>
                        <w:rPr>
                          <w:color w:val="000000"/>
                        </w:rPr>
                        <w:t>. bendroji dalis;</w:t>
                      </w:r>
                    </w:p>
                  </w:sdtContent>
                </w:sdt>
                <w:sdt>
                  <w:sdtPr>
                    <w:alias w:val="14.2 p."/>
                    <w:tag w:val="part_a3c9e68025ba4f9799d8683ec955a29a"/>
                    <w:lock w:val="sdtLocked"/>
                    <w:richText/>
                  </w:sdtPr>
                  <w:sdtContent>
                    <w:p>
                      <w:pPr>
                        <w:widowControl w:val="0"/>
                        <w:suppressAutoHyphens/>
                        <w:ind w:firstLine="567"/>
                        <w:jc w:val="both"/>
                        <w:rPr>
                          <w:color w:val="000000"/>
                        </w:rPr>
                      </w:pPr>
                      <w:sdt>
                        <w:sdtPr>
                          <w:alias w:val="Numeris"/>
                          <w:tag w:val="nr_a3c9e68025ba4f9799d8683ec955a29a"/>
                          <w:lock w:val="sdtLocked"/>
                          <w:richText/>
                        </w:sdtPr>
                        <w:sdtContent>
                          <w:r>
                            <w:rPr>
                              <w:color w:val="000000"/>
                            </w:rPr>
                            <w:t>14.2</w:t>
                          </w:r>
                        </w:sdtContent>
                      </w:sdt>
                      <w:r>
                        <w:rPr>
                          <w:color w:val="000000"/>
                        </w:rPr>
                        <w:t>. nuoroda į paskutinį metinių finansinių ataskaitų rinkinį, kuriame yra aprašyta apskaitos politika;</w:t>
                      </w:r>
                    </w:p>
                  </w:sdtContent>
                </w:sdt>
                <w:sdt>
                  <w:sdtPr>
                    <w:alias w:val="14.3 p."/>
                    <w:tag w:val="part_67946118341f409b88ad6fcd3772d5f4"/>
                    <w:lock w:val="sdtLocked"/>
                    <w:richText/>
                  </w:sdtPr>
                  <w:sdtContent>
                    <w:p>
                      <w:pPr>
                        <w:widowControl w:val="0"/>
                        <w:suppressAutoHyphens/>
                        <w:ind w:firstLine="567"/>
                        <w:jc w:val="both"/>
                        <w:rPr>
                          <w:color w:val="000000"/>
                        </w:rPr>
                      </w:pPr>
                      <w:sdt>
                        <w:sdtPr>
                          <w:alias w:val="Numeris"/>
                          <w:tag w:val="nr_67946118341f409b88ad6fcd3772d5f4"/>
                          <w:lock w:val="sdtLocked"/>
                          <w:richText/>
                        </w:sdtPr>
                        <w:sdtContent>
                          <w:r>
                            <w:rPr>
                              <w:color w:val="000000"/>
                            </w:rPr>
                            <w:t>14.3</w:t>
                          </w:r>
                        </w:sdtContent>
                      </w:sdt>
                      <w:r>
                        <w:rPr>
                          <w:color w:val="000000"/>
                        </w:rPr>
                        <w:t>. sutrumpinto aiškinamojo rašto pastabos.</w:t>
                      </w:r>
                    </w:p>
                  </w:sdtContent>
                </w:sdt>
              </w:sdtContent>
            </w:sdt>
            <w:sdt>
              <w:sdtPr>
                <w:alias w:val="15 p."/>
                <w:tag w:val="part_7de00f9d75bd4ac3a3aece9aed4bcafc"/>
                <w:lock w:val="sdtLocked"/>
                <w:richText/>
              </w:sdtPr>
              <w:sdtContent>
                <w:p>
                  <w:pPr>
                    <w:widowControl w:val="0"/>
                    <w:suppressAutoHyphens/>
                    <w:ind w:firstLine="567"/>
                    <w:jc w:val="both"/>
                    <w:rPr>
                      <w:color w:val="000000"/>
                    </w:rPr>
                  </w:pPr>
                  <w:sdt>
                    <w:sdtPr>
                      <w:alias w:val="Numeris"/>
                      <w:tag w:val="nr_7de00f9d75bd4ac3a3aece9aed4bcafc"/>
                      <w:lock w:val="sdtLocked"/>
                      <w:richText/>
                    </w:sdtPr>
                    <w:sdtContent>
                      <w:r>
                        <w:rPr>
                          <w:color w:val="000000"/>
                        </w:rPr>
                        <w:t>15</w:t>
                      </w:r>
                    </w:sdtContent>
                  </w:sdt>
                  <w:r>
                    <w:rPr>
                      <w:color w:val="000000"/>
                    </w:rPr>
                    <w:t>. Sutrumpinto aiškinamojo rašto bendrojoje dalyje turi būti pateikiami bendrieji duomenys apie viešojo sektoriaus subjektą:</w:t>
                  </w:r>
                </w:p>
                <w:sdt>
                  <w:sdtPr>
                    <w:alias w:val="15.1 p."/>
                    <w:tag w:val="part_c0fae9e50327415d93422c2108855b0f"/>
                    <w:lock w:val="sdtLocked"/>
                    <w:richText/>
                  </w:sdtPr>
                  <w:sdtContent>
                    <w:p>
                      <w:pPr>
                        <w:widowControl w:val="0"/>
                        <w:suppressAutoHyphens/>
                        <w:ind w:firstLine="567"/>
                        <w:jc w:val="both"/>
                        <w:rPr>
                          <w:color w:val="000000"/>
                        </w:rPr>
                      </w:pPr>
                      <w:sdt>
                        <w:sdtPr>
                          <w:alias w:val="Numeris"/>
                          <w:tag w:val="nr_c0fae9e50327415d93422c2108855b0f"/>
                          <w:lock w:val="sdtLocked"/>
                          <w:richText/>
                        </w:sdtPr>
                        <w:sdtContent>
                          <w:r>
                            <w:rPr>
                              <w:color w:val="000000"/>
                            </w:rPr>
                            <w:t>15.1</w:t>
                          </w:r>
                        </w:sdtContent>
                      </w:sdt>
                      <w:r>
                        <w:rPr>
                          <w:color w:val="000000"/>
                        </w:rPr>
                        <w:t>. tarpinį finansinių ataskaitų rinkinį rengiantį viešojo sektoriaus subjektą identifikuojantys (t. y. viešojo sektoriaus subjekto pavadinimas, kodas, kontroliuojantis subjektas ir pan.) ir veiklą (funkcijas) trumpai apibūdinantys duomenys;</w:t>
                      </w:r>
                    </w:p>
                  </w:sdtContent>
                </w:sdt>
                <w:sdt>
                  <w:sdtPr>
                    <w:alias w:val="15.2 p."/>
                    <w:tag w:val="part_19dd464063994a9d9a276d109eb7dcb6"/>
                    <w:lock w:val="sdtLocked"/>
                    <w:richText/>
                  </w:sdtPr>
                  <w:sdtContent>
                    <w:p>
                      <w:pPr>
                        <w:widowControl w:val="0"/>
                        <w:suppressAutoHyphens/>
                        <w:ind w:firstLine="567"/>
                        <w:jc w:val="both"/>
                        <w:rPr>
                          <w:color w:val="000000"/>
                        </w:rPr>
                      </w:pPr>
                      <w:sdt>
                        <w:sdtPr>
                          <w:alias w:val="Numeris"/>
                          <w:tag w:val="nr_19dd464063994a9d9a276d109eb7dcb6"/>
                          <w:lock w:val="sdtLocked"/>
                          <w:richText/>
                        </w:sdtPr>
                        <w:sdtContent>
                          <w:r>
                            <w:rPr>
                              <w:color w:val="000000"/>
                            </w:rPr>
                            <w:t>15.2</w:t>
                          </w:r>
                        </w:sdtContent>
                      </w:sdt>
                      <w:r>
                        <w:rPr>
                          <w:color w:val="000000"/>
                        </w:rPr>
                        <w:t>. informacija apie kontroliuojamus ir asocijuotuosius subjektus ir kitus subjektus turi būti pateikta pagal 6-ojo VSAFAS „Finansinių ataskaitų aiškinamasis raštas“ 1 ir 2 prieduose pateiktas formas;</w:t>
                      </w:r>
                    </w:p>
                  </w:sdtContent>
                </w:sdt>
                <w:sdt>
                  <w:sdtPr>
                    <w:alias w:val="15.3 p."/>
                    <w:tag w:val="part_ae3869a089f34522bd8b52cbe9a61db9"/>
                    <w:lock w:val="sdtLocked"/>
                    <w:richText/>
                  </w:sdtPr>
                  <w:sdtContent>
                    <w:p>
                      <w:pPr>
                        <w:widowControl w:val="0"/>
                        <w:suppressAutoHyphens/>
                        <w:ind w:firstLine="567"/>
                        <w:jc w:val="both"/>
                        <w:rPr>
                          <w:color w:val="000000"/>
                        </w:rPr>
                      </w:pPr>
                      <w:sdt>
                        <w:sdtPr>
                          <w:alias w:val="Numeris"/>
                          <w:tag w:val="nr_ae3869a089f34522bd8b52cbe9a61db9"/>
                          <w:lock w:val="sdtLocked"/>
                          <w:richText/>
                        </w:sdtPr>
                        <w:sdtContent>
                          <w:r>
                            <w:rPr>
                              <w:color w:val="000000"/>
                            </w:rPr>
                            <w:t>15.3</w:t>
                          </w:r>
                        </w:sdtContent>
                      </w:sdt>
                      <w:r>
                        <w:rPr>
                          <w:color w:val="000000"/>
                        </w:rPr>
                        <w:t>. jei viešojo sektoriaus subjektas neturi kontroliuojamų arba asocijuotųjų subjektų, tai jis šį faktą turi nurodyti sutrumpintame aiškinamajame rašte;</w:t>
                      </w:r>
                    </w:p>
                  </w:sdtContent>
                </w:sdt>
                <w:sdt>
                  <w:sdtPr>
                    <w:alias w:val="15.4 p."/>
                    <w:tag w:val="part_b86ac7183dec4582b8e3c78071816dbd"/>
                    <w:lock w:val="sdtLocked"/>
                    <w:richText/>
                  </w:sdtPr>
                  <w:sdtContent>
                    <w:p>
                      <w:pPr>
                        <w:widowControl w:val="0"/>
                        <w:suppressAutoHyphens/>
                        <w:ind w:firstLine="567"/>
                        <w:jc w:val="both"/>
                        <w:rPr>
                          <w:color w:val="000000"/>
                        </w:rPr>
                      </w:pPr>
                      <w:sdt>
                        <w:sdtPr>
                          <w:alias w:val="Numeris"/>
                          <w:tag w:val="nr_b86ac7183dec4582b8e3c78071816dbd"/>
                          <w:lock w:val="sdtLocked"/>
                          <w:richText/>
                        </w:sdtPr>
                        <w:sdtContent>
                          <w:r>
                            <w:rPr>
                              <w:color w:val="000000"/>
                            </w:rPr>
                            <w:t>15.4</w:t>
                          </w:r>
                        </w:sdtContent>
                      </w:sdt>
                      <w:r>
                        <w:rPr>
                          <w:color w:val="000000"/>
                        </w:rPr>
                        <w:t>. jei viešojo sektoriaus subjektas turi filialų ar kitų struktūrinių padalinių, sutrumpintame aiškinamajame rašte turi nurodyti jų buveinių adresus ir pagrindinę veiklą, jei ji skiriasi nuo pagrindinės viešojo sektoriaus subjekto veiklos;</w:t>
                      </w:r>
                    </w:p>
                  </w:sdtContent>
                </w:sdt>
                <w:sdt>
                  <w:sdtPr>
                    <w:alias w:val="15.5 p."/>
                    <w:tag w:val="part_1a51b5dccb4c450b885e37ff7c074d41"/>
                    <w:lock w:val="sdtLocked"/>
                    <w:richText/>
                  </w:sdtPr>
                  <w:sdtContent>
                    <w:p>
                      <w:pPr>
                        <w:widowControl w:val="0"/>
                        <w:suppressAutoHyphens/>
                        <w:ind w:firstLine="567"/>
                        <w:jc w:val="both"/>
                        <w:rPr>
                          <w:color w:val="000000"/>
                        </w:rPr>
                      </w:pPr>
                      <w:sdt>
                        <w:sdtPr>
                          <w:alias w:val="Numeris"/>
                          <w:tag w:val="nr_1a51b5dccb4c450b885e37ff7c074d41"/>
                          <w:lock w:val="sdtLocked"/>
                          <w:richText/>
                        </w:sdtPr>
                        <w:sdtContent>
                          <w:r>
                            <w:rPr>
                              <w:color w:val="000000"/>
                            </w:rPr>
                            <w:t>15.5</w:t>
                          </w:r>
                        </w:sdtContent>
                      </w:sdt>
                      <w:r>
                        <w:rPr>
                          <w:color w:val="000000"/>
                        </w:rPr>
                        <w:t>. informacija apie svarbias sąlygas ir aplinkybes, kurioms esant veikia viešojo sektoriaus subjektas ir kurios gali paveikti tolesnę viešojo sektoriaus subjekto veiklą.</w:t>
                      </w:r>
                    </w:p>
                  </w:sdtContent>
                </w:sdt>
              </w:sdtContent>
            </w:sdt>
            <w:sdt>
              <w:sdtPr>
                <w:alias w:val="16 p."/>
                <w:tag w:val="part_482a8ca354f14b52a6fde52b23fa1199"/>
                <w:lock w:val="sdtLocked"/>
                <w:richText/>
              </w:sdtPr>
              <w:sdtContent>
                <w:p>
                  <w:pPr>
                    <w:widowControl w:val="0"/>
                    <w:suppressAutoHyphens/>
                    <w:ind w:firstLine="567"/>
                    <w:jc w:val="both"/>
                    <w:rPr>
                      <w:color w:val="000000"/>
                      <w:spacing w:val="-5"/>
                    </w:rPr>
                  </w:pPr>
                  <w:sdt>
                    <w:sdtPr>
                      <w:alias w:val="Numeris"/>
                      <w:tag w:val="nr_482a8ca354f14b52a6fde52b23fa1199"/>
                      <w:lock w:val="sdtLocked"/>
                      <w:richText/>
                    </w:sdtPr>
                    <w:sdtContent>
                      <w:r>
                        <w:rPr>
                          <w:color w:val="000000"/>
                          <w:spacing w:val="-5"/>
                        </w:rPr>
                        <w:t>16</w:t>
                      </w:r>
                    </w:sdtContent>
                  </w:sdt>
                  <w:r>
                    <w:rPr>
                      <w:color w:val="000000"/>
                      <w:spacing w:val="-5"/>
                    </w:rPr>
                    <w:t>. Sutrumpintame aiškinamajame rašte viešojo sektoriaus subjektas turi nurodyti informaciją apie per tarpinį ataskaitinį laikotarpį atliktus apskaitinių įverčių keitimus ir klaidų taisymą, kaip nustato 7-asis VSAFAS „Apskaitos politikos, apskaitinių įverčių keitimas ir klaidų taisymas“.</w:t>
                  </w:r>
                </w:p>
              </w:sdtContent>
            </w:sdt>
            <w:sdt>
              <w:sdtPr>
                <w:alias w:val="17 p."/>
                <w:tag w:val="part_1b57e39287b547159599097b697c1366"/>
                <w:lock w:val="sdtLocked"/>
                <w:richText/>
              </w:sdtPr>
              <w:sdtContent>
                <w:p>
                  <w:pPr>
                    <w:widowControl w:val="0"/>
                    <w:suppressAutoHyphens/>
                    <w:ind w:firstLine="567"/>
                    <w:jc w:val="both"/>
                    <w:rPr>
                      <w:color w:val="000000"/>
                    </w:rPr>
                  </w:pPr>
                  <w:sdt>
                    <w:sdtPr>
                      <w:alias w:val="Numeris"/>
                      <w:tag w:val="nr_1b57e39287b547159599097b697c1366"/>
                      <w:lock w:val="sdtLocked"/>
                      <w:richText/>
                    </w:sdtPr>
                    <w:sdtContent>
                      <w:r>
                        <w:rPr>
                          <w:color w:val="000000"/>
                        </w:rPr>
                        <w:t>17</w:t>
                      </w:r>
                    </w:sdtContent>
                  </w:sdt>
                  <w:r>
                    <w:rPr>
                      <w:color w:val="000000"/>
                    </w:rPr>
                    <w:t>. Visos sutrumpinto aiškinamojo rašto pastabos turi būti numeruojamos iš eilės. Sutrumpinto aiškinamojo rašto pastabos numeris turi būti nurodomas prie tarpinių finansinių ataskaitų straipsnio, kurį ji paaiškina.</w:t>
                  </w:r>
                </w:p>
              </w:sdtContent>
            </w:sdt>
            <w:sdt>
              <w:sdtPr>
                <w:alias w:val="18 p."/>
                <w:tag w:val="part_418970adee8740de9f209845198e8649"/>
                <w:lock w:val="sdtLocked"/>
                <w:richText/>
              </w:sdtPr>
              <w:sdtContent>
                <w:p>
                  <w:pPr>
                    <w:widowControl w:val="0"/>
                    <w:suppressAutoHyphens/>
                    <w:ind w:firstLine="567"/>
                    <w:jc w:val="both"/>
                    <w:rPr>
                      <w:color w:val="000000"/>
                    </w:rPr>
                  </w:pPr>
                  <w:sdt>
                    <w:sdtPr>
                      <w:alias w:val="Numeris"/>
                      <w:tag w:val="nr_418970adee8740de9f209845198e8649"/>
                      <w:lock w:val="sdtLocked"/>
                      <w:richText/>
                    </w:sdtPr>
                    <w:sdtContent>
                      <w:r>
                        <w:rPr>
                          <w:color w:val="000000"/>
                        </w:rPr>
                        <w:t>18</w:t>
                      </w:r>
                    </w:sdtContent>
                  </w:sdt>
                  <w:r>
                    <w:rPr>
                      <w:color w:val="000000"/>
                    </w:rPr>
                    <w:t>. Taip pat sutrumpinto aiškinamojo rašto pastabose turi būti pateikta ši informacija:</w:t>
                  </w:r>
                </w:p>
                <w:sdt>
                  <w:sdtPr>
                    <w:alias w:val="18.1 p."/>
                    <w:tag w:val="part_ac750bf6f1b242c5bb1398001018f139"/>
                    <w:lock w:val="sdtLocked"/>
                    <w:richText/>
                  </w:sdtPr>
                  <w:sdtContent>
                    <w:p>
                      <w:pPr>
                        <w:widowControl w:val="0"/>
                        <w:suppressAutoHyphens/>
                        <w:ind w:firstLine="567"/>
                        <w:jc w:val="both"/>
                        <w:rPr>
                          <w:color w:val="000000"/>
                        </w:rPr>
                      </w:pPr>
                      <w:sdt>
                        <w:sdtPr>
                          <w:alias w:val="Numeris"/>
                          <w:tag w:val="nr_ac750bf6f1b242c5bb1398001018f139"/>
                          <w:lock w:val="sdtLocked"/>
                          <w:richText/>
                        </w:sdtPr>
                        <w:sdtContent>
                          <w:r>
                            <w:rPr>
                              <w:color w:val="000000"/>
                              <w:spacing w:val="-1"/>
                            </w:rPr>
                            <w:t>18.1</w:t>
                          </w:r>
                        </w:sdtContent>
                      </w:sdt>
                      <w:r>
                        <w:rPr>
                          <w:color w:val="000000"/>
                          <w:spacing w:val="-1"/>
                        </w:rPr>
                        <w:t>. apskaitinių įverčių keitimo priežastys ir poveikis tarpinio ataskaitinio laikotarpio ir vėlesnių ataskaitinių laikotarpių rezultatams;</w:t>
                      </w:r>
                    </w:p>
                  </w:sdtContent>
                </w:sdt>
                <w:sdt>
                  <w:sdtPr>
                    <w:alias w:val="18.2 p."/>
                    <w:tag w:val="part_03289f1502744682b24f61dd82500105"/>
                    <w:lock w:val="sdtLocked"/>
                    <w:richText/>
                  </w:sdtPr>
                  <w:sdtContent>
                    <w:p>
                      <w:pPr>
                        <w:widowControl w:val="0"/>
                        <w:suppressAutoHyphens/>
                        <w:ind w:firstLine="567"/>
                        <w:jc w:val="both"/>
                        <w:rPr>
                          <w:color w:val="000000"/>
                        </w:rPr>
                      </w:pPr>
                      <w:sdt>
                        <w:sdtPr>
                          <w:alias w:val="Numeris"/>
                          <w:tag w:val="nr_03289f1502744682b24f61dd82500105"/>
                          <w:lock w:val="sdtLocked"/>
                          <w:richText/>
                        </w:sdtPr>
                        <w:sdtContent>
                          <w:r>
                            <w:rPr>
                              <w:color w:val="000000"/>
                            </w:rPr>
                            <w:t>18.2</w:t>
                          </w:r>
                        </w:sdtContent>
                      </w:sdt>
                      <w:r>
                        <w:rPr>
                          <w:color w:val="000000"/>
                        </w:rPr>
                        <w:t>. numatomas ar jau vykstantis (bet iki tarpinio ataskaitinio laikotarpio pabaigos nesibaigsiantis) viešojo sektoriaus subjekto restruktūrizavimas, numatomas veiklos nutraukimas;</w:t>
                      </w:r>
                    </w:p>
                  </w:sdtContent>
                </w:sdt>
                <w:sdt>
                  <w:sdtPr>
                    <w:alias w:val="18.3 p."/>
                    <w:tag w:val="part_b40502280dd44d0e989ad8104e12006c"/>
                    <w:lock w:val="sdtLocked"/>
                    <w:richText/>
                  </w:sdtPr>
                  <w:sdtContent>
                    <w:p>
                      <w:pPr>
                        <w:widowControl w:val="0"/>
                        <w:suppressAutoHyphens/>
                        <w:ind w:firstLine="567"/>
                        <w:jc w:val="both"/>
                        <w:rPr>
                          <w:color w:val="000000"/>
                        </w:rPr>
                      </w:pPr>
                      <w:sdt>
                        <w:sdtPr>
                          <w:alias w:val="Numeris"/>
                          <w:tag w:val="nr_b40502280dd44d0e989ad8104e12006c"/>
                          <w:lock w:val="sdtLocked"/>
                          <w:richText/>
                        </w:sdtPr>
                        <w:sdtContent>
                          <w:r>
                            <w:rPr>
                              <w:color w:val="000000"/>
                            </w:rPr>
                            <w:t>18.3</w:t>
                          </w:r>
                        </w:sdtContent>
                      </w:sdt>
                      <w:r>
                        <w:rPr>
                          <w:color w:val="000000"/>
                        </w:rPr>
                        <w:t>. neapibrėžtųjų įsipareigojimų ar neapibrėžtojo turto pokyčiai nuo ataskaitinių finansinių metų pradžios iki paskutinės tarpinio ataskaitinio laikotarpio dienos;</w:t>
                      </w:r>
                    </w:p>
                  </w:sdtContent>
                </w:sdt>
                <w:sdt>
                  <w:sdtPr>
                    <w:alias w:val="18.4 p."/>
                    <w:tag w:val="part_1e37a08f2e454d98a0bf0c0642e2c41f"/>
                    <w:lock w:val="sdtLocked"/>
                    <w:richText/>
                  </w:sdtPr>
                  <w:sdtContent>
                    <w:p>
                      <w:pPr>
                        <w:widowControl w:val="0"/>
                        <w:suppressAutoHyphens/>
                        <w:ind w:firstLine="567"/>
                        <w:jc w:val="both"/>
                        <w:rPr>
                          <w:color w:val="000000"/>
                        </w:rPr>
                      </w:pPr>
                      <w:sdt>
                        <w:sdtPr>
                          <w:alias w:val="Numeris"/>
                          <w:tag w:val="nr_1e37a08f2e454d98a0bf0c0642e2c41f"/>
                          <w:lock w:val="sdtLocked"/>
                          <w:richText/>
                        </w:sdtPr>
                        <w:sdtContent>
                          <w:r>
                            <w:rPr>
                              <w:color w:val="000000"/>
                            </w:rPr>
                            <w:t>18.4</w:t>
                          </w:r>
                        </w:sdtContent>
                      </w:sdt>
                      <w:r>
                        <w:rPr>
                          <w:color w:val="000000"/>
                        </w:rPr>
                        <w:t>. sprendimai dėl teisinių ginčų;</w:t>
                      </w:r>
                    </w:p>
                  </w:sdtContent>
                </w:sdt>
                <w:sdt>
                  <w:sdtPr>
                    <w:alias w:val="18.5 p."/>
                    <w:tag w:val="part_0950e847cdac419fa60e697d62747145"/>
                    <w:lock w:val="sdtLocked"/>
                    <w:richText/>
                  </w:sdtPr>
                  <w:sdtContent>
                    <w:p>
                      <w:pPr>
                        <w:widowControl w:val="0"/>
                        <w:suppressAutoHyphens/>
                        <w:ind w:firstLine="567"/>
                        <w:jc w:val="both"/>
                        <w:rPr>
                          <w:color w:val="000000"/>
                        </w:rPr>
                      </w:pPr>
                      <w:sdt>
                        <w:sdtPr>
                          <w:alias w:val="Numeris"/>
                          <w:tag w:val="nr_0950e847cdac419fa60e697d62747145"/>
                          <w:lock w:val="sdtLocked"/>
                          <w:richText/>
                        </w:sdtPr>
                        <w:sdtContent>
                          <w:r>
                            <w:rPr>
                              <w:color w:val="000000"/>
                            </w:rPr>
                            <w:t>18.5</w:t>
                          </w:r>
                        </w:sdtContent>
                      </w:sdt>
                      <w:r>
                        <w:rPr>
                          <w:color w:val="000000"/>
                        </w:rPr>
                        <w:t>. reikšmingi įvykiai po paskutinės tarpinio ataskaitinio laikotarpio dienos.</w:t>
                      </w:r>
                    </w:p>
                  </w:sdtContent>
                </w:sdt>
              </w:sdtContent>
            </w:sdt>
            <w:sdt>
              <w:sdtPr>
                <w:alias w:val="19 p."/>
                <w:tag w:val="part_0ce9b6f8b3dc4ec78095f58c0083fa21"/>
                <w:lock w:val="sdtLocked"/>
                <w:richText/>
              </w:sdtPr>
              <w:sdtContent>
                <w:p>
                  <w:pPr>
                    <w:widowControl w:val="0"/>
                    <w:suppressAutoHyphens/>
                    <w:ind w:firstLine="567"/>
                    <w:jc w:val="both"/>
                    <w:rPr>
                      <w:color w:val="000000"/>
                    </w:rPr>
                  </w:pPr>
                  <w:sdt>
                    <w:sdtPr>
                      <w:alias w:val="Numeris"/>
                      <w:tag w:val="nr_0ce9b6f8b3dc4ec78095f58c0083fa21"/>
                      <w:lock w:val="sdtLocked"/>
                      <w:richText/>
                    </w:sdtPr>
                    <w:sdtContent>
                      <w:r>
                        <w:rPr>
                          <w:color w:val="000000"/>
                        </w:rPr>
                        <w:t>19</w:t>
                      </w:r>
                    </w:sdtContent>
                  </w:sdt>
                  <w:r>
                    <w:rPr>
                      <w:color w:val="000000"/>
                    </w:rPr>
                    <w:t>. Sutrumpintame aiškinamajame rašte turi būti pateikiamas finansavimo sumų detalizavimas pagal 20-ojo VSAFAS „Finansavimo sumos“ 3 arba</w:t>
                  </w:r>
                  <w:r>
                    <w:rPr>
                      <w:b/>
                      <w:bCs/>
                      <w:color w:val="000000"/>
                    </w:rPr>
                    <w:t xml:space="preserve"> </w:t>
                  </w:r>
                  <w:r>
                    <w:rPr>
                      <w:color w:val="000000"/>
                    </w:rPr>
                    <w:t>4 priede pateiktas formas.</w:t>
                  </w:r>
                </w:p>
                <w:p>
                  <w:pPr>
                    <w:widowControl w:val="0"/>
                    <w:suppressAutoHyphens/>
                    <w:ind w:firstLine="567"/>
                    <w:jc w:val="both"/>
                    <w:rPr>
                      <w:color w:val="000000"/>
                    </w:rPr>
                  </w:pPr>
                </w:p>
              </w:sdtContent>
            </w:sdt>
          </w:sdtContent>
        </w:sdt>
        <w:sdt>
          <w:sdtPr>
            <w:alias w:val="skyrius"/>
            <w:tag w:val="part_4e646c6f47d84c51b47ea0d7b8050438"/>
            <w:lock w:val="sdtLocked"/>
            <w:richText/>
          </w:sdtPr>
          <w:sdtContent>
            <w:p>
              <w:pPr>
                <w:widowControl w:val="0"/>
                <w:suppressAutoHyphens/>
                <w:jc w:val="center"/>
                <w:rPr>
                  <w:b/>
                  <w:bCs/>
                  <w:caps/>
                  <w:color w:val="000000"/>
                </w:rPr>
              </w:pPr>
              <w:sdt>
                <w:sdtPr>
                  <w:alias w:val="Numeris"/>
                  <w:tag w:val="nr_4e646c6f47d84c51b47ea0d7b8050438"/>
                  <w:lock w:val="sdtLocked"/>
                  <w:richText/>
                </w:sdtPr>
                <w:sdtContent>
                  <w:r>
                    <w:rPr>
                      <w:b/>
                      <w:bCs/>
                      <w:caps/>
                      <w:color w:val="000000"/>
                    </w:rPr>
                    <w:t>V</w:t>
                  </w:r>
                </w:sdtContent>
              </w:sdt>
              <w:r>
                <w:rPr>
                  <w:b/>
                  <w:bCs/>
                  <w:caps/>
                  <w:color w:val="000000"/>
                </w:rPr>
                <w:t xml:space="preserve">. </w:t>
              </w:r>
              <w:sdt>
                <w:sdtPr>
                  <w:alias w:val="Pavadinimas"/>
                  <w:tag w:val="title_4e646c6f47d84c51b47ea0d7b8050438"/>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20 p."/>
                <w:tag w:val="part_fe24ac92692549249f03e59c3a0c8f59"/>
                <w:lock w:val="sdtLocked"/>
                <w:richText/>
              </w:sdtPr>
              <w:sdtContent>
                <w:p>
                  <w:pPr>
                    <w:widowControl w:val="0"/>
                    <w:suppressAutoHyphens/>
                    <w:ind w:firstLine="567"/>
                    <w:jc w:val="both"/>
                    <w:rPr>
                      <w:color w:val="000000"/>
                    </w:rPr>
                  </w:pPr>
                  <w:sdt>
                    <w:sdtPr>
                      <w:alias w:val="Numeris"/>
                      <w:tag w:val="nr_fe24ac92692549249f03e59c3a0c8f59"/>
                      <w:lock w:val="sdtLocked"/>
                      <w:richText/>
                    </w:sdtPr>
                    <w:sdtContent>
                      <w:r>
                        <w:rPr>
                          <w:color w:val="000000"/>
                        </w:rPr>
                        <w:t>20</w:t>
                      </w:r>
                    </w:sdtContent>
                  </w:sdt>
                  <w:r>
                    <w:rPr>
                      <w:color w:val="000000"/>
                    </w:rPr>
                    <w:t>. Viešojo sektoriaus subjektai, kurių vadovas yra asignavimų valdytojas, išteklių fondai ir savivaldybių administracijos tarpinių finansinių ataskaitų rinkinius teikia šia tvarka ir terminais:</w:t>
                  </w:r>
                </w:p>
                <w:sdt>
                  <w:sdtPr>
                    <w:alias w:val="20.1 p."/>
                    <w:tag w:val="part_8f469b38620546af9671d3a971830389"/>
                    <w:lock w:val="sdtLocked"/>
                    <w:richText/>
                  </w:sdtPr>
                  <w:sdtContent>
                    <w:p>
                      <w:pPr>
                        <w:widowControl w:val="0"/>
                        <w:suppressAutoHyphens/>
                        <w:ind w:firstLine="567"/>
                        <w:jc w:val="both"/>
                        <w:rPr>
                          <w:color w:val="000000"/>
                        </w:rPr>
                      </w:pPr>
                      <w:sdt>
                        <w:sdtPr>
                          <w:alias w:val="Numeris"/>
                          <w:tag w:val="nr_8f469b38620546af9671d3a971830389"/>
                          <w:lock w:val="sdtLocked"/>
                          <w:richText/>
                        </w:sdtPr>
                        <w:sdtContent>
                          <w:r>
                            <w:rPr>
                              <w:color w:val="000000"/>
                            </w:rPr>
                            <w:t>20.1</w:t>
                          </w:r>
                        </w:sdtContent>
                      </w:sdt>
                      <w:r>
                        <w:rPr>
                          <w:color w:val="000000"/>
                        </w:rPr>
                        <w:t>. Finansų ministerijai 2010 metų pirmojo ketvirčio savo atskirų tarpinių finansinių ataskaitų rinkinį – per 60 kalendorinių dienų pasibaigus pirmajam ketvirčiui;</w:t>
                      </w:r>
                    </w:p>
                  </w:sdtContent>
                </w:sdt>
                <w:sdt>
                  <w:sdtPr>
                    <w:alias w:val="20.2 p."/>
                    <w:tag w:val="part_a9fb5e19a7c24d9f8057a6d3b7144b4b"/>
                    <w:lock w:val="sdtLocked"/>
                    <w:richText/>
                  </w:sdtPr>
                  <w:sdtContent>
                    <w:p>
                      <w:pPr>
                        <w:widowControl w:val="0"/>
                        <w:suppressAutoHyphens/>
                        <w:ind w:firstLine="567"/>
                        <w:jc w:val="both"/>
                        <w:rPr>
                          <w:color w:val="000000"/>
                        </w:rPr>
                      </w:pPr>
                      <w:sdt>
                        <w:sdtPr>
                          <w:alias w:val="Numeris"/>
                          <w:tag w:val="nr_a9fb5e19a7c24d9f8057a6d3b7144b4b"/>
                          <w:lock w:val="sdtLocked"/>
                          <w:richText/>
                        </w:sdtPr>
                        <w:sdtContent>
                          <w:r>
                            <w:rPr>
                              <w:color w:val="000000"/>
                            </w:rPr>
                            <w:t>20.2</w:t>
                          </w:r>
                        </w:sdtContent>
                      </w:sdt>
                      <w:r>
                        <w:rPr>
                          <w:color w:val="000000"/>
                        </w:rPr>
                        <w:t>. Finansų ministerijai 2010 metų pusmečio ir devynių mėnesių savo atskirų tarpinių finansinių ataskaitų rinkinius – per 30 kalendorinių dienų pasibaigus tarpiniam ataskaitiniam laikotarpiui.</w:t>
                      </w:r>
                    </w:p>
                  </w:sdtContent>
                </w:sdt>
              </w:sdtContent>
            </w:sdt>
            <w:sdt>
              <w:sdtPr>
                <w:alias w:val="21 p."/>
                <w:tag w:val="part_a6869b365d454dd7967cd733631b0c9f"/>
                <w:lock w:val="sdtLocked"/>
                <w:richText/>
              </w:sdtPr>
              <w:sdtContent>
                <w:p>
                  <w:pPr>
                    <w:widowControl w:val="0"/>
                    <w:suppressAutoHyphens/>
                    <w:ind w:firstLine="567"/>
                    <w:jc w:val="both"/>
                    <w:rPr>
                      <w:color w:val="000000"/>
                    </w:rPr>
                  </w:pPr>
                  <w:sdt>
                    <w:sdtPr>
                      <w:alias w:val="Numeris"/>
                      <w:tag w:val="nr_a6869b365d454dd7967cd733631b0c9f"/>
                      <w:lock w:val="sdtLocked"/>
                      <w:richText/>
                    </w:sdtPr>
                    <w:sdtContent>
                      <w:r>
                        <w:rPr>
                          <w:color w:val="000000"/>
                        </w:rPr>
                        <w:t>21</w:t>
                      </w:r>
                    </w:sdtContent>
                  </w:sdt>
                  <w:r>
                    <w:rPr>
                      <w:color w:val="000000"/>
                    </w:rPr>
                    <w:t>. 2011 ir vėlesnių metų tarpinių ataskaitinių laikotarpių atskirų ir (arba) konsoliduotųjų tarpinių finansinių ataskaitų rinkinius viešojo sektoriaus subjektas teikia už atitinkamos viešojo sektoriaus subjektų grupės metinių konsoliduotųjų finansinių ataskaitų rinkinio parengimą atsakingam viešojo sektoriaus subjektui ne vėliau kaip per 30 kalendorinių dienų pasibaigus tarpiniam ataskaitiniam laikotarpiui.</w:t>
                  </w:r>
                </w:p>
              </w:sdtContent>
            </w:sdt>
            <w:sdt>
              <w:sdtPr>
                <w:alias w:val="22 p."/>
                <w:tag w:val="part_5b50f089428042979979488530a3eb39"/>
                <w:lock w:val="sdtLocked"/>
                <w:richText/>
              </w:sdtPr>
              <w:sdtContent>
                <w:p>
                  <w:pPr>
                    <w:widowControl w:val="0"/>
                    <w:suppressAutoHyphens/>
                    <w:ind w:firstLine="567"/>
                    <w:jc w:val="both"/>
                    <w:rPr>
                      <w:color w:val="000000"/>
                      <w:spacing w:val="-2"/>
                    </w:rPr>
                  </w:pPr>
                  <w:sdt>
                    <w:sdtPr>
                      <w:alias w:val="Numeris"/>
                      <w:tag w:val="nr_5b50f089428042979979488530a3eb39"/>
                      <w:lock w:val="sdtLocked"/>
                      <w:richText/>
                    </w:sdtPr>
                    <w:sdtContent>
                      <w:r>
                        <w:rPr>
                          <w:color w:val="000000"/>
                        </w:rPr>
                        <w:t>22</w:t>
                      </w:r>
                    </w:sdtContent>
                  </w:sdt>
                  <w:r>
                    <w:rPr>
                      <w:color w:val="000000"/>
                    </w:rPr>
                    <w:t xml:space="preserve">. Viešojo sektoriaus subjektas, teikiantis savo tarpinių finansinių ataskaitų rinkinį, kaip nurodyta šio standarto 20 punkte, per </w:t>
                  </w:r>
                  <w:r>
                    <w:rPr>
                      <w:color w:val="000000"/>
                      <w:spacing w:val="-2"/>
                    </w:rPr>
                    <w:t>10 kalendorinių dienų nuo jo pateikimo Finansų ministerijai dienos savo interneto svetainėje paskelbia tarpinių finansinių ataskaitų rinkinį.</w:t>
                  </w:r>
                </w:p>
              </w:sdtContent>
            </w:sdt>
            <w:sdt>
              <w:sdtPr>
                <w:alias w:val="23 p."/>
                <w:tag w:val="part_b88137a8a68a46e6b76fd63cdcea356d"/>
                <w:lock w:val="sdtLocked"/>
                <w:richText/>
              </w:sdtPr>
              <w:sdtContent>
                <w:p>
                  <w:pPr>
                    <w:widowControl w:val="0"/>
                    <w:suppressAutoHyphens/>
                    <w:ind w:firstLine="567"/>
                    <w:jc w:val="both"/>
                    <w:rPr>
                      <w:color w:val="000000"/>
                    </w:rPr>
                  </w:pPr>
                  <w:sdt>
                    <w:sdtPr>
                      <w:alias w:val="Numeris"/>
                      <w:tag w:val="nr_b88137a8a68a46e6b76fd63cdcea356d"/>
                      <w:lock w:val="sdtLocked"/>
                      <w:richText/>
                    </w:sdtPr>
                    <w:sdtContent>
                      <w:r>
                        <w:rPr>
                          <w:color w:val="000000"/>
                        </w:rPr>
                        <w:t>23</w:t>
                      </w:r>
                    </w:sdtContent>
                  </w:sdt>
                  <w:r>
                    <w:rPr>
                      <w:color w:val="000000"/>
                    </w:rPr>
                    <w:t>. Rengiant 2010 metų tarpinių finansinių ataskaitų rinkinius pagal VSAFAS, šio standarto 14.2, 16 ir 18.1 punktai netaikomi.</w:t>
                  </w:r>
                </w:p>
                <w:p>
                  <w:pPr/>
                </w:p>
                <w:p>
                  <w:pPr>
                    <w:jc w:val="center"/>
                  </w:pPr>
                  <w:r>
                    <w:t>_________________</w:t>
                  </w:r>
                </w:p>
                <w:p>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F52E9A3775">
            <w:r w:rsidRPr="00532B9F">
              <w:rPr>
                <w:rFonts w:ascii="Times New Roman" w:eastAsia="MS Mincho" w:hAnsi="Times New Roman"/>
                <w:sz w:val="20"/>
                <w:i/>
                <w:iCs/>
                <w:color w:val="0000FF" w:themeColor="hyperlink"/>
                <w:u w:val="single"/>
              </w:rPr>
              <w:t>1K-051</w:t>
            </w:r>
          </w:fldSimple>
          <w:r>
            <w:rPr>
              <w:rFonts w:ascii="Times New Roman" w:eastAsia="MS Mincho" w:hAnsi="Times New Roman"/>
              <w:sz w:val="20"/>
              <w:i/>
              <w:iCs/>
            </w:rPr>
            <w:t>,
2010-03-02,
Žin., 2010, Nr.
27-1231 (2010-03-06), i. k. 1102050ISAK001K-051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8735C9590">
            <w:r w:rsidRPr="00532B9F">
              <w:rPr>
                <w:rFonts w:ascii="Times New Roman" w:eastAsia="MS Mincho" w:hAnsi="Times New Roman"/>
                <w:sz w:val="20"/>
                <w:iCs/>
                <w:color w:val="0000FF" w:themeColor="hyperlink"/>
                <w:u w:val="single"/>
              </w:rPr>
              <w:t>1K-444</w:t>
            </w:r>
          </w:fldSimple>
          <w:r>
            <w:rPr>
              <w:rFonts w:ascii="Times New Roman" w:eastAsia="MS Mincho" w:hAnsi="Times New Roman"/>
              <w:sz w:val="20"/>
              <w:iCs/>
            </w:rPr>
            <w:t>,
2008-12-18,
Žin., 2008, Nr.
147-5920 (2008-12-23), i. k. 1082050ISAK001K-444                </w:t>
          </w:r>
        </w:p>
        <w:p>
          <w:pPr>
            <w:jc w:val="both"/>
            <w:rPr>
              <w:rFonts w:ascii="Times New Roman" w:hAnsi="Times New Roman"/>
            </w:rPr>
          </w:pPr>
          <w:r>
            <w:rPr>
              <w:rFonts w:ascii="Times New Roman" w:hAnsi="Times New Roman"/>
              <w:sz w:val="20"/>
            </w:rPr>
            <w:t>Dėl kai kurių finansų ministro įsakymų, kuriais patvirtinti viešojo sektoriaus apskaitos ir finansinės atskaitomybės standartai,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F52E9A3775">
            <w:r w:rsidRPr="00532B9F">
              <w:rPr>
                <w:rFonts w:ascii="Times New Roman" w:eastAsia="MS Mincho" w:hAnsi="Times New Roman"/>
                <w:sz w:val="20"/>
                <w:iCs/>
                <w:color w:val="0000FF" w:themeColor="hyperlink"/>
                <w:u w:val="single"/>
              </w:rPr>
              <w:t>1K-051</w:t>
            </w:r>
          </w:fldSimple>
          <w:r>
            <w:rPr>
              <w:rFonts w:ascii="Times New Roman" w:eastAsia="MS Mincho" w:hAnsi="Times New Roman"/>
              <w:sz w:val="20"/>
              <w:iCs/>
            </w:rPr>
            <w:t>,
2010-03-02,
Žin., 2010, Nr.
27-1231 (2010-03-06), i. k. 1102050ISAK001K-051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A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A97654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43178AA9832E"/>
  <Relationship Id="rId11" Type="http://schemas.openxmlformats.org/officeDocument/2006/relationships/hyperlink" TargetMode="External" Target="https://www.e-tar.lt/portal/lt/legalAct/TAR.146094DDC821"/>
  <Relationship Id="rId12" Type="http://schemas.openxmlformats.org/officeDocument/2006/relationships/hyperlink" TargetMode="External" Target="https://www.e-tar.lt/portal/lt/legalAct/TAR.2341757E0199"/>
  <Relationship Id="rId13" Type="http://schemas.openxmlformats.org/officeDocument/2006/relationships/hyperlink" TargetMode="External" Target="https://www.e-tar.lt/portal/lt/legalAct/TAR.43178AA9832E"/>
  <Relationship Id="rId14" Type="http://schemas.openxmlformats.org/officeDocument/2006/relationships/hyperlink" TargetMode="External" Target="https://www.e-tar.lt/portal/lt/legalAct/TAR.2CBC645A67BD"/>
  <Relationship Id="rId15" Type="http://schemas.openxmlformats.org/officeDocument/2006/relationships/hyperlink" TargetMode="External" Target="https://www.e-tar.lt/portal/lt/legalAct/TAR.E2CE2C82DA9E"/>
  <Relationship Id="rId16" Type="http://schemas.openxmlformats.org/officeDocument/2006/relationships/hyperlink" TargetMode="External" Target="https://www.e-tar.lt/portal/lt/legalAct/TAR.9A9825575BCD"/>
  <Relationship Id="rId17" Type="http://schemas.openxmlformats.org/officeDocument/2006/relationships/customXml" Target="../customXml/item1.xml"/>
  <Relationship Id="rId2" Type="http://schemas.openxmlformats.org/officeDocument/2006/relationships/hyperlink" TargetMode="External" Target="https://www.e-tar.lt/portal/lt/legalAct/TAR.E2CE2C82DA9E"/>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wmf"/>
  <Relationship Id="rId9" Type="http://schemas.openxmlformats.org/officeDocument/2006/relationships/control" Target="activeX/activeX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0bc62e372d41379ce5811ca9f3e6d9" PartId="0c40db201165404797c66f53efe3c46d">
    <Part Type="preambule" DocPartId="e75fccfb104043fea219371b8bf5c683" PartId="145c675190024fd49d1fd31c5e08209f"/>
    <Part Type="punktas" Nr="1" Abbr="1 p." DocPartId="0086dfa6749b4dd09df546c0912cfd07" PartId="058e9ed149b84781a3a4919d5b8a1e23"/>
    <Part Type="punktas" Nr="2" Abbr="2 p." DocPartId="5ce06fe1b4914fcda73af437633c7d14" PartId="645eedda35064634ac0b8ff731ec7c48"/>
    <Part Type="signatura" DocPartId="a4e62e79dea6457d97680c2938d7a99c" PartId="499339a6907d47b5b52603a8b075e384"/>
  </Part>
  <Part Type="patvirtinta" Title="23-IASIS VIEŠOJO SEKTORIAUS APSKAITOS IR FINANSINĖS ATSKAITOMYBĖS STANDARTAS „TARPINIŲ FINANSINIŲ ATASKAITŲ RINKINYS“" DocPartId="2babf10430a0425392fc5719e43ee176" PartId="c3091131f2d04ced8ffadc7fe60cb8b7">
    <Part Type="skyrius" Nr="1" Title="BENDROSIOS NUOSTATOS" DocPartId="0620bcb86c554d20b947022d5080f594" PartId="711cd71a6a424fc18692d23d17da35a7">
      <Part Type="punktas" Nr="1" Abbr="1 p." DocPartId="1e24dba4702b468bbde817ebf9c1e7ae" PartId="bff28b6470d4438883d0cf1573af377c"/>
      <Part Type="punktas" Nr="2" Abbr="2 p." DocPartId="9efd732b19bb4897a71b1f1310976c4e" PartId="d944425349934577abbdd0c6ceb3b090"/>
      <Part Type="punktas" Nr="3" Abbr="3 p." DocPartId="68a8bcb98c874396be961a66ab8bbe66" PartId="fee862c0464d49afad66e1a2a526d928"/>
      <Part Type="punktas" Nr="4" Abbr="4 p." DocPartId="8b0714bcdc4444e996b2629585689444" PartId="30fcef2a001946b3b44357dbd676c09a"/>
      <Part Type="punktas" Nr="5" Abbr="5 p." DocPartId="a71ae24aed82472083497d44346edc34" PartId="a6054c9727cd4b9f8a9e4ce061cd8b87"/>
      <Part Type="punktas" Nr="6" Abbr="6 p." DocPartId="ac8b1b7ec76e44c68351eac56f154c44" PartId="93612e4631cc4348bc3e43d8c37da00a"/>
    </Part>
    <Part Type="skyrius" Nr="2" Title="TARPINIŲ FINANSINIŲ ATASKAITŲ BENDRIEJI REIKALAVIMAI" DocPartId="f937ecf309a943e98ed13093e3f1269f" PartId="d5ea1a4aefab461a8cd8d111226a34ab">
      <Part Type="punktas" Nr="7" Abbr="7 p." DocPartId="bd2936fe43114f6fabdf9304198db8ad" PartId="3a4f01b5fbec4458bf5e21c684dd8eed"/>
      <Part Type="punktas" Nr="8" Abbr="8 p." DocPartId="4d0f343f20d848e2b03006b0fdc09e1c" PartId="e7e014f0177f4b9a970ac505a4ad7ef3"/>
      <Part Type="punktas" Nr="9" Abbr="9 p." DocPartId="94085713f3914ecaacc758979f7b5ce8" PartId="e9d5a45c1ced47aab12cfe1b855693dd"/>
      <Part Type="punktas" Nr="10" Abbr="10 p." DocPartId="8e0c3144a96b44fda367ddfefc946d79" PartId="56d7a0aaecff4071ada0e0fb33533697"/>
    </Part>
    <Part Type="skyrius" Nr="3" Title="TARPINIŲ FINANSINIŲ ATASKAITŲ RINKINIO SUDĖTIS" DocPartId="3ae9428bb22d433a8b2b1c0da9e2cfe6" PartId="d0acac0ac21c4ca0b219d94fa8c9c10e">
      <Part Type="punktas" Nr="11" Abbr="11 p." DocPartId="cf6fa4a54d61471db62cb3bcc7e06d7d" PartId="10ddd7637e614222a093cd3ff197b414">
        <Part Type="punktas" Nr="11.1" Abbr="11.1 p." DocPartId="7783dc8cbb0b4fa0bd0992d8c2a35d83" PartId="6429cebf51bd44eb93ab49889ec5e154"/>
        <Part Type="punktas" Nr="11.2" Abbr="11.2 p." DocPartId="5b74afa960524d1b82ed93236b11eb5f" PartId="5ea33d0359164e58ada5e6f4b923bf9d"/>
        <Part Type="punktas" Nr="11.3" Abbr="11.3 p." DocPartId="5fd585ee41a646fabde982bcd14b3f18" PartId="90198d7d71f245e18ba19d252beb1c96"/>
      </Part>
      <Part Type="punktas" Nr="12" Abbr="12 p." DocPartId="7eb22223ee7948d8a753ff5b0f1cd302" PartId="55d50559e71841b298810dab65fcf7e8"/>
      <Part Type="punktas" Nr="13" Abbr="13 p." DocPartId="ded7374ae90f4c1ab5b31b96685f803a" PartId="e00046e0aa5f41608b2f4b0217d1fd71"/>
    </Part>
    <Part Type="skyrius" Nr="4" Title="SUTRUMPINTO AIŠKINAMOJO RAŠTO REIKALAVIMAI" DocPartId="e500f0f42186436faebcd91e618fbfa3" PartId="d12fb2626ad748718ee49891cbdad02c">
      <Part Type="punktas" Nr="14" Abbr="14 p." DocPartId="a0038f3b145046a589c2393a30aaf95d" PartId="f18eeba065604ddda312979e56fe8b30">
        <Part Type="punktas" Nr="14.1" Abbr="14.1 p." DocPartId="f2b06cd3ae9441febe49bb7a2a59435d" PartId="00c298d673254ab59c0b58e859f8454d"/>
        <Part Type="punktas" Nr="14.2" Abbr="14.2 p." DocPartId="1451a98ec4df46a8a3a693d53ad71ba8" PartId="a3c9e68025ba4f9799d8683ec955a29a"/>
        <Part Type="punktas" Nr="14.3" Abbr="14.3 p." DocPartId="c13fcd370a5345be8df77c4de05e874d" PartId="67946118341f409b88ad6fcd3772d5f4"/>
      </Part>
      <Part Type="punktas" Nr="15" Abbr="15 p." DocPartId="2d299c2d7438445daa2ea1654ba2a94d" PartId="7de00f9d75bd4ac3a3aece9aed4bcafc">
        <Part Type="punktas" Nr="15.1" Abbr="15.1 p." DocPartId="d4626f998c6a4c4aa087fc888a05bbd1" PartId="c0fae9e50327415d93422c2108855b0f"/>
        <Part Type="punktas" Nr="15.2" Abbr="15.2 p." DocPartId="b36c0592bc604d2db3cad28973f085d3" PartId="19dd464063994a9d9a276d109eb7dcb6"/>
        <Part Type="punktas" Nr="15.3" Abbr="15.3 p." DocPartId="aa5f1732a38c41bf851652a21a4fe3ec" PartId="ae3869a089f34522bd8b52cbe9a61db9"/>
        <Part Type="punktas" Nr="15.4" Abbr="15.4 p." DocPartId="3bb236c7e21d42f191f285a560fc3030" PartId="b86ac7183dec4582b8e3c78071816dbd"/>
        <Part Type="punktas" Nr="15.5" Abbr="15.5 p." DocPartId="c25d49650eef4fc989b7d1e115e11e9c" PartId="1a51b5dccb4c450b885e37ff7c074d41"/>
      </Part>
      <Part Type="punktas" Nr="16" Abbr="16 p." DocPartId="6af573ff4a7b40eba0c5a0b461de4320" PartId="482a8ca354f14b52a6fde52b23fa1199"/>
      <Part Type="punktas" Nr="17" Abbr="17 p." DocPartId="2996af0db6334369b3d01aaa4ded95b3" PartId="1b57e39287b547159599097b697c1366"/>
      <Part Type="punktas" Nr="18" Abbr="18 p." DocPartId="92d5c4901b5143069bb59e51615fbeb1" PartId="418970adee8740de9f209845198e8649">
        <Part Type="punktas" Nr="18.1" Abbr="18.1 p." DocPartId="78925d70b54449cfb957f467ac889397" PartId="ac750bf6f1b242c5bb1398001018f139"/>
        <Part Type="punktas" Nr="18.2" Abbr="18.2 p." DocPartId="fb654d416c3c463d9750f753d296edfd" PartId="03289f1502744682b24f61dd82500105"/>
        <Part Type="punktas" Nr="18.3" Abbr="18.3 p." DocPartId="c3c81b98ebd446199fc4984d45e291e1" PartId="b40502280dd44d0e989ad8104e12006c"/>
        <Part Type="punktas" Nr="18.4" Abbr="18.4 p." DocPartId="565591d4f34945f68fef946753a0cd64" PartId="1e37a08f2e454d98a0bf0c0642e2c41f"/>
        <Part Type="punktas" Nr="18.5" Abbr="18.5 p." DocPartId="2f1bcee900124ec6b33dd641abc6d894" PartId="0950e847cdac419fa60e697d62747145"/>
      </Part>
      <Part Type="punktas" Nr="19" Abbr="19 p." DocPartId="48cac15684134771bfaa51821d7c1452" PartId="0ce9b6f8b3dc4ec78095f58c0083fa21"/>
    </Part>
    <Part Type="skyrius" Nr="5" Title="BAIGIAMOSIOS NUOSTATOS" DocPartId="10386de4f9714120bd7a630ea337f76a" PartId="4e646c6f47d84c51b47ea0d7b8050438">
      <Part Type="punktas" Nr="20" Abbr="20 p." DocPartId="d229f75e7b4b4813bdf434cde0bdce3c" PartId="fe24ac92692549249f03e59c3a0c8f59">
        <Part Type="punktas" Nr="20.1" Abbr="20.1 p." DocPartId="52276d7b66524771ae2f4a65f6e48bd1" PartId="8f469b38620546af9671d3a971830389"/>
        <Part Type="punktas" Nr="20.2" Abbr="20.2 p." DocPartId="9176fa09da854f719e4c9d61667f4b5c" PartId="a9fb5e19a7c24d9f8057a6d3b7144b4b"/>
      </Part>
      <Part Type="punktas" Nr="21" Abbr="21 p." DocPartId="1658fcca4e2b41d58de56c044d826d29" PartId="a6869b365d454dd7967cd733631b0c9f"/>
      <Part Type="punktas" Nr="22" Abbr="22 p." DocPartId="5904f8a98dfa4a7492cd67b9852893c7" PartId="5b50f089428042979979488530a3eb39"/>
      <Part Type="punktas" Nr="23" Abbr="23 p." DocPartId="f7435fa129684748908d2c06ce1b1237" PartId="b88137a8a68a46e6b76fd63cdcea356d"/>
    </Part>
  </Part>
</Parts>
</file>

<file path=customXml/itemProps1.xml><?xml version="1.0" encoding="utf-8"?>
<ds:datastoreItem xmlns:ds="http://schemas.openxmlformats.org/officeDocument/2006/customXml" ds:itemID="{FB24AB0A-9156-4A1F-94B5-92DC963AD831}">
  <ds:schemaRefs>
    <ds:schemaRef ds:uri="http://lrs.lt/TAIS/DocParts"/>
  </ds:schemaRefs>
</ds:datastoreItem>
</file>

<file path=docProps/app.xml><?xml version="1.0" encoding="utf-8"?>
<Properties xmlns="http://schemas.openxmlformats.org/officeDocument/2006/extended-properties">
  <Template>Normal.dotm</Template>
  <TotalTime>1</TotalTime>
  <Pages>7</Pages>
  <Words>12515</Words>
  <Characters>7134</Characters>
  <Application>Microsoft Office Word</Application>
  <DocSecurity>0</DocSecurity>
  <Lines>59</Lines>
  <Paragraphs>39</Paragraphs>
  <ScaleCrop>false</ScaleCrop>
  <Company/>
  <LinksUpToDate>false</LinksUpToDate>
  <CharactersWithSpaces>19610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2015-09-25T18:02:00Z</dcterms:created>
  <dc:creator>Rima</dc:creator>
  <lastModifiedBy>ŠAULYTĖ SKAIRIENĖ Dalia</lastModifiedBy>
  <dcterms:modified xsi:type="dcterms:W3CDTF">2015-10-06T06:11:00Z</dcterms:modified>
  <revision>5</revision>
  <dc:title>LIETUVOS RESPUBLIKOS FINANSŲ MINISTRO</dc:title>
</coreProperties>
</file>