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9318351232e4fe0985efb8a070026ac"/>
        <w:lock w:val="sdtLocked"/>
        <w:richText/>
      </w:sdtPr>
      <w:sdtContent>
        <w:p>
          <w:pPr>
            <w:jc w:val="both"/>
            <w:rPr>
              <w:rFonts w:ascii="Times New Roman" w:hAnsi="Times New Roman"/>
            </w:rPr>
          </w:pPr>
          <w:r>
            <w:rPr>
              <w:rFonts w:ascii="Times New Roman" w:hAnsi="Times New Roman"/>
              <w:b/>
              <w:i/>
            </w:rPr>
            <w:t>Suvestinė redakcija nuo 2026-01-13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2026-01-13:</w:t>
          </w:r>
        </w:p>
        <w:p>
          <w:pPr>
            <w:rPr>
              <w:rFonts w:ascii="Times New Roman" w:hAnsi="Times New Roman"/>
              <w:sz w:val="20"/>
              <w:i/>
            </w:rPr>
          </w:pPr>
          <w:r>
            <w:rPr>
              <w:rFonts w:ascii="Times New Roman" w:hAnsi="Times New Roman"/>
              <w:sz w:val="20"/>
              <w:i/>
            </w:rPr>
            <w:t xml:space="preserve">Nr. </w:t>
          </w:r>
          <w:fldSimple w:instr="HYPERLINK https://www.e-tar.lt/portal/legalAct.html?documentId=ad54dfd4ef9d11f09cfce49e7aeb76fe">
            <w:r w:rsidRPr="00532B9F">
              <w:rPr>
                <w:rFonts w:ascii="Times New Roman" w:eastAsia="MS Mincho" w:hAnsi="Times New Roman"/>
                <w:sz w:val="20"/>
                <w:i/>
                <w:iCs/>
                <w:color w:val="0000FF" w:themeColor="hyperlink"/>
                <w:u w:val="single"/>
              </w:rPr>
              <w:t>1K-9</w:t>
            </w:r>
          </w:fldSimple>
          <w:r>
            <w:rPr>
              <w:rFonts w:ascii="Times New Roman" w:eastAsia="MS Mincho" w:hAnsi="Times New Roman"/>
              <w:sz w:val="20"/>
              <w:i/>
              <w:iCs/>
            </w:rPr>
            <w:t>,
2026-01-12,
paskelbta TAR 2026-01-12, i. k. 2026-00337                </w:t>
          </w:r>
        </w:p>
        <w:p>
          <w:pPr>
            <w:rPr>
              <w:rFonts w:ascii="Times New Roman" w:hAnsi="Times New Roman"/>
              <w:sz w:val="22"/>
            </w:rPr>
          </w:pPr>
        </w:p>
        <w:p>
          <w:pPr>
            <w:widowControl w:val="0"/>
            <w:jc w:val="center"/>
            <w:rPr>
              <w:b/>
              <w:bCs/>
              <w:szCs w:val="24"/>
            </w:rPr>
          </w:pPr>
          <w:r>
            <w:rPr>
              <w:szCs w:val="24"/>
              <w:lang w:eastAsia="ko-K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24"/>
            </w:rPr>
            <w:t>LIETUVOS RESPUBLIKOS FINANSŲ MINISTRAS</w:t>
          </w:r>
        </w:p>
        <w:p>
          <w:pPr>
            <w:widowControl w:val="0"/>
            <w:rPr>
              <w:b/>
              <w:bCs/>
              <w:spacing w:val="60"/>
              <w:szCs w:val="24"/>
            </w:rPr>
          </w:pPr>
        </w:p>
        <w:p>
          <w:pPr>
            <w:widowControl w:val="0"/>
            <w:jc w:val="center"/>
            <w:rPr>
              <w:b/>
              <w:bCs/>
              <w:szCs w:val="24"/>
            </w:rPr>
          </w:pPr>
          <w:r>
            <w:rPr>
              <w:b/>
              <w:bCs/>
              <w:szCs w:val="24"/>
            </w:rPr>
            <w:t>ĮSAKYMAS</w:t>
          </w:r>
        </w:p>
        <w:p>
          <w:pPr>
            <w:widowControl w:val="0"/>
            <w:jc w:val="center"/>
            <w:rPr>
              <w:b/>
              <w:bCs/>
              <w:szCs w:val="24"/>
            </w:rPr>
          </w:pPr>
          <w:r>
            <w:rPr>
              <w:b/>
              <w:bCs/>
              <w:szCs w:val="24"/>
            </w:rPr>
            <w:t>DĖL 23-IOJO VIEŠOJO SEKTORIAUS APSKAITOS IR FINANSINĖS ATSKAITOMYBĖS STANDARTO PATVIRTINIMO</w:t>
          </w:r>
        </w:p>
        <w:p>
          <w:pPr>
            <w:widowControl w:val="0"/>
            <w:jc w:val="center"/>
            <w:rPr>
              <w:b/>
              <w:bCs/>
              <w:szCs w:val="24"/>
            </w:rPr>
          </w:pPr>
        </w:p>
        <w:p>
          <w:pPr>
            <w:widowControl w:val="0"/>
            <w:jc w:val="center"/>
          </w:pPr>
          <w:r>
            <w:t>2008 m. birželio 11 d. Nr. 1K-213</w:t>
          </w:r>
        </w:p>
        <w:p>
          <w:pPr>
            <w:widowControl w:val="0"/>
            <w:jc w:val="center"/>
            <w:rPr>
              <w:szCs w:val="24"/>
            </w:rPr>
          </w:pPr>
          <w:r>
            <w:t>Vilnius</w:t>
          </w:r>
        </w:p>
        <w:p>
          <w:pPr>
            <w:tabs>
              <w:tab w:val="left" w:pos="851"/>
              <w:tab w:val="left" w:pos="993"/>
              <w:tab w:val="left" w:pos="1276"/>
            </w:tabs>
            <w:ind w:right="283"/>
            <w:jc w:val="both"/>
            <w:rPr>
              <w:szCs w:val="24"/>
              <w:lang w:eastAsia="lt-LT"/>
            </w:rPr>
          </w:pPr>
        </w:p>
        <w:sdt>
          <w:sdtPr>
            <w:alias w:val="preambule"/>
            <w:tag w:val="part_3d61f8681cb54e62b5570ac4eedfdc2e"/>
            <w:lock w:val="sdtLocked"/>
            <w:richText/>
          </w:sdtPr>
          <w:sdtContent>
            <w:p>
              <w:pPr>
                <w:ind w:firstLine="709"/>
                <w:jc w:val="both"/>
                <w:rPr>
                  <w:szCs w:val="24"/>
                </w:rPr>
              </w:pPr>
              <w:r>
                <w:rPr>
                  <w:szCs w:val="24"/>
                </w:rPr>
                <w:t>Vadovaudamasis Lietuvos Respublikos finansinės apskaitos įstatymo 12 straipsnio 2 dalimi,</w:t>
              </w:r>
            </w:p>
          </w:sdtContent>
        </w:sdt>
        <w:sdt>
          <w:sdtPr>
            <w:alias w:val="pastraipa"/>
            <w:tag w:val="part_3f75425f08a746e8b1bc830d5590f51f"/>
            <w:lock w:val="sdtLocked"/>
            <w:richText/>
          </w:sdtPr>
          <w:sdtContent>
            <w:p>
              <w:pPr>
                <w:ind w:firstLine="709"/>
                <w:jc w:val="both"/>
              </w:pPr>
              <w:r>
                <w:rPr>
                  <w:spacing w:val="60"/>
                  <w:szCs w:val="24"/>
                </w:rPr>
                <w:t>tvirtinu</w:t>
              </w:r>
              <w:r>
                <w:rPr>
                  <w:szCs w:val="24"/>
                </w:rPr>
                <w:t xml:space="preserve"> 23-iąjį viešojo</w:t>
              </w:r>
              <w:r>
                <w:t xml:space="preserve"> sektoriaus apskaitos ir finansinės atskaitomybės standartą „</w:t>
              </w:r>
              <w:r>
                <w:rPr>
                  <w:bCs/>
                </w:rPr>
                <w:t>Tarpinių finansinių ataskaitų rinkinys</w:t>
              </w:r>
              <w:r>
                <w:t xml:space="preserve">“ (pridedama). </w:t>
              </w:r>
            </w:p>
          </w:sdtContent>
        </w:sdt>
        <w:sdt>
          <w:sdtPr>
            <w:alias w:val="signatura"/>
            <w:tag w:val="part_6955dc4a7b7d479393237ba8f5ad7ae5"/>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p/>
      </w:sdtContent>
    </w:sdt>
    <w:sdt>
      <w:sdtPr>
        <w:alias w:val="patvirtinta"/>
        <w:tag w:val="part_d0cff224b2554c6992e9471ddc8bea77"/>
        <w:lock w:val="sdtLocked"/>
        <w:richText/>
      </w:sdtPr>
      <w:sdtContent>
        <w:p>
          <w:pPr>
            <w:widowControl w:val="0"/>
            <w:suppressAutoHyphens/>
            <w:ind w:left="4536" w:right="28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1" w:footer="686" w:gutter="0"/>
              <w:pgNumType w:start="1"/>
              <w:cols w:space="1296"/>
              <w:formProt w:val="0"/>
              <w:titlePg/>
            </w:sectPr>
          </w:pPr>
        </w:p>
        <w:p>
          <w:pPr>
            <w:widowControl w:val="0"/>
            <w:suppressAutoHyphens/>
            <w:ind w:left="4536" w:right="283"/>
            <w:rPr>
              <w:color w:val="000000"/>
              <w:lang w:eastAsia="lt-LT"/>
            </w:rPr>
          </w:pPr>
          <w:r>
            <w:rPr>
              <w:color w:val="000000"/>
              <w:lang w:eastAsia="lt-LT"/>
            </w:rPr>
            <w:t>PATVIRTINTA</w:t>
          </w:r>
        </w:p>
        <w:p>
          <w:pPr>
            <w:widowControl w:val="0"/>
            <w:suppressAutoHyphens/>
            <w:ind w:left="4536" w:right="283"/>
            <w:rPr>
              <w:color w:val="000000"/>
              <w:lang w:eastAsia="lt-LT"/>
            </w:rPr>
          </w:pPr>
          <w:r>
            <w:rPr>
              <w:color w:val="000000"/>
              <w:lang w:eastAsia="lt-LT"/>
            </w:rPr>
            <w:t>Lietuvos Respublikos finansų ministro</w:t>
          </w:r>
        </w:p>
        <w:p>
          <w:pPr>
            <w:widowControl w:val="0"/>
            <w:suppressAutoHyphens/>
            <w:ind w:left="4536" w:right="283"/>
            <w:rPr>
              <w:color w:val="000000"/>
              <w:lang w:eastAsia="lt-LT"/>
            </w:rPr>
          </w:pPr>
          <w:r>
            <w:rPr>
              <w:color w:val="000000"/>
              <w:lang w:eastAsia="lt-LT"/>
            </w:rPr>
            <w:t>2008 m. birželio 11 d. įsakymu Nr. 1K-213</w:t>
          </w:r>
        </w:p>
        <w:p>
          <w:pPr>
            <w:widowControl w:val="0"/>
            <w:suppressAutoHyphens/>
            <w:ind w:left="4536" w:right="283"/>
            <w:rPr>
              <w:color w:val="000000"/>
              <w:lang w:eastAsia="lt-LT"/>
            </w:rPr>
          </w:pPr>
          <w:r>
            <w:rPr>
              <w:color w:val="000000"/>
              <w:lang w:eastAsia="lt-LT"/>
            </w:rPr>
            <w:t>(Lietuvos Respublikos finansų ministro</w:t>
          </w:r>
        </w:p>
        <w:p>
          <w:pPr>
            <w:widowControl w:val="0"/>
            <w:suppressAutoHyphens/>
            <w:ind w:left="4536" w:right="283"/>
            <w:rPr>
              <w:color w:val="000000"/>
              <w:lang w:eastAsia="lt-LT"/>
            </w:rPr>
          </w:pPr>
          <w:r>
            <w:rPr>
              <w:color w:val="000000"/>
              <w:lang w:eastAsia="lt-LT"/>
            </w:rPr>
            <w:t xml:space="preserve">2026 m. sausio 12 d. įsakymo Nr. 1K-9 </w:t>
          </w:r>
        </w:p>
        <w:p>
          <w:pPr>
            <w:widowControl w:val="0"/>
            <w:suppressAutoHyphens/>
            <w:ind w:left="4536" w:right="283"/>
            <w:rPr>
              <w:color w:val="000000"/>
              <w:lang w:eastAsia="lt-LT"/>
            </w:rPr>
          </w:pPr>
          <w:r>
            <w:rPr>
              <w:color w:val="000000"/>
              <w:lang w:eastAsia="lt-LT"/>
            </w:rPr>
            <w:t>redakcija)</w:t>
          </w:r>
        </w:p>
        <w:p>
          <w:pPr>
            <w:widowControl w:val="0"/>
            <w:suppressAutoHyphens/>
            <w:ind w:right="283" w:firstLine="567"/>
            <w:jc w:val="both"/>
            <w:rPr>
              <w:color w:val="000000"/>
              <w:lang w:eastAsia="lt-LT"/>
            </w:rPr>
          </w:pPr>
        </w:p>
        <w:sdt>
          <w:sdtPr>
            <w:alias w:val="Pavadinimas"/>
            <w:tag w:val="title_d0cff224b2554c6992e9471ddc8bea77"/>
            <w:lock w:val="sdtLocked"/>
            <w:richText/>
          </w:sdtPr>
          <w:sdtContent>
            <w:p>
              <w:pPr>
                <w:widowControl w:val="0"/>
                <w:suppressAutoHyphens/>
                <w:ind w:right="283"/>
                <w:jc w:val="center"/>
                <w:rPr>
                  <w:b/>
                  <w:bCs/>
                  <w:caps/>
                  <w:color w:val="000000"/>
                  <w:lang w:eastAsia="lt-LT"/>
                </w:rPr>
              </w:pPr>
              <w:r>
                <w:rPr>
                  <w:b/>
                  <w:bCs/>
                  <w:caps/>
                  <w:color w:val="000000"/>
                  <w:lang w:eastAsia="lt-LT"/>
                </w:rPr>
                <w:t xml:space="preserve">23-IASIS VIEŠOJO SEKTORIAUS APSKAITOS IR FINANSINĖS ATSKAITOMYBĖS </w:t>
              </w:r>
            </w:p>
            <w:p>
              <w:pPr>
                <w:widowControl w:val="0"/>
                <w:suppressAutoHyphens/>
                <w:ind w:right="283"/>
                <w:jc w:val="center"/>
                <w:rPr>
                  <w:b/>
                  <w:bCs/>
                  <w:caps/>
                  <w:color w:val="000000"/>
                  <w:lang w:eastAsia="lt-LT"/>
                </w:rPr>
              </w:pPr>
              <w:r>
                <w:rPr>
                  <w:b/>
                  <w:bCs/>
                  <w:caps/>
                  <w:color w:val="000000"/>
                  <w:lang w:eastAsia="lt-LT"/>
                </w:rPr>
                <w:t>STANDARTAS „TARPINIŲ FINANSINIŲ ATASKAITŲ RINKINYS“</w:t>
              </w:r>
            </w:p>
          </w:sdtContent>
        </w:sdt>
        <w:p>
          <w:pPr>
            <w:widowControl w:val="0"/>
            <w:suppressAutoHyphens/>
            <w:ind w:right="283" w:firstLine="567"/>
            <w:jc w:val="both"/>
            <w:rPr>
              <w:color w:val="000000"/>
              <w:lang w:eastAsia="lt-LT"/>
            </w:rPr>
          </w:pPr>
        </w:p>
        <w:sdt>
          <w:sdtPr>
            <w:alias w:val="skyrius"/>
            <w:tag w:val="part_7385803961bf407da53a0be71aa1528e"/>
            <w:lock w:val="sdtLocked"/>
            <w:richText/>
          </w:sdtPr>
          <w:sdtContent>
            <w:p>
              <w:pPr>
                <w:widowControl w:val="0"/>
                <w:suppressAutoHyphens/>
                <w:ind w:right="283"/>
                <w:jc w:val="center"/>
                <w:rPr>
                  <w:b/>
                  <w:bCs/>
                  <w:caps/>
                  <w:color w:val="000000"/>
                  <w:lang w:eastAsia="lt-LT"/>
                </w:rPr>
              </w:pPr>
              <w:sdt>
                <w:sdtPr>
                  <w:alias w:val="Numeris"/>
                  <w:tag w:val="nr_7385803961bf407da53a0be71aa1528e"/>
                  <w:lock w:val="sdtLocked"/>
                  <w:richText/>
                </w:sdtPr>
                <w:sdtContent>
                  <w:r>
                    <w:rPr>
                      <w:b/>
                      <w:bCs/>
                      <w:caps/>
                      <w:color w:val="000000"/>
                      <w:lang w:eastAsia="lt-LT"/>
                    </w:rPr>
                    <w:t>I</w:t>
                  </w:r>
                </w:sdtContent>
              </w:sdt>
              <w:r>
                <w:rPr>
                  <w:b/>
                  <w:bCs/>
                  <w:caps/>
                  <w:color w:val="000000"/>
                  <w:lang w:eastAsia="lt-LT"/>
                </w:rPr>
                <w:t xml:space="preserve"> SKYRIUS</w:t>
              </w:r>
            </w:p>
            <w:p>
              <w:pPr>
                <w:widowControl w:val="0"/>
                <w:suppressAutoHyphens/>
                <w:ind w:right="283"/>
                <w:jc w:val="center"/>
                <w:rPr>
                  <w:b/>
                  <w:bCs/>
                  <w:caps/>
                  <w:color w:val="000000"/>
                  <w:lang w:eastAsia="lt-LT"/>
                </w:rPr>
              </w:pPr>
              <w:sdt>
                <w:sdtPr>
                  <w:alias w:val="Pavadinimas"/>
                  <w:tag w:val="title_7385803961bf407da53a0be71aa1528e"/>
                  <w:lock w:val="sdtLocked"/>
                  <w:richText/>
                </w:sdtPr>
                <w:sdtContent>
                  <w:r>
                    <w:rPr>
                      <w:b/>
                      <w:bCs/>
                      <w:caps/>
                      <w:color w:val="000000"/>
                      <w:lang w:eastAsia="lt-LT"/>
                    </w:rPr>
                    <w:t>BENDROSIOS NUOSTATOS</w:t>
                  </w:r>
                </w:sdtContent>
              </w:sdt>
            </w:p>
            <w:p>
              <w:pPr>
                <w:widowControl w:val="0"/>
                <w:suppressAutoHyphens/>
                <w:ind w:right="283" w:firstLine="567"/>
                <w:jc w:val="both"/>
                <w:rPr>
                  <w:color w:val="000000"/>
                  <w:lang w:eastAsia="lt-LT"/>
                </w:rPr>
              </w:pPr>
            </w:p>
            <w:sdt>
              <w:sdtPr>
                <w:alias w:val="1 p."/>
                <w:tag w:val="part_67a0d5940e724ff2ade221615559c68d"/>
                <w:lock w:val="sdtLocked"/>
                <w:richText/>
              </w:sdtPr>
              <w:sdtContent>
                <w:p>
                  <w:pPr>
                    <w:widowControl w:val="0"/>
                    <w:tabs>
                      <w:tab w:val="left" w:pos="567"/>
                      <w:tab w:val="left" w:pos="993"/>
                    </w:tabs>
                    <w:suppressAutoHyphens/>
                    <w:ind w:right="283" w:firstLine="567"/>
                    <w:jc w:val="both"/>
                    <w:rPr>
                      <w:color w:val="000000"/>
                      <w:lang w:eastAsia="lt-LT"/>
                    </w:rPr>
                  </w:pPr>
                  <w:sdt>
                    <w:sdtPr>
                      <w:alias w:val="Numeris"/>
                      <w:tag w:val="nr_67a0d5940e724ff2ade221615559c68d"/>
                      <w:lock w:val="sdtLocked"/>
                      <w:richText/>
                    </w:sdtPr>
                    <w:sdtContent>
                      <w:r>
                        <w:rPr>
                          <w:color w:val="000000"/>
                        </w:rPr>
                        <w:t>1</w:t>
                      </w:r>
                    </w:sdtContent>
                  </w:sdt>
                  <w:r>
                    <w:rPr>
                      <w:color w:val="000000"/>
                    </w:rPr>
                    <w:t>.</w:t>
                    <w:tab/>
                  </w:r>
                  <w:r>
                    <w:rPr>
                      <w:color w:val="000000"/>
                      <w:lang w:eastAsia="lt-LT"/>
                    </w:rPr>
                    <w:t>23-iajame viešojo sektoriaus apskaitos ir finansinės atskaitomybės standarte „Tarpinių finansinių ataskaitų rinkinys“ (toliau – Standartas) nustatoma tarpinių finansinių ataskaitų rinkinio sudėtis, bendrieji reikalavimai, tarpinių finansinių ataskaitų sutrumpinto aiškinamojo rašto (toliau – sutrumpintas aiškinamasis raštas), jo teikimo ir skelbimo reikalavimai</w:t>
                  </w:r>
                  <w:r>
                    <w:rPr>
                      <w:lang w:eastAsia="lt-LT"/>
                    </w:rPr>
                    <w:t>.</w:t>
                  </w:r>
                </w:p>
              </w:sdtContent>
            </w:sdt>
            <w:sdt>
              <w:sdtPr>
                <w:alias w:val="2 p."/>
                <w:tag w:val="part_1c25e9a4070c4ee88a592da4fb7a8583"/>
                <w:lock w:val="sdtLocked"/>
                <w:richText/>
              </w:sdtPr>
              <w:sdtContent>
                <w:p>
                  <w:pPr>
                    <w:widowControl w:val="0"/>
                    <w:tabs>
                      <w:tab w:val="left" w:pos="567"/>
                      <w:tab w:val="left" w:pos="993"/>
                    </w:tabs>
                    <w:suppressAutoHyphens/>
                    <w:ind w:right="283" w:firstLine="567"/>
                    <w:jc w:val="both"/>
                    <w:rPr>
                      <w:color w:val="000000"/>
                      <w:lang w:eastAsia="lt-LT"/>
                    </w:rPr>
                  </w:pPr>
                  <w:sdt>
                    <w:sdtPr>
                      <w:alias w:val="Numeris"/>
                      <w:tag w:val="nr_1c25e9a4070c4ee88a592da4fb7a8583"/>
                      <w:lock w:val="sdtLocked"/>
                      <w:richText/>
                    </w:sdtPr>
                    <w:sdtContent>
                      <w:r>
                        <w:rPr>
                          <w:color w:val="000000"/>
                        </w:rPr>
                        <w:t>2</w:t>
                      </w:r>
                    </w:sdtContent>
                  </w:sdt>
                  <w:r>
                    <w:rPr>
                      <w:color w:val="000000"/>
                    </w:rPr>
                    <w:t>.</w:t>
                    <w:tab/>
                  </w:r>
                  <w:r>
                    <w:rPr>
                      <w:color w:val="000000"/>
                      <w:lang w:eastAsia="lt-LT"/>
                    </w:rPr>
                    <w:t>Tarpinių finansinių ataskaitų rinkinio rengimo reikalavimai yra tokie patys, kaip nustatyta 2-ajame viešojo sektoriaus apskaitos ir finansinės atskaitomybės standarte „Finansinės būklės ataskaita“, patvirtintame Lietuvos Respublikos finansų ministro 2007 m. gruodžio 19 d. įsakymu Nr. 1K-378 „Dėl 2-ojo viešojo sektoriaus apskaitos ir finansinės atskaitomybės standarto patvirtinimo“, (toliau – 2-asis VSAFAS „Finansinės būklės ataskaita“) ir 3-iajame viešojo sektoriaus apskaitos ir finansinės atskaitomybės standarte „Veiklos rezultatų ataskaita“, patvirtintame Lietuvos Respublikos finansų ministro 2007 m. gruodžio 19 d. įsakymu Nr. 1K-379 „Dėl 3-iojo viešojo sektoriaus apskaitos ir finansinės atskaitomybės standarto patvirtinimo“, (toliau – 3-iasis VSAFAS „Veiklos rezultatų ataskaita“).</w:t>
                  </w:r>
                </w:p>
              </w:sdtContent>
            </w:sdt>
            <w:sdt>
              <w:sdtPr>
                <w:alias w:val="3 p."/>
                <w:tag w:val="part_a10058b081db4fb3836f23e346d8e0e3"/>
                <w:lock w:val="sdtLocked"/>
                <w:richText/>
              </w:sdtPr>
              <w:sdtContent>
                <w:p>
                  <w:pPr>
                    <w:widowControl w:val="0"/>
                    <w:tabs>
                      <w:tab w:val="left" w:pos="0"/>
                      <w:tab w:val="left" w:pos="567"/>
                      <w:tab w:val="left" w:pos="993"/>
                      <w:tab w:val="left" w:pos="2977"/>
                    </w:tabs>
                    <w:suppressAutoHyphens/>
                    <w:ind w:right="283" w:firstLine="567"/>
                    <w:jc w:val="both"/>
                    <w:rPr>
                      <w:color w:val="000000"/>
                      <w:lang w:eastAsia="lt-LT"/>
                    </w:rPr>
                  </w:pPr>
                  <w:sdt>
                    <w:sdtPr>
                      <w:alias w:val="Numeris"/>
                      <w:tag w:val="nr_a10058b081db4fb3836f23e346d8e0e3"/>
                      <w:lock w:val="sdtLocked"/>
                      <w:richText/>
                    </w:sdtPr>
                    <w:sdtContent>
                      <w:r>
                        <w:rPr>
                          <w:color w:val="000000"/>
                        </w:rPr>
                        <w:t>3</w:t>
                      </w:r>
                    </w:sdtContent>
                  </w:sdt>
                  <w:r>
                    <w:rPr>
                      <w:color w:val="000000"/>
                    </w:rPr>
                    <w:t>.</w:t>
                    <w:tab/>
                  </w:r>
                  <w:r>
                    <w:rPr>
                      <w:color w:val="000000"/>
                      <w:lang w:eastAsia="lt-LT"/>
                    </w:rPr>
                    <w:t xml:space="preserve">Standartas taikomas viešojo sektoriaus subjektui, rengiančiam žemesniojo lygio atskirų tarpinių finansinių ataskaitų rinkinį. Standartas išteklių fondams, mokesčių fondams ir fondų fondams taikomas tiek, kiek 26-ajame viešojo sektoriaus apskaitos ir finansinės atskaitomybės standarte „Fondų apskaita ir finansinių ataskaitų rinkinys“, patvirtintame Lietuvos Respublikos finansų ministro 2007 m. gruodžio 7 d. įsakymu Nr. 1K-357 „Dėl 26-ojo viešojo sektoriaus apskaitos ir finansinės atskaitomybės standarto patvirtinimo“, 29-ajame viešojo sektoriaus apskaitos ir finansinės atskaitomybės standarte „Pensijų anuitetų fondo apskaita ir ataskaitų rinkinys“, patvirtintame Lietuvos Respublikos finansų ministro 2020 m. gruodžio 8 d. įsakymu Nr. 1K-423 „Dėl viešojo sektoriaus apskaitos ir finansinės atskaitomybės 29-ojo standarto patvirtinimo“, ir 32-ajame viešojo sektoriaus apskaitos ir finansinės atskaitomybės standarte „Valstybės socialinių fondų ataskaitų rinkiniai“, patvirtintame Lietuvos Respublikos finansų ministro 2025 m. liepos 29 d. įsakymu Nr. 1K-172 „Dėl 32-ojo viešojo sektoriaus apskaitos ir finansinės atskaitomybės standarto patvirtinimo“, nenustatyta kitaip. </w:t>
                  </w:r>
                  <w:r>
                    <w:rPr>
                      <w:color w:val="000000"/>
                      <w:spacing w:val="-1"/>
                      <w:lang w:eastAsia="lt-LT"/>
                    </w:rPr>
                    <w:t xml:space="preserve">Jeigu viešojo sektoriaus subjektas, rengiantis viešojo sektoriaus subjektų grupės žemesniojo lygio finansinių ataskaitų rinkinį, nusprendžia rengti viešojo sektoriaus subjektų grupės tarpinių finansinių ataskaitų rinkinį pats arba to reikalaujama pagal teisės aktus, reglamentuojančius viešojo sektoriaus subjekto veiklą, viešojo sektoriaus subjektas jį rengia vadovaudamasis Standartu ir 15-uoju </w:t>
                  </w:r>
                  <w:r>
                    <w:rPr>
                      <w:color w:val="000000"/>
                      <w:lang w:eastAsia="lt-LT"/>
                    </w:rPr>
                    <w:t xml:space="preserve">viešojo sektoriaus apskaitos ir finansinės atskaitomybės </w:t>
                  </w:r>
                  <w:r>
                    <w:rPr>
                      <w:szCs w:val="24"/>
                      <w:lang w:eastAsia="lt-LT"/>
                    </w:rPr>
                    <w:t>standartu „Konsoliduotųjų finansinių ataskaitų rinkinys ir investicijos į kontroliuojamus subjektus“, patvirtintu Lietuvos Respublikos finansų ministro 2008 m. gruodžio 9 d. įsakymu Nr. 1K-433 „Dėl viešojo sektoriaus apskaitos ir finansinės atskaitomybės 15-ojo standarto patvirtinimo“.</w:t>
                  </w:r>
                  <w:r>
                    <w:rPr>
                      <w:lang w:eastAsia="lt-LT"/>
                    </w:rPr>
                    <w:t xml:space="preserve"> </w:t>
                  </w:r>
                </w:p>
              </w:sdtContent>
            </w:sdt>
            <w:sdt>
              <w:sdtPr>
                <w:alias w:val="4 p."/>
                <w:tag w:val="part_546e788375884157b443b6d68661f81d"/>
                <w:lock w:val="sdtLocked"/>
                <w:richText/>
              </w:sdtPr>
              <w:sdtContent>
                <w:p>
                  <w:pPr>
                    <w:widowControl w:val="0"/>
                    <w:suppressAutoHyphens/>
                    <w:ind w:right="283" w:firstLine="567"/>
                    <w:jc w:val="both"/>
                    <w:rPr>
                      <w:color w:val="000000"/>
                      <w:lang w:eastAsia="lt-LT"/>
                    </w:rPr>
                  </w:pPr>
                  <w:sdt>
                    <w:sdtPr>
                      <w:alias w:val="Numeris"/>
                      <w:tag w:val="nr_546e788375884157b443b6d68661f81d"/>
                      <w:lock w:val="sdtLocked"/>
                      <w:richText/>
                    </w:sdtPr>
                    <w:sdtContent>
                      <w:r>
                        <w:rPr>
                          <w:color w:val="000000"/>
                        </w:rPr>
                        <w:t>4</w:t>
                      </w:r>
                    </w:sdtContent>
                  </w:sdt>
                  <w:r>
                    <w:rPr>
                      <w:color w:val="000000"/>
                    </w:rPr>
                    <w:t>.</w:t>
                    <w:tab/>
                  </w:r>
                  <w:r>
                    <w:rPr>
                      <w:color w:val="000000"/>
                      <w:lang w:eastAsia="lt-LT"/>
                    </w:rPr>
                    <w:t>Standarte vartojamos sąvokos:</w:t>
                  </w:r>
                </w:p>
                <w:sdt>
                  <w:sdtPr>
                    <w:alias w:val="4.1 pp."/>
                    <w:tag w:val="part_ed92895484ce408f892ad2d7f176963a"/>
                    <w:lock w:val="sdtLocked"/>
                    <w:richText/>
                  </w:sdtPr>
                  <w:sdtContent>
                    <w:p>
                      <w:pPr>
                        <w:widowControl w:val="0"/>
                        <w:suppressAutoHyphens/>
                        <w:ind w:right="283" w:firstLine="567"/>
                        <w:jc w:val="both"/>
                        <w:rPr>
                          <w:b/>
                          <w:bCs/>
                          <w:color w:val="000000"/>
                          <w:lang w:eastAsia="lt-LT"/>
                        </w:rPr>
                      </w:pPr>
                      <w:sdt>
                        <w:sdtPr>
                          <w:alias w:val="Numeris"/>
                          <w:tag w:val="nr_ed92895484ce408f892ad2d7f176963a"/>
                          <w:lock w:val="sdtLocked"/>
                          <w:richText/>
                        </w:sdtPr>
                        <w:sdtContent>
                          <w:r>
                            <w:rPr>
                              <w:bCs/>
                              <w:color w:val="000000"/>
                            </w:rPr>
                            <w:t>4.1</w:t>
                          </w:r>
                        </w:sdtContent>
                      </w:sdt>
                      <w:r>
                        <w:rPr>
                          <w:bCs/>
                          <w:color w:val="000000"/>
                        </w:rPr>
                        <w:t>.</w:t>
                        <w:tab/>
                      </w:r>
                      <w:r>
                        <w:rPr>
                          <w:b/>
                          <w:bCs/>
                          <w:color w:val="000000"/>
                          <w:lang w:eastAsia="lt-LT"/>
                        </w:rPr>
                        <w:t>Tarpinių finansinių ataskaitų rinkinys</w:t>
                      </w:r>
                      <w:r>
                        <w:rPr>
                          <w:color w:val="000000"/>
                          <w:lang w:eastAsia="lt-LT"/>
                        </w:rPr>
                        <w:t xml:space="preserve"> – finansinių ataskaitų rinkinys, sudaromas</w:t>
                      </w:r>
                      <w:r>
                        <w:rPr>
                          <w:b/>
                          <w:bCs/>
                          <w:color w:val="000000"/>
                          <w:lang w:eastAsia="lt-LT"/>
                        </w:rPr>
                        <w:t xml:space="preserve"> </w:t>
                      </w:r>
                      <w:r>
                        <w:rPr>
                          <w:color w:val="000000"/>
                          <w:lang w:eastAsia="lt-LT"/>
                        </w:rPr>
                        <w:t>apibendrinus laikotarpio, trumpesnio negu finansiniai metai, duomenis.</w:t>
                      </w:r>
                    </w:p>
                  </w:sdtContent>
                </w:sdt>
                <w:sdt>
                  <w:sdtPr>
                    <w:alias w:val="4.2 pp."/>
                    <w:tag w:val="part_ba566cd85e8e40ae9a3d4954387e0b7e"/>
                    <w:lock w:val="sdtLocked"/>
                    <w:richText/>
                  </w:sdtPr>
                  <w:sdtContent>
                    <w:p>
                      <w:pPr>
                        <w:widowControl w:val="0"/>
                        <w:suppressAutoHyphens/>
                        <w:ind w:right="283" w:firstLine="567"/>
                        <w:jc w:val="both"/>
                        <w:rPr>
                          <w:color w:val="000000"/>
                          <w:lang w:eastAsia="lt-LT"/>
                        </w:rPr>
                      </w:pPr>
                      <w:sdt>
                        <w:sdtPr>
                          <w:alias w:val="Numeris"/>
                          <w:tag w:val="nr_ba566cd85e8e40ae9a3d4954387e0b7e"/>
                          <w:lock w:val="sdtLocked"/>
                          <w:richText/>
                        </w:sdtPr>
                        <w:sdtContent>
                          <w:r>
                            <w:rPr>
                              <w:color w:val="000000"/>
                            </w:rPr>
                            <w:t>4.2</w:t>
                          </w:r>
                        </w:sdtContent>
                      </w:sdt>
                      <w:r>
                        <w:rPr>
                          <w:color w:val="000000"/>
                        </w:rPr>
                        <w:t>.</w:t>
                        <w:tab/>
                      </w:r>
                      <w:r>
                        <w:rPr>
                          <w:b/>
                          <w:bCs/>
                          <w:color w:val="000000"/>
                          <w:lang w:eastAsia="lt-LT"/>
                        </w:rPr>
                        <w:t>Tarpinis ataskaitinis laikotarpis</w:t>
                      </w:r>
                      <w:r>
                        <w:rPr>
                          <w:color w:val="000000"/>
                          <w:lang w:eastAsia="lt-LT"/>
                        </w:rPr>
                        <w:t xml:space="preserve"> – ataskaitinis laikotarpis, trumpesnis nei finansiniai metai.</w:t>
                      </w:r>
                    </w:p>
                  </w:sdtContent>
                </w:sdt>
                <w:sdt>
                  <w:sdtPr>
                    <w:alias w:val="4.3 pp."/>
                    <w:tag w:val="part_174130430407499895e6853a3cdcb86e"/>
                    <w:lock w:val="sdtLocked"/>
                    <w:richText/>
                  </w:sdtPr>
                  <w:sdtContent>
                    <w:p>
                      <w:pPr>
                        <w:widowControl w:val="0"/>
                        <w:suppressAutoHyphens/>
                        <w:ind w:right="283" w:firstLine="567"/>
                        <w:jc w:val="both"/>
                        <w:rPr>
                          <w:color w:val="000000"/>
                          <w:lang w:eastAsia="lt-LT"/>
                        </w:rPr>
                      </w:pPr>
                      <w:sdt>
                        <w:sdtPr>
                          <w:alias w:val="Numeris"/>
                          <w:tag w:val="nr_174130430407499895e6853a3cdcb86e"/>
                          <w:lock w:val="sdtLocked"/>
                          <w:richText/>
                        </w:sdtPr>
                        <w:sdtContent>
                          <w:r>
                            <w:rPr>
                              <w:color w:val="000000"/>
                            </w:rPr>
                            <w:t>4.3</w:t>
                          </w:r>
                        </w:sdtContent>
                      </w:sdt>
                      <w:r>
                        <w:rPr>
                          <w:color w:val="000000"/>
                        </w:rPr>
                        <w:t>.</w:t>
                        <w:tab/>
                      </w:r>
                      <w:r>
                        <w:rPr>
                          <w:b/>
                          <w:bCs/>
                          <w:color w:val="000000"/>
                          <w:lang w:eastAsia="lt-LT"/>
                        </w:rPr>
                        <w:t>Tarpinių</w:t>
                      </w:r>
                      <w:r>
                        <w:rPr>
                          <w:color w:val="000000"/>
                          <w:lang w:eastAsia="lt-LT"/>
                        </w:rPr>
                        <w:t xml:space="preserve"> </w:t>
                      </w:r>
                      <w:r>
                        <w:rPr>
                          <w:b/>
                          <w:bCs/>
                          <w:color w:val="000000"/>
                          <w:lang w:eastAsia="lt-LT"/>
                        </w:rPr>
                        <w:t>finansinių ataskaitų aiškinamasis raštas</w:t>
                      </w:r>
                      <w:r>
                        <w:rPr>
                          <w:color w:val="000000"/>
                          <w:lang w:eastAsia="lt-LT"/>
                        </w:rPr>
                        <w:t xml:space="preserve"> – pagal 23-iojo viešojo sektoriaus apskaitos ir finansinės atskaitomybės standarto „Tarpinių finansinių ataskaitų rinkinys“, patvirtinto Lietuvos Respublikos finansų ministro </w:t>
                      </w:r>
                      <w:r>
                        <w:rPr>
                          <w:lang w:eastAsia="lt-LT"/>
                        </w:rPr>
                        <w:t>2008 m. birželio 11 d. įsakymu Nr. 1K-213 „Dėl 23-iojo viešojo sektoriaus apskaitos ir finansinės atskaitomybės standarto patvirtinimo“,</w:t>
                      </w:r>
                      <w:r>
                        <w:rPr>
                          <w:color w:val="000000"/>
                          <w:lang w:eastAsia="lt-LT"/>
                        </w:rPr>
                        <w:t xml:space="preserve">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4.4 pp."/>
                    <w:tag w:val="part_8a76b4735c74465e89e733ed619c136d"/>
                    <w:lock w:val="sdtLocked"/>
                    <w:richText/>
                  </w:sdtPr>
                  <w:sdtContent>
                    <w:p>
                      <w:pPr>
                        <w:tabs>
                          <w:tab w:val="left" w:pos="851"/>
                          <w:tab w:val="left" w:pos="1134"/>
                          <w:tab w:val="left" w:pos="1560"/>
                        </w:tabs>
                        <w:ind w:right="283" w:firstLine="578"/>
                        <w:jc w:val="both"/>
                        <w:rPr>
                          <w:color w:val="000000"/>
                          <w:lang w:eastAsia="lt-LT"/>
                        </w:rPr>
                      </w:pPr>
                      <w:sdt>
                        <w:sdtPr>
                          <w:alias w:val="Numeris"/>
                          <w:tag w:val="nr_8a76b4735c74465e89e733ed619c136d"/>
                          <w:lock w:val="sdtLocked"/>
                          <w:richText/>
                        </w:sdtPr>
                        <w:sdtContent>
                          <w:r>
                            <w:rPr>
                              <w:color w:val="000000"/>
                            </w:rPr>
                            <w:t>4.4</w:t>
                          </w:r>
                        </w:sdtContent>
                      </w:sdt>
                      <w:r>
                        <w:rPr>
                          <w:color w:val="000000"/>
                        </w:rPr>
                        <w:t>.</w:t>
                        <w:tab/>
                      </w:r>
                      <w:r>
                        <w:rPr>
                          <w:color w:val="000000"/>
                          <w:lang w:eastAsia="lt-LT"/>
                        </w:rPr>
                        <w:t>Kitos Standarte vartojamos sąvokos suprantamos taip, kaip apibrėžiamos Lietuvos Respublikos finansinės apskaitos įstatyme, Lietuvos Respublikos viešojo sektoriaus atskaitomybės įstatyme ir kituose viešojo sektoriaus apskaitos ir finansinės atskaitomybės standartuose (toliau – VSAFAS).</w:t>
                      </w:r>
                      <w:r>
                        <w:rPr>
                          <w:lang w:eastAsia="lt-LT"/>
                        </w:rPr>
                        <w:t xml:space="preserve"> </w:t>
                      </w:r>
                    </w:p>
                    <w:p>
                      <w:pPr>
                        <w:widowControl w:val="0"/>
                        <w:suppressAutoHyphens/>
                        <w:ind w:right="283"/>
                        <w:jc w:val="center"/>
                        <w:rPr>
                          <w:b/>
                          <w:bCs/>
                          <w:caps/>
                          <w:color w:val="000000"/>
                          <w:lang w:eastAsia="lt-LT"/>
                        </w:rPr>
                      </w:pPr>
                    </w:p>
                  </w:sdtContent>
                </w:sdt>
              </w:sdtContent>
            </w:sdt>
          </w:sdtContent>
        </w:sdt>
        <w:sdt>
          <w:sdtPr>
            <w:alias w:val="skyrius"/>
            <w:tag w:val="part_39c2ed22fb0f4586ae18b5321038bf6f"/>
            <w:lock w:val="sdtLocked"/>
            <w:richText/>
          </w:sdtPr>
          <w:sdtContent>
            <w:p>
              <w:pPr>
                <w:widowControl w:val="0"/>
                <w:suppressAutoHyphens/>
                <w:ind w:right="283"/>
                <w:jc w:val="center"/>
                <w:rPr>
                  <w:b/>
                  <w:bCs/>
                  <w:caps/>
                  <w:color w:val="000000"/>
                  <w:lang w:eastAsia="lt-LT"/>
                </w:rPr>
              </w:pPr>
              <w:sdt>
                <w:sdtPr>
                  <w:alias w:val="Numeris"/>
                  <w:tag w:val="nr_39c2ed22fb0f4586ae18b5321038bf6f"/>
                  <w:lock w:val="sdtLocked"/>
                  <w:richText/>
                </w:sdtPr>
                <w:sdtContent>
                  <w:r>
                    <w:rPr>
                      <w:b/>
                      <w:bCs/>
                      <w:caps/>
                      <w:color w:val="000000"/>
                      <w:lang w:eastAsia="lt-LT"/>
                    </w:rPr>
                    <w:t>II</w:t>
                  </w:r>
                </w:sdtContent>
              </w:sdt>
              <w:r>
                <w:rPr>
                  <w:b/>
                  <w:bCs/>
                  <w:caps/>
                  <w:color w:val="000000"/>
                  <w:lang w:eastAsia="lt-LT"/>
                </w:rPr>
                <w:t xml:space="preserve"> SKYRIUS</w:t>
              </w:r>
            </w:p>
            <w:p>
              <w:pPr>
                <w:widowControl w:val="0"/>
                <w:suppressAutoHyphens/>
                <w:ind w:right="283"/>
                <w:jc w:val="center"/>
                <w:rPr>
                  <w:b/>
                  <w:bCs/>
                  <w:caps/>
                  <w:color w:val="000000"/>
                  <w:lang w:eastAsia="lt-LT"/>
                </w:rPr>
              </w:pPr>
              <w:sdt>
                <w:sdtPr>
                  <w:alias w:val="Pavadinimas"/>
                  <w:tag w:val="title_39c2ed22fb0f4586ae18b5321038bf6f"/>
                  <w:lock w:val="sdtLocked"/>
                  <w:richText/>
                </w:sdtPr>
                <w:sdtContent>
                  <w:r>
                    <w:rPr>
                      <w:b/>
                      <w:bCs/>
                      <w:caps/>
                      <w:color w:val="000000"/>
                      <w:lang w:eastAsia="lt-LT"/>
                    </w:rPr>
                    <w:t>BENDRIEJI TARPINIŲ FINANSINIŲ ATASKAITŲ RINKINIO REIKALAVIMAI</w:t>
                  </w:r>
                </w:sdtContent>
              </w:sdt>
            </w:p>
            <w:p>
              <w:pPr>
                <w:widowControl w:val="0"/>
                <w:suppressAutoHyphens/>
                <w:ind w:right="283" w:firstLine="567"/>
                <w:jc w:val="both"/>
                <w:rPr>
                  <w:color w:val="000000"/>
                  <w:lang w:eastAsia="lt-LT"/>
                </w:rPr>
              </w:pPr>
            </w:p>
            <w:sdt>
              <w:sdtPr>
                <w:alias w:val="5 p."/>
                <w:tag w:val="part_c2cfe732a90947babbae12dda614365f"/>
                <w:lock w:val="sdtLocked"/>
                <w:richText/>
              </w:sdtPr>
              <w:sdtContent>
                <w:p>
                  <w:pPr>
                    <w:widowControl w:val="0"/>
                    <w:suppressAutoHyphens/>
                    <w:ind w:right="283" w:firstLine="567"/>
                    <w:jc w:val="both"/>
                    <w:rPr>
                      <w:color w:val="000000"/>
                      <w:lang w:eastAsia="lt-LT"/>
                    </w:rPr>
                  </w:pPr>
                  <w:sdt>
                    <w:sdtPr>
                      <w:alias w:val="Numeris"/>
                      <w:tag w:val="nr_c2cfe732a90947babbae12dda614365f"/>
                      <w:lock w:val="sdtLocked"/>
                      <w:richText/>
                    </w:sdtPr>
                    <w:sdtContent>
                      <w:r>
                        <w:rPr>
                          <w:color w:val="000000"/>
                        </w:rPr>
                        <w:t>5</w:t>
                      </w:r>
                    </w:sdtContent>
                  </w:sdt>
                  <w:r>
                    <w:rPr>
                      <w:color w:val="000000"/>
                    </w:rPr>
                    <w:t>.</w:t>
                    <w:tab/>
                  </w:r>
                  <w:r>
                    <w:rPr>
                      <w:color w:val="000000"/>
                      <w:lang w:eastAsia="lt-LT"/>
                    </w:rPr>
                    <w:t>Tarpinių finansinių ataskaitų rinkinys turi būti aiškiai identifikuojamas ir atskiriamas nuo kitos informacijos ar kiekvieno kito dokumento, kuriuos skelbia ar teikia viešojo sektoriaus subjektas.</w:t>
                  </w:r>
                </w:p>
              </w:sdtContent>
            </w:sdt>
            <w:sdt>
              <w:sdtPr>
                <w:alias w:val="6 p."/>
                <w:tag w:val="part_ca59aad5aeeb4be1a5734ad3621b30e3"/>
                <w:lock w:val="sdtLocked"/>
                <w:richText/>
              </w:sdtPr>
              <w:sdtContent>
                <w:p>
                  <w:pPr>
                    <w:widowControl w:val="0"/>
                    <w:suppressAutoHyphens/>
                    <w:ind w:right="283" w:firstLine="567"/>
                    <w:jc w:val="both"/>
                    <w:rPr>
                      <w:color w:val="000000"/>
                      <w:lang w:eastAsia="lt-LT"/>
                    </w:rPr>
                  </w:pPr>
                  <w:sdt>
                    <w:sdtPr>
                      <w:alias w:val="Numeris"/>
                      <w:tag w:val="nr_ca59aad5aeeb4be1a5734ad3621b30e3"/>
                      <w:lock w:val="sdtLocked"/>
                      <w:richText/>
                    </w:sdtPr>
                    <w:sdtContent>
                      <w:r>
                        <w:rPr>
                          <w:color w:val="000000"/>
                        </w:rPr>
                        <w:t>6</w:t>
                      </w:r>
                    </w:sdtContent>
                  </w:sdt>
                  <w:r>
                    <w:rPr>
                      <w:color w:val="000000"/>
                    </w:rPr>
                    <w:t>.</w:t>
                    <w:tab/>
                  </w:r>
                  <w:r>
                    <w:rPr>
                      <w:color w:val="000000"/>
                      <w:lang w:eastAsia="lt-LT"/>
                    </w:rPr>
                    <w:t>Viešojo sektoriaus subjektas tarpinių finansinių ataskaitų rinkiniui rengti turi taikyti tą pačią finansinės apskaitos (toliau – apskaita) politiką, kaip ir metinių finansinių ataskaitų rinkiniui rengti.</w:t>
                  </w:r>
                </w:p>
              </w:sdtContent>
            </w:sdt>
            <w:sdt>
              <w:sdtPr>
                <w:alias w:val="7 p."/>
                <w:tag w:val="part_ef0042d8a9e84f9ea1687bc00899ab2c"/>
                <w:lock w:val="sdtLocked"/>
                <w:richText/>
              </w:sdtPr>
              <w:sdtContent>
                <w:p>
                  <w:pPr>
                    <w:widowControl w:val="0"/>
                    <w:suppressAutoHyphens/>
                    <w:ind w:right="283" w:firstLine="567"/>
                    <w:jc w:val="both"/>
                    <w:rPr>
                      <w:color w:val="000000"/>
                      <w:lang w:eastAsia="lt-LT"/>
                    </w:rPr>
                  </w:pPr>
                  <w:sdt>
                    <w:sdtPr>
                      <w:alias w:val="Numeris"/>
                      <w:tag w:val="nr_ef0042d8a9e84f9ea1687bc00899ab2c"/>
                      <w:lock w:val="sdtLocked"/>
                      <w:richText/>
                    </w:sdtPr>
                    <w:sdtContent>
                      <w:r>
                        <w:rPr>
                          <w:color w:val="000000"/>
                        </w:rPr>
                        <w:t>7</w:t>
                      </w:r>
                    </w:sdtContent>
                  </w:sdt>
                  <w:r>
                    <w:rPr>
                      <w:color w:val="000000"/>
                    </w:rPr>
                    <w:t>.</w:t>
                    <w:tab/>
                  </w:r>
                  <w:r>
                    <w:rPr>
                      <w:color w:val="000000"/>
                      <w:lang w:eastAsia="lt-LT"/>
                    </w:rPr>
                    <w:t>Tarpinių finansinių ataskaitų rinkinyje informacija teikiama nuo ataskaitinių finansinių metų pradžios iki paskutinės tarpinio ataskaitinio laikotarpio dienos.</w:t>
                  </w:r>
                </w:p>
              </w:sdtContent>
            </w:sdt>
            <w:sdt>
              <w:sdtPr>
                <w:alias w:val="8 p."/>
                <w:tag w:val="part_96947b8bbcac441caea694e08f36460f"/>
                <w:lock w:val="sdtLocked"/>
                <w:richText/>
              </w:sdtPr>
              <w:sdtContent>
                <w:p>
                  <w:pPr>
                    <w:widowControl w:val="0"/>
                    <w:suppressAutoHyphens/>
                    <w:ind w:right="283" w:firstLine="567"/>
                    <w:jc w:val="both"/>
                    <w:rPr>
                      <w:color w:val="000000"/>
                      <w:spacing w:val="-1"/>
                      <w:lang w:eastAsia="lt-LT"/>
                    </w:rPr>
                  </w:pPr>
                  <w:sdt>
                    <w:sdtPr>
                      <w:alias w:val="Numeris"/>
                      <w:tag w:val="nr_96947b8bbcac441caea694e08f36460f"/>
                      <w:lock w:val="sdtLocked"/>
                      <w:richText/>
                    </w:sdtPr>
                    <w:sdtContent>
                      <w:r>
                        <w:rPr>
                          <w:color w:val="000000"/>
                          <w:spacing w:val="-1"/>
                        </w:rPr>
                        <w:t>8</w:t>
                      </w:r>
                    </w:sdtContent>
                  </w:sdt>
                  <w:r>
                    <w:rPr>
                      <w:color w:val="000000"/>
                      <w:spacing w:val="-1"/>
                    </w:rPr>
                    <w:t>.</w:t>
                    <w:tab/>
                  </w:r>
                  <w:r>
                    <w:rPr>
                      <w:color w:val="000000"/>
                      <w:spacing w:val="-1"/>
                      <w:lang w:eastAsia="lt-LT"/>
                    </w:rPr>
                    <w:t>Viešojo sektoriaus subjekto tarpinio ataskaitinio laikotarpio pabaiga sutampa su kalendorinių metų pirmojo, antrojo ir trečiojo ketvirčių pabaiga. Tarpinio ataskaitinio laikotarpio informacija tarpinėse finansinėse ataskaitose teikiama kaupiant 3, 6 ir 9 mėnesių informaciją.</w:t>
                  </w:r>
                </w:p>
                <w:p>
                  <w:pPr>
                    <w:widowControl w:val="0"/>
                    <w:suppressAutoHyphens/>
                    <w:ind w:right="283" w:firstLine="567"/>
                    <w:jc w:val="both"/>
                    <w:rPr>
                      <w:color w:val="000000"/>
                      <w:lang w:eastAsia="lt-LT"/>
                    </w:rPr>
                  </w:pPr>
                </w:p>
              </w:sdtContent>
            </w:sdt>
          </w:sdtContent>
        </w:sdt>
        <w:sdt>
          <w:sdtPr>
            <w:alias w:val="skyrius"/>
            <w:tag w:val="part_ec3672cf364f483c8d27b58c75bf22c6"/>
            <w:lock w:val="sdtLocked"/>
            <w:richText/>
          </w:sdtPr>
          <w:sdtContent>
            <w:p>
              <w:pPr>
                <w:widowControl w:val="0"/>
                <w:suppressAutoHyphens/>
                <w:ind w:right="283"/>
                <w:jc w:val="center"/>
                <w:rPr>
                  <w:b/>
                  <w:bCs/>
                  <w:caps/>
                  <w:color w:val="000000"/>
                  <w:lang w:eastAsia="lt-LT"/>
                </w:rPr>
              </w:pPr>
              <w:sdt>
                <w:sdtPr>
                  <w:alias w:val="Numeris"/>
                  <w:tag w:val="nr_ec3672cf364f483c8d27b58c75bf22c6"/>
                  <w:lock w:val="sdtLocked"/>
                  <w:richText/>
                </w:sdtPr>
                <w:sdtContent>
                  <w:r>
                    <w:rPr>
                      <w:b/>
                      <w:bCs/>
                      <w:caps/>
                      <w:color w:val="000000"/>
                      <w:lang w:eastAsia="lt-LT"/>
                    </w:rPr>
                    <w:t>III</w:t>
                  </w:r>
                </w:sdtContent>
              </w:sdt>
              <w:r>
                <w:rPr>
                  <w:b/>
                  <w:bCs/>
                  <w:caps/>
                  <w:color w:val="000000"/>
                  <w:lang w:eastAsia="lt-LT"/>
                </w:rPr>
                <w:t xml:space="preserve"> SKYRIUS</w:t>
              </w:r>
            </w:p>
            <w:p>
              <w:pPr>
                <w:widowControl w:val="0"/>
                <w:suppressAutoHyphens/>
                <w:ind w:right="283"/>
                <w:jc w:val="center"/>
                <w:rPr>
                  <w:b/>
                  <w:bCs/>
                  <w:caps/>
                  <w:color w:val="000000"/>
                  <w:lang w:eastAsia="lt-LT"/>
                </w:rPr>
              </w:pPr>
              <w:sdt>
                <w:sdtPr>
                  <w:alias w:val="Pavadinimas"/>
                  <w:tag w:val="title_ec3672cf364f483c8d27b58c75bf22c6"/>
                  <w:lock w:val="sdtLocked"/>
                  <w:richText/>
                </w:sdtPr>
                <w:sdtContent>
                  <w:r>
                    <w:rPr>
                      <w:b/>
                      <w:bCs/>
                      <w:caps/>
                      <w:color w:val="000000"/>
                      <w:lang w:eastAsia="lt-LT"/>
                    </w:rPr>
                    <w:t>TARPINIŲ FINANSINIŲ ATASKAITŲ RINKINIO SUDĖTIS</w:t>
                  </w:r>
                </w:sdtContent>
              </w:sdt>
            </w:p>
            <w:p>
              <w:pPr>
                <w:widowControl w:val="0"/>
                <w:suppressAutoHyphens/>
                <w:ind w:right="283" w:firstLine="567"/>
                <w:jc w:val="both"/>
                <w:rPr>
                  <w:color w:val="000000"/>
                  <w:lang w:eastAsia="lt-LT"/>
                </w:rPr>
              </w:pPr>
            </w:p>
            <w:sdt>
              <w:sdtPr>
                <w:alias w:val="9 p."/>
                <w:tag w:val="part_7ce84d180bcd4ae691a6647a92d5dc33"/>
                <w:lock w:val="sdtLocked"/>
                <w:richText/>
              </w:sdtPr>
              <w:sdtContent>
                <w:p>
                  <w:pPr>
                    <w:widowControl w:val="0"/>
                    <w:suppressAutoHyphens/>
                    <w:ind w:right="283" w:firstLine="567"/>
                    <w:jc w:val="both"/>
                    <w:rPr>
                      <w:color w:val="000000"/>
                      <w:lang w:eastAsia="lt-LT"/>
                    </w:rPr>
                  </w:pPr>
                  <w:sdt>
                    <w:sdtPr>
                      <w:alias w:val="Numeris"/>
                      <w:tag w:val="nr_7ce84d180bcd4ae691a6647a92d5dc33"/>
                      <w:lock w:val="sdtLocked"/>
                      <w:richText/>
                    </w:sdtPr>
                    <w:sdtContent>
                      <w:r>
                        <w:rPr>
                          <w:color w:val="000000"/>
                        </w:rPr>
                        <w:t>9</w:t>
                      </w:r>
                    </w:sdtContent>
                  </w:sdt>
                  <w:r>
                    <w:rPr>
                      <w:color w:val="000000"/>
                    </w:rPr>
                    <w:t>.</w:t>
                    <w:tab/>
                  </w:r>
                  <w:r>
                    <w:rPr>
                      <w:color w:val="000000"/>
                      <w:lang w:eastAsia="lt-LT"/>
                    </w:rPr>
                    <w:t>Tarpinių finansinių ataskaitų rinkinį sudaro šios ataskaitos:</w:t>
                  </w:r>
                </w:p>
                <w:sdt>
                  <w:sdtPr>
                    <w:alias w:val="9.1 pp."/>
                    <w:tag w:val="part_92e0bccde0b941eab09ab0627742fa07"/>
                    <w:lock w:val="sdtLocked"/>
                    <w:richText/>
                  </w:sdtPr>
                  <w:sdtContent>
                    <w:p>
                      <w:pPr>
                        <w:widowControl w:val="0"/>
                        <w:suppressAutoHyphens/>
                        <w:ind w:right="283" w:firstLine="567"/>
                        <w:jc w:val="both"/>
                        <w:rPr>
                          <w:color w:val="000000"/>
                          <w:lang w:eastAsia="lt-LT"/>
                        </w:rPr>
                      </w:pPr>
                      <w:sdt>
                        <w:sdtPr>
                          <w:alias w:val="Numeris"/>
                          <w:tag w:val="nr_92e0bccde0b941eab09ab0627742fa07"/>
                          <w:lock w:val="sdtLocked"/>
                          <w:richText/>
                        </w:sdtPr>
                        <w:sdtContent>
                          <w:r>
                            <w:rPr>
                              <w:color w:val="000000"/>
                            </w:rPr>
                            <w:t>9.1</w:t>
                          </w:r>
                        </w:sdtContent>
                      </w:sdt>
                      <w:r>
                        <w:rPr>
                          <w:color w:val="000000"/>
                        </w:rPr>
                        <w:t>.</w:t>
                        <w:tab/>
                      </w:r>
                      <w:r>
                        <w:rPr>
                          <w:color w:val="000000"/>
                          <w:lang w:eastAsia="lt-LT"/>
                        </w:rPr>
                        <w:t>finansinės būklės ataskaita. Joje pateikiama tarpinio ataskaitinio laikotarpio paskutinės dienos ir lyginamoji praėjusių finansinių metų paskutinės dienos informacija;</w:t>
                      </w:r>
                    </w:p>
                  </w:sdtContent>
                </w:sdt>
                <w:sdt>
                  <w:sdtPr>
                    <w:alias w:val="9.2 pp."/>
                    <w:tag w:val="part_fc12081e86c1465eac9a1f1d922fe507"/>
                    <w:lock w:val="sdtLocked"/>
                    <w:richText/>
                  </w:sdtPr>
                  <w:sdtContent>
                    <w:p>
                      <w:pPr>
                        <w:widowControl w:val="0"/>
                        <w:suppressAutoHyphens/>
                        <w:ind w:right="283" w:firstLine="567"/>
                        <w:jc w:val="both"/>
                        <w:rPr>
                          <w:color w:val="000000"/>
                          <w:lang w:eastAsia="lt-LT"/>
                        </w:rPr>
                      </w:pPr>
                      <w:sdt>
                        <w:sdtPr>
                          <w:alias w:val="Numeris"/>
                          <w:tag w:val="nr_fc12081e86c1465eac9a1f1d922fe507"/>
                          <w:lock w:val="sdtLocked"/>
                          <w:richText/>
                        </w:sdtPr>
                        <w:sdtContent>
                          <w:r>
                            <w:rPr>
                              <w:color w:val="000000"/>
                            </w:rPr>
                            <w:t>9.2</w:t>
                          </w:r>
                        </w:sdtContent>
                      </w:sdt>
                      <w:r>
                        <w:rPr>
                          <w:color w:val="000000"/>
                        </w:rPr>
                        <w:t>.</w:t>
                        <w:tab/>
                      </w:r>
                      <w:r>
                        <w:rPr>
                          <w:color w:val="000000"/>
                          <w:lang w:eastAsia="lt-LT"/>
                        </w:rPr>
                        <w:t>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9.3 pp."/>
                    <w:tag w:val="part_a0e05d21dbad48f7a174768a995b4f1a"/>
                    <w:lock w:val="sdtLocked"/>
                    <w:richText/>
                  </w:sdtPr>
                  <w:sdtContent>
                    <w:p>
                      <w:pPr>
                        <w:widowControl w:val="0"/>
                        <w:suppressAutoHyphens/>
                        <w:ind w:right="283" w:firstLine="567"/>
                        <w:jc w:val="both"/>
                        <w:rPr>
                          <w:color w:val="000000"/>
                          <w:lang w:eastAsia="lt-LT"/>
                        </w:rPr>
                      </w:pPr>
                      <w:sdt>
                        <w:sdtPr>
                          <w:alias w:val="Numeris"/>
                          <w:tag w:val="nr_a0e05d21dbad48f7a174768a995b4f1a"/>
                          <w:lock w:val="sdtLocked"/>
                          <w:richText/>
                        </w:sdtPr>
                        <w:sdtContent>
                          <w:r>
                            <w:rPr>
                              <w:color w:val="000000"/>
                            </w:rPr>
                            <w:t>9.3</w:t>
                          </w:r>
                        </w:sdtContent>
                      </w:sdt>
                      <w:r>
                        <w:rPr>
                          <w:color w:val="000000"/>
                        </w:rPr>
                        <w:t>.</w:t>
                        <w:tab/>
                      </w:r>
                      <w:r>
                        <w:rPr>
                          <w:color w:val="000000"/>
                          <w:lang w:eastAsia="lt-LT"/>
                        </w:rPr>
                        <w:t>sutrumpintas aiškinamasis raštas.</w:t>
                      </w:r>
                    </w:p>
                  </w:sdtContent>
                </w:sdt>
              </w:sdtContent>
            </w:sdt>
            <w:sdt>
              <w:sdtPr>
                <w:alias w:val="10 p."/>
                <w:tag w:val="part_2055165d728b4a4cbb2f2df10c6383cd"/>
                <w:lock w:val="sdtLocked"/>
                <w:richText/>
              </w:sdtPr>
              <w:sdtContent>
                <w:p>
                  <w:pPr>
                    <w:widowControl w:val="0"/>
                    <w:suppressAutoHyphens/>
                    <w:ind w:right="283" w:firstLine="567"/>
                    <w:jc w:val="both"/>
                    <w:rPr>
                      <w:color w:val="000000"/>
                      <w:lang w:eastAsia="lt-LT"/>
                    </w:rPr>
                  </w:pPr>
                  <w:sdt>
                    <w:sdtPr>
                      <w:alias w:val="Numeris"/>
                      <w:tag w:val="nr_2055165d728b4a4cbb2f2df10c6383cd"/>
                      <w:lock w:val="sdtLocked"/>
                      <w:richText/>
                    </w:sdtPr>
                    <w:sdtContent>
                      <w:r>
                        <w:rPr>
                          <w:color w:val="000000"/>
                        </w:rPr>
                        <w:t>10</w:t>
                      </w:r>
                    </w:sdtContent>
                  </w:sdt>
                  <w:r>
                    <w:rPr>
                      <w:color w:val="000000"/>
                    </w:rPr>
                    <w:t>.</w:t>
                    <w:tab/>
                  </w:r>
                  <w:r>
                    <w:rPr>
                      <w:color w:val="000000"/>
                      <w:lang w:eastAsia="lt-LT"/>
                    </w:rPr>
                    <w:t>Tarpinių finansinių ataskaitų rinkinio privalomos formos yra tokios pačios, kaip nustatyta 2-ajame VSAFAS „Finansinės būklės ataskaita“ ir 3-iajame VSAFAS „Veiklos rezultatų ataskaita“.</w:t>
                  </w:r>
                </w:p>
              </w:sdtContent>
            </w:sdt>
            <w:sdt>
              <w:sdtPr>
                <w:alias w:val="11 p."/>
                <w:tag w:val="part_15b3c553d5904a5e8ceda1b1fc87f834"/>
                <w:lock w:val="sdtLocked"/>
                <w:richText/>
              </w:sdtPr>
              <w:sdtContent>
                <w:p>
                  <w:pPr>
                    <w:widowControl w:val="0"/>
                    <w:suppressAutoHyphens/>
                    <w:ind w:right="283" w:firstLine="567"/>
                    <w:jc w:val="both"/>
                    <w:rPr>
                      <w:color w:val="000000"/>
                      <w:spacing w:val="-2"/>
                      <w:lang w:eastAsia="lt-LT"/>
                    </w:rPr>
                  </w:pPr>
                  <w:sdt>
                    <w:sdtPr>
                      <w:alias w:val="Numeris"/>
                      <w:tag w:val="nr_15b3c553d5904a5e8ceda1b1fc87f834"/>
                      <w:lock w:val="sdtLocked"/>
                      <w:richText/>
                    </w:sdtPr>
                    <w:sdtContent>
                      <w:r>
                        <w:rPr>
                          <w:color w:val="000000"/>
                          <w:spacing w:val="-2"/>
                        </w:rPr>
                        <w:t>11</w:t>
                      </w:r>
                    </w:sdtContent>
                  </w:sdt>
                  <w:r>
                    <w:rPr>
                      <w:color w:val="000000"/>
                      <w:spacing w:val="-2"/>
                    </w:rPr>
                    <w:t>.</w:t>
                    <w:tab/>
                  </w:r>
                  <w:r>
                    <w:rPr>
                      <w:color w:val="000000"/>
                      <w:spacing w:val="-2"/>
                      <w:lang w:eastAsia="lt-LT"/>
                    </w:rPr>
                    <w:t>Sutrumpintas aiškinamasis raštas rengiamas pagal Standarto IV skyriaus nuostatas.</w:t>
                  </w:r>
                </w:p>
                <w:p>
                  <w:pPr>
                    <w:widowControl w:val="0"/>
                    <w:suppressAutoHyphens/>
                    <w:ind w:right="283" w:firstLine="567"/>
                    <w:jc w:val="both"/>
                    <w:rPr>
                      <w:color w:val="000000"/>
                      <w:lang w:eastAsia="lt-LT"/>
                    </w:rPr>
                  </w:pPr>
                </w:p>
              </w:sdtContent>
            </w:sdt>
          </w:sdtContent>
        </w:sdt>
        <w:sdt>
          <w:sdtPr>
            <w:alias w:val="skyrius"/>
            <w:tag w:val="part_a6539e88c61243ae9b1e463ee30576d9"/>
            <w:lock w:val="sdtLocked"/>
            <w:richText/>
          </w:sdtPr>
          <w:sdtContent>
            <w:p>
              <w:pPr>
                <w:widowControl w:val="0"/>
                <w:suppressAutoHyphens/>
                <w:ind w:right="283"/>
                <w:jc w:val="center"/>
                <w:rPr>
                  <w:b/>
                  <w:bCs/>
                  <w:caps/>
                  <w:color w:val="000000"/>
                  <w:lang w:eastAsia="lt-LT"/>
                </w:rPr>
              </w:pPr>
              <w:sdt>
                <w:sdtPr>
                  <w:alias w:val="Numeris"/>
                  <w:tag w:val="nr_a6539e88c61243ae9b1e463ee30576d9"/>
                  <w:lock w:val="sdtLocked"/>
                  <w:richText/>
                </w:sdtPr>
                <w:sdtContent>
                  <w:r>
                    <w:rPr>
                      <w:b/>
                      <w:bCs/>
                      <w:caps/>
                      <w:color w:val="000000"/>
                      <w:lang w:eastAsia="lt-LT"/>
                    </w:rPr>
                    <w:t>IV</w:t>
                  </w:r>
                </w:sdtContent>
              </w:sdt>
              <w:r>
                <w:rPr>
                  <w:b/>
                  <w:bCs/>
                  <w:caps/>
                  <w:color w:val="000000"/>
                  <w:lang w:eastAsia="lt-LT"/>
                </w:rPr>
                <w:t xml:space="preserve"> SKYRIUS</w:t>
              </w:r>
            </w:p>
            <w:p>
              <w:pPr>
                <w:widowControl w:val="0"/>
                <w:suppressAutoHyphens/>
                <w:ind w:right="283"/>
                <w:jc w:val="center"/>
                <w:rPr>
                  <w:b/>
                  <w:bCs/>
                  <w:caps/>
                  <w:color w:val="000000"/>
                  <w:lang w:eastAsia="lt-LT"/>
                </w:rPr>
              </w:pPr>
              <w:sdt>
                <w:sdtPr>
                  <w:alias w:val="Pavadinimas"/>
                  <w:tag w:val="title_a6539e88c61243ae9b1e463ee30576d9"/>
                  <w:lock w:val="sdtLocked"/>
                  <w:richText/>
                </w:sdtPr>
                <w:sdtContent>
                  <w:r>
                    <w:rPr>
                      <w:b/>
                      <w:bCs/>
                      <w:caps/>
                      <w:color w:val="000000"/>
                      <w:lang w:eastAsia="lt-LT"/>
                    </w:rPr>
                    <w:t>SUTRUMPINTO AIŠKINAMOJO RAŠTO REIKALAVIMAI</w:t>
                  </w:r>
                </w:sdtContent>
              </w:sdt>
            </w:p>
            <w:p>
              <w:pPr>
                <w:widowControl w:val="0"/>
                <w:suppressAutoHyphens/>
                <w:ind w:right="283" w:firstLine="567"/>
                <w:jc w:val="both"/>
                <w:rPr>
                  <w:color w:val="000000"/>
                  <w:lang w:eastAsia="lt-LT"/>
                </w:rPr>
              </w:pPr>
            </w:p>
            <w:sdt>
              <w:sdtPr>
                <w:alias w:val="12 p."/>
                <w:tag w:val="part_56e16d3ea26f4024af01c60f470dc5d6"/>
                <w:lock w:val="sdtLocked"/>
                <w:richText/>
              </w:sdtPr>
              <w:sdtContent>
                <w:p>
                  <w:pPr>
                    <w:widowControl w:val="0"/>
                    <w:suppressAutoHyphens/>
                    <w:ind w:right="283" w:firstLine="567"/>
                    <w:jc w:val="both"/>
                    <w:rPr>
                      <w:color w:val="000000"/>
                      <w:lang w:eastAsia="lt-LT"/>
                    </w:rPr>
                  </w:pPr>
                  <w:sdt>
                    <w:sdtPr>
                      <w:alias w:val="Numeris"/>
                      <w:tag w:val="nr_56e16d3ea26f4024af01c60f470dc5d6"/>
                      <w:lock w:val="sdtLocked"/>
                      <w:richText/>
                    </w:sdtPr>
                    <w:sdtContent>
                      <w:r>
                        <w:rPr>
                          <w:color w:val="000000"/>
                        </w:rPr>
                        <w:t>12</w:t>
                      </w:r>
                    </w:sdtContent>
                  </w:sdt>
                  <w:r>
                    <w:rPr>
                      <w:color w:val="000000"/>
                    </w:rPr>
                    <w:t>.</w:t>
                    <w:tab/>
                  </w:r>
                  <w:r>
                    <w:rPr>
                      <w:color w:val="000000"/>
                      <w:lang w:eastAsia="lt-LT"/>
                    </w:rPr>
                    <w:t>Sutrumpintą aiškinamąjį raštą sudaro:</w:t>
                  </w:r>
                </w:p>
                <w:sdt>
                  <w:sdtPr>
                    <w:alias w:val="12.1 pp."/>
                    <w:tag w:val="part_f56ba5f93e7e40a79a95a0b45e69dadd"/>
                    <w:lock w:val="sdtLocked"/>
                    <w:richText/>
                  </w:sdtPr>
                  <w:sdtContent>
                    <w:p>
                      <w:pPr>
                        <w:widowControl w:val="0"/>
                        <w:suppressAutoHyphens/>
                        <w:ind w:right="283" w:firstLine="567"/>
                        <w:jc w:val="both"/>
                        <w:rPr>
                          <w:color w:val="000000"/>
                          <w:lang w:eastAsia="lt-LT"/>
                        </w:rPr>
                      </w:pPr>
                      <w:sdt>
                        <w:sdtPr>
                          <w:alias w:val="Numeris"/>
                          <w:tag w:val="nr_f56ba5f93e7e40a79a95a0b45e69dadd"/>
                          <w:lock w:val="sdtLocked"/>
                          <w:richText/>
                        </w:sdtPr>
                        <w:sdtContent>
                          <w:r>
                            <w:rPr>
                              <w:color w:val="000000"/>
                            </w:rPr>
                            <w:t>12.1</w:t>
                          </w:r>
                        </w:sdtContent>
                      </w:sdt>
                      <w:r>
                        <w:rPr>
                          <w:color w:val="000000"/>
                        </w:rPr>
                        <w:t>.</w:t>
                        <w:tab/>
                      </w:r>
                      <w:r>
                        <w:rPr>
                          <w:color w:val="000000"/>
                          <w:lang w:eastAsia="lt-LT"/>
                        </w:rPr>
                        <w:t>bendroji informacija;</w:t>
                      </w:r>
                    </w:p>
                  </w:sdtContent>
                </w:sdt>
                <w:sdt>
                  <w:sdtPr>
                    <w:alias w:val="12.2 pp."/>
                    <w:tag w:val="part_8e2df19db21a4657b8b730f22c137a46"/>
                    <w:lock w:val="sdtLocked"/>
                    <w:richText/>
                  </w:sdtPr>
                  <w:sdtContent>
                    <w:p>
                      <w:pPr>
                        <w:widowControl w:val="0"/>
                        <w:suppressAutoHyphens/>
                        <w:ind w:right="283" w:firstLine="567"/>
                        <w:jc w:val="both"/>
                        <w:rPr>
                          <w:color w:val="000000"/>
                          <w:lang w:eastAsia="lt-LT"/>
                        </w:rPr>
                      </w:pPr>
                      <w:sdt>
                        <w:sdtPr>
                          <w:alias w:val="Numeris"/>
                          <w:tag w:val="nr_8e2df19db21a4657b8b730f22c137a46"/>
                          <w:lock w:val="sdtLocked"/>
                          <w:richText/>
                        </w:sdtPr>
                        <w:sdtContent>
                          <w:r>
                            <w:rPr>
                              <w:color w:val="000000"/>
                            </w:rPr>
                            <w:t>12.2</w:t>
                          </w:r>
                        </w:sdtContent>
                      </w:sdt>
                      <w:r>
                        <w:rPr>
                          <w:color w:val="000000"/>
                        </w:rPr>
                        <w:t>.</w:t>
                        <w:tab/>
                      </w:r>
                      <w:r>
                        <w:rPr>
                          <w:color w:val="000000"/>
                          <w:lang w:eastAsia="lt-LT"/>
                        </w:rPr>
                        <w:t>apskaitos politika;</w:t>
                      </w:r>
                      <w:r>
                        <w:rPr>
                          <w:lang w:eastAsia="lt-LT"/>
                        </w:rPr>
                        <w:t xml:space="preserve"> </w:t>
                      </w:r>
                    </w:p>
                  </w:sdtContent>
                </w:sdt>
                <w:sdt>
                  <w:sdtPr>
                    <w:alias w:val="12.3 pp."/>
                    <w:tag w:val="part_c9d28edd07b44e94a7507ee52977a44e"/>
                    <w:lock w:val="sdtLocked"/>
                    <w:richText/>
                  </w:sdtPr>
                  <w:sdtContent>
                    <w:p>
                      <w:pPr>
                        <w:widowControl w:val="0"/>
                        <w:suppressAutoHyphens/>
                        <w:ind w:right="283" w:firstLine="567"/>
                        <w:jc w:val="both"/>
                        <w:rPr>
                          <w:color w:val="000000"/>
                          <w:lang w:eastAsia="lt-LT"/>
                        </w:rPr>
                      </w:pPr>
                      <w:sdt>
                        <w:sdtPr>
                          <w:alias w:val="Numeris"/>
                          <w:tag w:val="nr_c9d28edd07b44e94a7507ee52977a44e"/>
                          <w:lock w:val="sdtLocked"/>
                          <w:richText/>
                        </w:sdtPr>
                        <w:sdtContent>
                          <w:r>
                            <w:rPr>
                              <w:color w:val="000000"/>
                            </w:rPr>
                            <w:t>12.3</w:t>
                          </w:r>
                        </w:sdtContent>
                      </w:sdt>
                      <w:r>
                        <w:rPr>
                          <w:color w:val="000000"/>
                        </w:rPr>
                        <w:t>.</w:t>
                        <w:tab/>
                      </w:r>
                      <w:r>
                        <w:rPr>
                          <w:color w:val="000000"/>
                          <w:lang w:eastAsia="lt-LT"/>
                        </w:rPr>
                        <w:t>sutrumpinto aiškinamojo rašto pastabos.</w:t>
                      </w:r>
                    </w:p>
                  </w:sdtContent>
                </w:sdt>
              </w:sdtContent>
            </w:sdt>
            <w:sdt>
              <w:sdtPr>
                <w:alias w:val="13 p."/>
                <w:tag w:val="part_396f683a40dc45cebb56c42fbb691608"/>
                <w:lock w:val="sdtLocked"/>
                <w:richText/>
              </w:sdtPr>
              <w:sdtContent>
                <w:p>
                  <w:pPr>
                    <w:widowControl w:val="0"/>
                    <w:tabs>
                      <w:tab w:val="left" w:pos="1134"/>
                    </w:tabs>
                    <w:suppressAutoHyphens/>
                    <w:ind w:right="283" w:firstLine="556"/>
                    <w:jc w:val="both"/>
                    <w:rPr>
                      <w:color w:val="000000"/>
                      <w:lang w:eastAsia="lt-LT"/>
                    </w:rPr>
                  </w:pPr>
                  <w:sdt>
                    <w:sdtPr>
                      <w:alias w:val="Numeris"/>
                      <w:tag w:val="nr_396f683a40dc45cebb56c42fbb691608"/>
                      <w:lock w:val="sdtLocked"/>
                      <w:richText/>
                    </w:sdtPr>
                    <w:sdtContent>
                      <w:r>
                        <w:rPr>
                          <w:color w:val="000000"/>
                          <w:lang w:eastAsia="lt-LT"/>
                        </w:rPr>
                        <w:t>13</w:t>
                      </w:r>
                    </w:sdtContent>
                  </w:sdt>
                  <w:r>
                    <w:rPr>
                      <w:color w:val="000000"/>
                      <w:lang w:eastAsia="lt-LT"/>
                    </w:rPr>
                    <w:t>.</w:t>
                    <w:tab/>
                    <w:t xml:space="preserve">Pirmą kartą rengiant tarpinių finansinių ataskaitų rinkinį pagal VSAFAS, sutrumpinto aiškinamojo rašto bendrosios informacijos ir apskaitos politikos daliai taikomos 6-ojo viešojo sektoriaus apskaitos ir finansinės atskaitomybės standarto „Finansinių ataskaitų aiškinamasis raštas“, patvirtinto Lietuvos Respublikos finansų ministro 2008 m. rugpjūčio 18 d. įsakymu Nr. 1K-247 „Dėl viešojo sektoriaus apskaitos ir finansinės atskaitomybės 6-ojo standarto patvirtinimo“, (toliau – </w:t>
                  </w:r>
                  <w:r>
                    <w:rPr>
                      <w:lang w:eastAsia="lt-LT"/>
                    </w:rPr>
                    <w:t>6-asis VSAFAS „Finansinių ataskaitų aiškinamasis raštas“)</w:t>
                  </w:r>
                  <w:r>
                    <w:rPr>
                      <w:color w:val="000000"/>
                      <w:lang w:eastAsia="lt-LT"/>
                    </w:rPr>
                    <w:t xml:space="preserve"> nuostatos, o pastabų dalyje nurodoma:</w:t>
                  </w:r>
                </w:p>
                <w:sdt>
                  <w:sdtPr>
                    <w:alias w:val="13.1 pp."/>
                    <w:tag w:val="part_41f56141851a46df82adcf6b037250a9"/>
                    <w:lock w:val="sdtLocked"/>
                    <w:richText/>
                  </w:sdtPr>
                  <w:sdtContent>
                    <w:p>
                      <w:pPr>
                        <w:widowControl w:val="0"/>
                        <w:suppressAutoHyphens/>
                        <w:ind w:right="283" w:firstLine="567"/>
                        <w:jc w:val="both"/>
                        <w:rPr>
                          <w:color w:val="000000"/>
                          <w:lang w:eastAsia="lt-LT"/>
                        </w:rPr>
                      </w:pPr>
                      <w:sdt>
                        <w:sdtPr>
                          <w:alias w:val="Numeris"/>
                          <w:tag w:val="nr_41f56141851a46df82adcf6b037250a9"/>
                          <w:lock w:val="sdtLocked"/>
                          <w:richText/>
                        </w:sdtPr>
                        <w:sdtContent>
                          <w:r>
                            <w:rPr>
                              <w:color w:val="000000"/>
                              <w:lang w:eastAsia="lt-LT"/>
                            </w:rPr>
                            <w:t>13.1</w:t>
                          </w:r>
                        </w:sdtContent>
                      </w:sdt>
                      <w:r>
                        <w:rPr>
                          <w:color w:val="000000"/>
                          <w:lang w:eastAsia="lt-LT"/>
                        </w:rPr>
                        <w:t>.</w:t>
                        <w:tab/>
                        <w:t>informacija apie klaidų taisymą;</w:t>
                      </w:r>
                    </w:p>
                  </w:sdtContent>
                </w:sdt>
                <w:sdt>
                  <w:sdtPr>
                    <w:alias w:val="13.2 pp."/>
                    <w:tag w:val="part_7eec444537a14711a96397a4e2b34ad4"/>
                    <w:lock w:val="sdtLocked"/>
                    <w:richText/>
                  </w:sdtPr>
                  <w:sdtContent>
                    <w:p>
                      <w:pPr>
                        <w:widowControl w:val="0"/>
                        <w:suppressAutoHyphens/>
                        <w:ind w:right="283" w:firstLine="567"/>
                        <w:jc w:val="both"/>
                        <w:rPr>
                          <w:color w:val="000000"/>
                          <w:lang w:eastAsia="lt-LT"/>
                        </w:rPr>
                      </w:pPr>
                      <w:sdt>
                        <w:sdtPr>
                          <w:alias w:val="Numeris"/>
                          <w:tag w:val="nr_7eec444537a14711a96397a4e2b34ad4"/>
                          <w:lock w:val="sdtLocked"/>
                          <w:richText/>
                        </w:sdtPr>
                        <w:sdtContent>
                          <w:r>
                            <w:rPr>
                              <w:color w:val="000000"/>
                              <w:lang w:eastAsia="lt-LT"/>
                            </w:rPr>
                            <w:t>13.2</w:t>
                          </w:r>
                        </w:sdtContent>
                      </w:sdt>
                      <w:r>
                        <w:rPr>
                          <w:color w:val="000000"/>
                          <w:lang w:eastAsia="lt-LT"/>
                        </w:rPr>
                        <w:t>.</w:t>
                        <w:tab/>
                        <w:t>informacija apie neapibrėžtųjų įsipareigojimų ar neapibrėžtojo turto pokyčius;</w:t>
                      </w:r>
                    </w:p>
                  </w:sdtContent>
                </w:sdt>
                <w:sdt>
                  <w:sdtPr>
                    <w:alias w:val="13.3 pp."/>
                    <w:tag w:val="part_ad709db7d96f4c0388d50c59f17f8fda"/>
                    <w:lock w:val="sdtLocked"/>
                    <w:richText/>
                  </w:sdtPr>
                  <w:sdtContent>
                    <w:p>
                      <w:pPr>
                        <w:widowControl w:val="0"/>
                        <w:suppressAutoHyphens/>
                        <w:ind w:right="283" w:firstLine="567"/>
                        <w:jc w:val="both"/>
                        <w:rPr>
                          <w:color w:val="000000"/>
                          <w:lang w:eastAsia="lt-LT"/>
                        </w:rPr>
                      </w:pPr>
                      <w:sdt>
                        <w:sdtPr>
                          <w:alias w:val="Numeris"/>
                          <w:tag w:val="nr_ad709db7d96f4c0388d50c59f17f8fda"/>
                          <w:lock w:val="sdtLocked"/>
                          <w:richText/>
                        </w:sdtPr>
                        <w:sdtContent>
                          <w:r>
                            <w:rPr>
                              <w:color w:val="000000"/>
                              <w:lang w:eastAsia="lt-LT"/>
                            </w:rPr>
                            <w:t>13.3</w:t>
                          </w:r>
                        </w:sdtContent>
                      </w:sdt>
                      <w:r>
                        <w:rPr>
                          <w:color w:val="000000"/>
                          <w:lang w:eastAsia="lt-LT"/>
                        </w:rPr>
                        <w:t>.</w:t>
                        <w:tab/>
                        <w:t>sprendimai dėl teisinių ginčų;</w:t>
                      </w:r>
                    </w:p>
                  </w:sdtContent>
                </w:sdt>
                <w:sdt>
                  <w:sdtPr>
                    <w:alias w:val="13.4 pp."/>
                    <w:tag w:val="part_6b88dc37bd2049dd9cd60b34879f060f"/>
                    <w:lock w:val="sdtLocked"/>
                    <w:richText/>
                  </w:sdtPr>
                  <w:sdtContent>
                    <w:p>
                      <w:pPr>
                        <w:widowControl w:val="0"/>
                        <w:tabs>
                          <w:tab w:val="left" w:pos="1134"/>
                        </w:tabs>
                        <w:suppressAutoHyphens/>
                        <w:ind w:right="283" w:firstLine="567"/>
                        <w:jc w:val="both"/>
                        <w:rPr>
                          <w:color w:val="000000"/>
                          <w:lang w:eastAsia="lt-LT"/>
                        </w:rPr>
                      </w:pPr>
                      <w:sdt>
                        <w:sdtPr>
                          <w:alias w:val="Numeris"/>
                          <w:tag w:val="nr_6b88dc37bd2049dd9cd60b34879f060f"/>
                          <w:lock w:val="sdtLocked"/>
                          <w:richText/>
                        </w:sdtPr>
                        <w:sdtContent>
                          <w:r>
                            <w:rPr>
                              <w:color w:val="000000"/>
                            </w:rPr>
                            <w:t>13.4</w:t>
                          </w:r>
                        </w:sdtContent>
                      </w:sdt>
                      <w:r>
                        <w:rPr>
                          <w:color w:val="000000"/>
                        </w:rPr>
                        <w:t>.</w:t>
                        <w:tab/>
                      </w:r>
                      <w:r>
                        <w:rPr>
                          <w:color w:val="000000"/>
                          <w:lang w:eastAsia="lt-LT"/>
                        </w:rPr>
                        <w:t>reikšmingi įvykiai po paskutinės tarpinio ataskaitinio laikotarpio dienos, nurodant, kiek ir kurį finansinių ataskaitų straipsnį reikšmingi įvykiai paveikė arba gali paveikti.</w:t>
                      </w:r>
                      <w:r>
                        <w:rPr>
                          <w:lang w:eastAsia="lt-LT"/>
                        </w:rPr>
                        <w:t xml:space="preserve"> </w:t>
                      </w:r>
                    </w:p>
                  </w:sdtContent>
                </w:sdt>
              </w:sdtContent>
            </w:sdt>
            <w:sdt>
              <w:sdtPr>
                <w:alias w:val="14 p."/>
                <w:tag w:val="part_8e9e15f669594485b56d349e086ff08f"/>
                <w:lock w:val="sdtLocked"/>
                <w:richText/>
              </w:sdtPr>
              <w:sdtContent>
                <w:p>
                  <w:pPr>
                    <w:widowControl w:val="0"/>
                    <w:suppressAutoHyphens/>
                    <w:ind w:right="283" w:firstLine="567"/>
                    <w:jc w:val="both"/>
                    <w:rPr>
                      <w:color w:val="000000"/>
                      <w:lang w:eastAsia="lt-LT"/>
                    </w:rPr>
                  </w:pPr>
                  <w:sdt>
                    <w:sdtPr>
                      <w:alias w:val="Numeris"/>
                      <w:tag w:val="nr_8e9e15f669594485b56d349e086ff08f"/>
                      <w:lock w:val="sdtLocked"/>
                      <w:richText/>
                    </w:sdtPr>
                    <w:sdtContent>
                      <w:r>
                        <w:rPr>
                          <w:color w:val="000000"/>
                          <w:lang w:eastAsia="lt-LT"/>
                        </w:rPr>
                        <w:t>14</w:t>
                      </w:r>
                    </w:sdtContent>
                  </w:sdt>
                  <w:r>
                    <w:rPr>
                      <w:color w:val="000000"/>
                      <w:lang w:eastAsia="lt-LT"/>
                    </w:rPr>
                    <w:t>.</w:t>
                    <w:tab/>
                    <w:t>Kai tarpinių finansinių ataskaitų rinkinys rengiamas ne pirmą kartą ir jeigu nebuvo pakeitimų arba pokyčių aiškinamojo rašto bendrosios informacijos, apskaitos politikos ir pastabų dalyse, sutrumpintame aiškinamajame rašte teikiamos nuorodos į paskutinį metinių arba tarpinių finansinių ataskaitų rinkinį. Jeigu nuo ataskaitinių finansinių metų pradžios iki paskutinės tarpinio ataskaitinio laikotarpio dienos buvo pakeitimų arba pokyčių aiškinamojo rašto bendrosios informacijos, apskaitos politikos ir pastabų dalyse, aiškinamajame rašte nurodoma:</w:t>
                  </w:r>
                </w:p>
                <w:sdt>
                  <w:sdtPr>
                    <w:alias w:val="14.1 pp."/>
                    <w:tag w:val="part_ac36bde3e7254b05ae08e13ea847191b"/>
                    <w:lock w:val="sdtLocked"/>
                    <w:richText/>
                  </w:sdtPr>
                  <w:sdtContent>
                    <w:p>
                      <w:pPr>
                        <w:widowControl w:val="0"/>
                        <w:suppressAutoHyphens/>
                        <w:ind w:right="283" w:firstLine="567"/>
                        <w:jc w:val="both"/>
                        <w:rPr>
                          <w:color w:val="000000"/>
                          <w:lang w:eastAsia="lt-LT"/>
                        </w:rPr>
                      </w:pPr>
                      <w:sdt>
                        <w:sdtPr>
                          <w:alias w:val="Numeris"/>
                          <w:tag w:val="nr_ac36bde3e7254b05ae08e13ea847191b"/>
                          <w:lock w:val="sdtLocked"/>
                          <w:richText/>
                        </w:sdtPr>
                        <w:sdtContent>
                          <w:r>
                            <w:rPr>
                              <w:color w:val="000000"/>
                              <w:lang w:eastAsia="lt-LT"/>
                            </w:rPr>
                            <w:t>14.1</w:t>
                          </w:r>
                        </w:sdtContent>
                      </w:sdt>
                      <w:r>
                        <w:rPr>
                          <w:color w:val="000000"/>
                          <w:lang w:eastAsia="lt-LT"/>
                        </w:rPr>
                        <w:t>.</w:t>
                        <w:tab/>
                        <w:t>bendrosios informacijos dalyje – bendrieji duomenys apie viešojo sektoriaus subjektą;</w:t>
                      </w:r>
                    </w:p>
                  </w:sdtContent>
                </w:sdt>
                <w:sdt>
                  <w:sdtPr>
                    <w:alias w:val="14.2 pp."/>
                    <w:tag w:val="part_c0f7b67de186410795220000dc0ade4e"/>
                    <w:lock w:val="sdtLocked"/>
                    <w:richText/>
                  </w:sdtPr>
                  <w:sdtContent>
                    <w:p>
                      <w:pPr>
                        <w:widowControl w:val="0"/>
                        <w:suppressAutoHyphens/>
                        <w:ind w:right="283" w:firstLine="567"/>
                        <w:jc w:val="both"/>
                        <w:rPr>
                          <w:color w:val="000000"/>
                          <w:lang w:eastAsia="lt-LT"/>
                        </w:rPr>
                      </w:pPr>
                      <w:sdt>
                        <w:sdtPr>
                          <w:alias w:val="Numeris"/>
                          <w:tag w:val="nr_c0f7b67de186410795220000dc0ade4e"/>
                          <w:lock w:val="sdtLocked"/>
                          <w:richText/>
                        </w:sdtPr>
                        <w:sdtContent>
                          <w:r>
                            <w:rPr>
                              <w:color w:val="000000"/>
                              <w:lang w:eastAsia="lt-LT"/>
                            </w:rPr>
                            <w:t>14.2</w:t>
                          </w:r>
                        </w:sdtContent>
                      </w:sdt>
                      <w:r>
                        <w:rPr>
                          <w:color w:val="000000"/>
                          <w:lang w:eastAsia="lt-LT"/>
                        </w:rPr>
                        <w:t>.</w:t>
                        <w:tab/>
                        <w:t>apskaitos politikos dalyje – apskaitos politikos, apskaitinių įverčių keitimų aprašymai ir priežastys;</w:t>
                      </w:r>
                    </w:p>
                  </w:sdtContent>
                </w:sdt>
                <w:sdt>
                  <w:sdtPr>
                    <w:alias w:val="14.3 pp."/>
                    <w:tag w:val="part_cad572be7c9e4dcfada91b3b6d7b6b24"/>
                    <w:lock w:val="sdtLocked"/>
                    <w:richText/>
                  </w:sdtPr>
                  <w:sdtContent>
                    <w:p>
                      <w:pPr>
                        <w:widowControl w:val="0"/>
                        <w:suppressAutoHyphens/>
                        <w:ind w:right="283" w:firstLine="567"/>
                        <w:jc w:val="both"/>
                        <w:rPr>
                          <w:color w:val="000000"/>
                          <w:spacing w:val="-5"/>
                          <w:lang w:eastAsia="lt-LT"/>
                        </w:rPr>
                      </w:pPr>
                      <w:sdt>
                        <w:sdtPr>
                          <w:alias w:val="Numeris"/>
                          <w:tag w:val="nr_cad572be7c9e4dcfada91b3b6d7b6b24"/>
                          <w:lock w:val="sdtLocked"/>
                          <w:richText/>
                        </w:sdtPr>
                        <w:sdtContent>
                          <w:r>
                            <w:rPr>
                              <w:color w:val="000000"/>
                              <w:spacing w:val="-5"/>
                            </w:rPr>
                            <w:t>14.3</w:t>
                          </w:r>
                        </w:sdtContent>
                      </w:sdt>
                      <w:r>
                        <w:rPr>
                          <w:color w:val="000000"/>
                          <w:spacing w:val="-5"/>
                        </w:rPr>
                        <w:t>.</w:t>
                        <w:tab/>
                      </w:r>
                      <w:r>
                        <w:rPr>
                          <w:color w:val="000000"/>
                          <w:lang w:eastAsia="lt-LT"/>
                        </w:rPr>
                        <w:t>pastabų dalyje – Standarto 13.1–13.4 papunkčiuose nustatyta informacija.</w:t>
                      </w:r>
                      <w:r>
                        <w:rPr>
                          <w:lang w:eastAsia="lt-LT"/>
                        </w:rPr>
                        <w:t xml:space="preserve"> </w:t>
                      </w:r>
                    </w:p>
                  </w:sdtContent>
                </w:sdt>
              </w:sdtContent>
            </w:sdt>
            <w:sdt>
              <w:sdtPr>
                <w:alias w:val="15 p."/>
                <w:tag w:val="part_54a6c0f387e64ffb8a4ccc0347752190"/>
                <w:lock w:val="sdtLocked"/>
                <w:richText/>
              </w:sdtPr>
              <w:sdtContent>
                <w:p>
                  <w:pPr>
                    <w:ind w:right="283" w:firstLine="556"/>
                    <w:jc w:val="both"/>
                    <w:rPr>
                      <w:lang w:eastAsia="lt-LT"/>
                    </w:rPr>
                  </w:pPr>
                  <w:sdt>
                    <w:sdtPr>
                      <w:alias w:val="Numeris"/>
                      <w:tag w:val="nr_54a6c0f387e64ffb8a4ccc0347752190"/>
                      <w:lock w:val="sdtLocked"/>
                      <w:richText/>
                    </w:sdtPr>
                    <w:sdtContent>
                      <w:r>
                        <w:rPr>
                          <w:lang w:eastAsia="lt-LT"/>
                        </w:rPr>
                        <w:t>15</w:t>
                      </w:r>
                    </w:sdtContent>
                  </w:sdt>
                  <w:r>
                    <w:rPr>
                      <w:lang w:eastAsia="lt-LT"/>
                    </w:rPr>
                    <w:t>.</w:t>
                    <w:tab/>
                    <w:t xml:space="preserve">Be to, kas nurodyta Standarto 14 punkte, sutrumpintame viešųjų įstaigų aiškinamajame rašte detalizuojama ši finansinės būklės ir veiklos rezultatų ataskaitose pateikta informacija: </w:t>
                  </w:r>
                </w:p>
                <w:sdt>
                  <w:sdtPr>
                    <w:alias w:val="15.1 pp."/>
                    <w:tag w:val="part_5fc87eff646b4f59b8e41a6639f61590"/>
                    <w:lock w:val="sdtLocked"/>
                    <w:richText/>
                  </w:sdtPr>
                  <w:sdtContent>
                    <w:p>
                      <w:pPr>
                        <w:ind w:right="283" w:firstLine="567"/>
                        <w:jc w:val="both"/>
                        <w:rPr>
                          <w:lang w:eastAsia="lt-LT"/>
                        </w:rPr>
                      </w:pPr>
                      <w:sdt>
                        <w:sdtPr>
                          <w:alias w:val="Numeris"/>
                          <w:tag w:val="nr_5fc87eff646b4f59b8e41a6639f61590"/>
                          <w:lock w:val="sdtLocked"/>
                          <w:richText/>
                        </w:sdtPr>
                        <w:sdtContent>
                          <w:r>
                            <w:rPr>
                              <w:lang w:eastAsia="lt-LT"/>
                            </w:rPr>
                            <w:t>15.1</w:t>
                          </w:r>
                        </w:sdtContent>
                      </w:sdt>
                      <w:r>
                        <w:rPr>
                          <w:lang w:eastAsia="lt-LT"/>
                        </w:rPr>
                        <w:t>.</w:t>
                        <w:tab/>
                        <w:t>apie finansinės ir investicinės veiklos pajamas ir sąnaudas – pagal 6-ojo VSAFAS „Finansinių ataskaitų aiškinamasis raštas“, 4 priede nustatytą formą;</w:t>
                      </w:r>
                    </w:p>
                  </w:sdtContent>
                </w:sdt>
                <w:sdt>
                  <w:sdtPr>
                    <w:alias w:val="15.2 pp."/>
                    <w:tag w:val="part_db4a0f8f2fe346eb87559b71d17c93ac"/>
                    <w:lock w:val="sdtLocked"/>
                    <w:richText/>
                  </w:sdtPr>
                  <w:sdtContent>
                    <w:p>
                      <w:pPr>
                        <w:ind w:right="283" w:firstLine="567"/>
                        <w:jc w:val="both"/>
                        <w:rPr>
                          <w:lang w:eastAsia="lt-LT"/>
                        </w:rPr>
                      </w:pPr>
                      <w:sdt>
                        <w:sdtPr>
                          <w:alias w:val="Numeris"/>
                          <w:tag w:val="nr_db4a0f8f2fe346eb87559b71d17c93ac"/>
                          <w:lock w:val="sdtLocked"/>
                          <w:richText/>
                        </w:sdtPr>
                        <w:sdtContent>
                          <w:r>
                            <w:rPr>
                              <w:lang w:eastAsia="lt-LT"/>
                            </w:rPr>
                            <w:t>15.2</w:t>
                          </w:r>
                        </w:sdtContent>
                      </w:sdt>
                      <w:r>
                        <w:rPr>
                          <w:lang w:eastAsia="lt-LT"/>
                        </w:rPr>
                        <w:t>.</w:t>
                        <w:tab/>
                        <w:t>apie atsargų vertės pasikeitimą – pagal 8-ojo viešojo sektoriaus apskaitos ir finansinės atskaitomybės standarto „Atsargos“, patvirtinto Lietuvos Respublikos finansų ministro 2008 m. birželio 20 d. įsakymu Nr. 1K-220 „Dėl viešojo sektoriaus apskaitos ir finansinės atskaitomybės 8-ojo standarto patvirtinimo“, 1 priede nustatytą formą;</w:t>
                      </w:r>
                    </w:p>
                  </w:sdtContent>
                </w:sdt>
                <w:sdt>
                  <w:sdtPr>
                    <w:alias w:val="15.3 pp."/>
                    <w:tag w:val="part_ff453016c58e44d78ab68a30dda3e886"/>
                    <w:lock w:val="sdtLocked"/>
                    <w:richText/>
                  </w:sdtPr>
                  <w:sdtContent>
                    <w:p>
                      <w:pPr>
                        <w:tabs>
                          <w:tab w:val="left" w:pos="0"/>
                          <w:tab w:val="left" w:pos="426"/>
                          <w:tab w:val="left" w:pos="567"/>
                          <w:tab w:val="left" w:pos="851"/>
                          <w:tab w:val="left" w:pos="993"/>
                          <w:tab w:val="left" w:pos="1276"/>
                        </w:tabs>
                        <w:ind w:right="283" w:firstLine="567"/>
                        <w:jc w:val="both"/>
                        <w:rPr>
                          <w:lang w:eastAsia="lt-LT"/>
                        </w:rPr>
                      </w:pPr>
                      <w:sdt>
                        <w:sdtPr>
                          <w:alias w:val="Numeris"/>
                          <w:tag w:val="nr_ff453016c58e44d78ab68a30dda3e886"/>
                          <w:lock w:val="sdtLocked"/>
                          <w:richText/>
                        </w:sdtPr>
                        <w:sdtContent>
                          <w:r>
                            <w:rPr>
                              <w:lang w:eastAsia="lt-LT"/>
                            </w:rPr>
                            <w:t>15.3</w:t>
                          </w:r>
                        </w:sdtContent>
                      </w:sdt>
                      <w:r>
                        <w:rPr>
                          <w:lang w:eastAsia="lt-LT"/>
                        </w:rPr>
                        <w:t>.</w:t>
                        <w:tab/>
                      </w:r>
                      <w:r>
                        <w:rPr>
                          <w:szCs w:val="22"/>
                          <w:lang w:eastAsia="lt-LT"/>
                        </w:rPr>
                        <w:t>apie ilgalaikio materialiojo turto, vertinamo įsigijimo savikaina ir tikrąja verte, balansinės vertės pasikeitimą – pagal 12-ojo viešojo sektoriaus apskaitos ir finansinės atskaitomybės standarto „Ilgalaikis materialusis turtas“, patvirtinto Lietuvos Respublikos finansų ministro 2008 m. gegužės 8 d. įsakymu Nr. 1K-174 „Dėl viešojo sektoriaus apskaitos ir finansinės atskaitomybės 12-ojo standarto patvirtinimo“, 1 ir 2 prieduose nustatytas formas;</w:t>
                      </w:r>
                      <w:r>
                        <w:rPr>
                          <w:lang w:eastAsia="lt-LT"/>
                        </w:rPr>
                        <w:t xml:space="preserve"> </w:t>
                      </w:r>
                    </w:p>
                  </w:sdtContent>
                </w:sdt>
                <w:sdt>
                  <w:sdtPr>
                    <w:alias w:val="15.4 pp."/>
                    <w:tag w:val="part_b64fd0820b8d4c9c9d3d2490f771f94a"/>
                    <w:lock w:val="sdtLocked"/>
                    <w:richText/>
                  </w:sdtPr>
                  <w:sdtContent>
                    <w:p>
                      <w:pPr>
                        <w:ind w:right="283" w:firstLine="567"/>
                        <w:jc w:val="both"/>
                        <w:rPr>
                          <w:lang w:eastAsia="lt-LT"/>
                        </w:rPr>
                      </w:pPr>
                      <w:sdt>
                        <w:sdtPr>
                          <w:alias w:val="Numeris"/>
                          <w:tag w:val="nr_b64fd0820b8d4c9c9d3d2490f771f94a"/>
                          <w:lock w:val="sdtLocked"/>
                          <w:richText/>
                        </w:sdtPr>
                        <w:sdtContent>
                          <w:r>
                            <w:rPr>
                              <w:lang w:eastAsia="lt-LT"/>
                            </w:rPr>
                            <w:t>15.4</w:t>
                          </w:r>
                        </w:sdtContent>
                      </w:sdt>
                      <w:r>
                        <w:rPr>
                          <w:lang w:eastAsia="lt-LT"/>
                        </w:rPr>
                        <w:t>.</w:t>
                        <w:tab/>
                        <w:t>apie nematerialiojo turto balansinės vertės pasikeitimą – pagal 13-ojo viešojo sektoriaus apskaitos ir finansinės atskaitomybės standarto „Nematerialusis turtas“, patvirtinto Lietuvos Respublikos finansų ministro 2008 m. liepos 16 d. įsakymu Nr. 1K-238 „Dėl viešojo sektoriaus apskaitos ir finansinės atskaitomybės 13-ojo standarto patvirtinimo“, 1 priede nustatytą formą;</w:t>
                      </w:r>
                    </w:p>
                  </w:sdtContent>
                </w:sdt>
                <w:sdt>
                  <w:sdtPr>
                    <w:alias w:val="15.5 pp."/>
                    <w:tag w:val="part_bbdd02fb1e494c9fa7ccf6dd3587ff92"/>
                    <w:lock w:val="sdtLocked"/>
                    <w:richText/>
                  </w:sdtPr>
                  <w:sdtContent>
                    <w:p>
                      <w:pPr>
                        <w:ind w:right="283" w:firstLine="567"/>
                        <w:jc w:val="both"/>
                        <w:rPr>
                          <w:color w:val="000000"/>
                          <w:lang w:eastAsia="lt-LT"/>
                        </w:rPr>
                      </w:pPr>
                      <w:sdt>
                        <w:sdtPr>
                          <w:alias w:val="Numeris"/>
                          <w:tag w:val="nr_bbdd02fb1e494c9fa7ccf6dd3587ff92"/>
                          <w:lock w:val="sdtLocked"/>
                          <w:richText/>
                        </w:sdtPr>
                        <w:sdtContent>
                          <w:r>
                            <w:rPr>
                              <w:color w:val="000000"/>
                            </w:rPr>
                            <w:t>15.5</w:t>
                          </w:r>
                        </w:sdtContent>
                      </w:sdt>
                      <w:r>
                        <w:rPr>
                          <w:color w:val="000000"/>
                        </w:rPr>
                        <w:t>.</w:t>
                        <w:tab/>
                      </w:r>
                      <w:r>
                        <w:rPr>
                          <w:lang w:eastAsia="lt-LT"/>
                        </w:rPr>
                        <w:t xml:space="preserve">apie finansavimo sumas pagal šaltinį, tikslinę paskirtį ir jų pokyčius per ataskaitinį laikotarpį – pagal 20-ojo viešojo sektoriaus apskaitos ir finansinės atskaitomybės standarto „Finansavimo sumos“, patvirtinto Lietuvos Respublikos finansų ministro 2008 m. birželio 9 d. įsakymu Nr. 1K-205 „Dėl 20-ojo viešojo sektoriaus apskaitos ir finansinės atskaitomybės standarto patvirtinimo“, 4 priede nustatytą formą. </w:t>
                      </w:r>
                    </w:p>
                    <w:p>
                      <w:pPr>
                        <w:ind w:right="283"/>
                        <w:rPr>
                          <w:lang w:eastAsia="lt-LT"/>
                        </w:rPr>
                      </w:pPr>
                    </w:p>
                  </w:sdtContent>
                </w:sdt>
              </w:sdtContent>
            </w:sdt>
          </w:sdtContent>
        </w:sdt>
        <w:sdt>
          <w:sdtPr>
            <w:alias w:val="skyrius"/>
            <w:tag w:val="part_a10360cf479445fb824fe2d8c760400c"/>
            <w:lock w:val="sdtLocked"/>
            <w:richText/>
          </w:sdtPr>
          <w:sdtContent>
            <w:p>
              <w:pPr>
                <w:widowControl w:val="0"/>
                <w:tabs>
                  <w:tab w:val="left" w:pos="1134"/>
                </w:tabs>
                <w:ind w:right="283"/>
                <w:jc w:val="center"/>
                <w:rPr>
                  <w:b/>
                  <w:lang w:eastAsia="lt-LT"/>
                </w:rPr>
              </w:pPr>
              <w:sdt>
                <w:sdtPr>
                  <w:alias w:val="Numeris"/>
                  <w:tag w:val="nr_a10360cf479445fb824fe2d8c760400c"/>
                  <w:lock w:val="sdtLocked"/>
                  <w:richText/>
                </w:sdtPr>
                <w:sdtContent>
                  <w:r>
                    <w:rPr>
                      <w:b/>
                      <w:lang w:eastAsia="lt-LT"/>
                    </w:rPr>
                    <w:t>V</w:t>
                  </w:r>
                </w:sdtContent>
              </w:sdt>
              <w:r>
                <w:rPr>
                  <w:b/>
                  <w:lang w:eastAsia="lt-LT"/>
                </w:rPr>
                <w:t xml:space="preserve"> SKYRIUS</w:t>
              </w:r>
            </w:p>
            <w:p>
              <w:pPr>
                <w:widowControl w:val="0"/>
                <w:tabs>
                  <w:tab w:val="left" w:pos="1134"/>
                </w:tabs>
                <w:ind w:right="283"/>
                <w:jc w:val="center"/>
                <w:rPr>
                  <w:lang w:eastAsia="lt-LT"/>
                </w:rPr>
              </w:pPr>
              <w:sdt>
                <w:sdtPr>
                  <w:alias w:val="Pavadinimas"/>
                  <w:tag w:val="title_a10360cf479445fb824fe2d8c760400c"/>
                  <w:lock w:val="sdtLocked"/>
                  <w:richText/>
                </w:sdtPr>
                <w:sdtContent>
                  <w:r>
                    <w:rPr>
                      <w:b/>
                      <w:lang w:eastAsia="lt-LT"/>
                    </w:rPr>
                    <w:t>TARPINIŲ FINANSINIŲ ATASKAITŲ RINKINIO TEIKIMAS IR SKELBIMAS</w:t>
                  </w:r>
                </w:sdtContent>
              </w:sdt>
            </w:p>
            <w:p>
              <w:pPr>
                <w:ind w:right="283" w:firstLine="567"/>
                <w:jc w:val="both"/>
                <w:rPr>
                  <w:szCs w:val="24"/>
                  <w:lang w:eastAsia="lt-LT"/>
                </w:rPr>
              </w:pPr>
            </w:p>
            <w:sdt>
              <w:sdtPr>
                <w:alias w:val="16 p."/>
                <w:tag w:val="part_23a60de7a7734959a1da66c86929e61d"/>
                <w:lock w:val="sdtLocked"/>
                <w:richText/>
              </w:sdtPr>
              <w:sdtContent>
                <w:p>
                  <w:pPr>
                    <w:ind w:right="283" w:firstLine="567"/>
                    <w:jc w:val="both"/>
                    <w:rPr>
                      <w:szCs w:val="24"/>
                      <w:lang w:eastAsia="lt-LT"/>
                    </w:rPr>
                  </w:pPr>
                  <w:sdt>
                    <w:sdtPr>
                      <w:alias w:val="Numeris"/>
                      <w:tag w:val="nr_23a60de7a7734959a1da66c86929e61d"/>
                      <w:lock w:val="sdtLocked"/>
                      <w:richText/>
                    </w:sdtPr>
                    <w:sdtContent>
                      <w:r>
                        <w:rPr>
                          <w:szCs w:val="24"/>
                          <w:lang w:eastAsia="lt-LT"/>
                        </w:rPr>
                        <w:t>16</w:t>
                      </w:r>
                    </w:sdtContent>
                  </w:sdt>
                  <w:r>
                    <w:rPr>
                      <w:szCs w:val="24"/>
                      <w:lang w:eastAsia="lt-LT"/>
                    </w:rPr>
                    <w:t>.</w:t>
                    <w:tab/>
                    <w:t xml:space="preserve">Viešojo sektoriaus subjektas </w:t>
                  </w:r>
                  <w:r>
                    <w:rPr>
                      <w:lang w:eastAsia="lt-LT"/>
                    </w:rPr>
                    <w:t xml:space="preserve">arba centralizuotos apskaitos įstaiga – biudžetinė įstaiga, kuriai perduotas viešojo sektoriaus subjekto apskaitos tvarkymas, (toliau – centralizuotos apskaitos įstaiga) </w:t>
                  </w:r>
                  <w:r>
                    <w:rPr>
                      <w:szCs w:val="24"/>
                      <w:lang w:eastAsia="lt-LT"/>
                    </w:rPr>
                    <w:t xml:space="preserve">tarpinių finansinių ataskaitų rinkinį elektroniniu būdu teikia kontroliuojančiajam viešojo sektoriaus subjektui ne vėliau kaip per 50 dienų pasibaigus tarpiniam ataskaitiniam laikotarpiui, </w:t>
                  </w:r>
                  <w:r>
                    <w:rPr>
                      <w:lang w:eastAsia="lt-LT"/>
                    </w:rPr>
                    <w:t>o kai viešojo sektoriaus subjektas neturi kontroliuojančiojo viešojo sektoriaus subjekto, – Lietuvos Respublikos finansų ministerijai, jeigu ji pareikalauja.</w:t>
                  </w:r>
                </w:p>
              </w:sdtContent>
            </w:sdt>
            <w:sdt>
              <w:sdtPr>
                <w:alias w:val="17 p."/>
                <w:tag w:val="part_d6a72853513f425eb68e80296ef952a7"/>
                <w:lock w:val="sdtLocked"/>
                <w:richText/>
              </w:sdtPr>
              <w:sdtContent>
                <w:p>
                  <w:pPr>
                    <w:ind w:right="283" w:firstLine="567"/>
                    <w:jc w:val="both"/>
                    <w:rPr>
                      <w:color w:val="000000"/>
                      <w:szCs w:val="24"/>
                      <w:lang w:eastAsia="lt-LT"/>
                    </w:rPr>
                  </w:pPr>
                  <w:sdt>
                    <w:sdtPr>
                      <w:alias w:val="Numeris"/>
                      <w:tag w:val="nr_d6a72853513f425eb68e80296ef952a7"/>
                      <w:lock w:val="sdtLocked"/>
                      <w:richText/>
                    </w:sdtPr>
                    <w:sdtContent>
                      <w:r>
                        <w:rPr>
                          <w:color w:val="000000"/>
                          <w:szCs w:val="24"/>
                          <w:lang w:eastAsia="lt-LT"/>
                        </w:rPr>
                        <w:t>17</w:t>
                      </w:r>
                    </w:sdtContent>
                  </w:sdt>
                  <w:r>
                    <w:rPr>
                      <w:color w:val="000000"/>
                      <w:szCs w:val="24"/>
                      <w:lang w:eastAsia="lt-LT"/>
                    </w:rPr>
                    <w:t>.</w:t>
                    <w:tab/>
                    <w:t>Viešojo sektoriaus subjektas arba centralizuotos apskaitos įstaiga teikia išteklių ir mokesčių fondų administratorių ar tvarkytojų nustatyta tvarka ir terminais informaciją, kuri reikalinga jų tarpinių finansinių ataskaitų rinkiniui rengti.</w:t>
                  </w:r>
                </w:p>
              </w:sdtContent>
            </w:sdt>
            <w:sdt>
              <w:sdtPr>
                <w:alias w:val="18 p."/>
                <w:tag w:val="part_ce6ace1e77524128a60f5f55d95d79f8"/>
                <w:lock w:val="sdtLocked"/>
                <w:richText/>
              </w:sdtPr>
              <w:sdtContent>
                <w:p>
                  <w:pPr>
                    <w:ind w:right="283" w:firstLine="567"/>
                    <w:jc w:val="both"/>
                    <w:rPr>
                      <w:color w:val="000000"/>
                      <w:szCs w:val="24"/>
                      <w:lang w:eastAsia="lt-LT"/>
                    </w:rPr>
                  </w:pPr>
                  <w:sdt>
                    <w:sdtPr>
                      <w:alias w:val="Numeris"/>
                      <w:tag w:val="nr_ce6ace1e77524128a60f5f55d95d79f8"/>
                      <w:lock w:val="sdtLocked"/>
                      <w:richText/>
                    </w:sdtPr>
                    <w:sdtContent>
                      <w:r>
                        <w:rPr>
                          <w:color w:val="000000"/>
                          <w:szCs w:val="24"/>
                          <w:lang w:eastAsia="lt-LT"/>
                        </w:rPr>
                        <w:t>18</w:t>
                      </w:r>
                    </w:sdtContent>
                  </w:sdt>
                  <w:r>
                    <w:rPr>
                      <w:color w:val="000000"/>
                      <w:szCs w:val="24"/>
                      <w:lang w:eastAsia="lt-LT"/>
                    </w:rPr>
                    <w:t>.</w:t>
                    <w:tab/>
                  </w:r>
                  <w:r>
                    <w:rPr>
                      <w:lang w:eastAsia="lt-LT"/>
                    </w:rPr>
                    <w:t xml:space="preserve">Viešojo sektoriaus subjektas savo tarpinių finansinių ataskaitų rinkinį skelbia savo interneto svetainėje. Jeigu viešojo sektoriaus subjektas savo interneto svetainės neturi, </w:t>
                  </w:r>
                  <w:r>
                    <w:rPr>
                      <w:bCs/>
                      <w:color w:val="000000"/>
                      <w:szCs w:val="24"/>
                      <w:lang w:eastAsia="lt-LT"/>
                    </w:rPr>
                    <w:t>tarpinių finansinių ataskaitų rinkinys skelbiamas kontroliuojančiojo viešojo sektoriaus subjekto interneto svetainėje.</w:t>
                  </w:r>
                  <w:r>
                    <w:rPr>
                      <w:color w:val="000000"/>
                      <w:szCs w:val="24"/>
                      <w:lang w:eastAsia="lt-LT"/>
                    </w:rPr>
                    <w:t xml:space="preserve"> </w:t>
                  </w:r>
                  <w:r>
                    <w:rPr>
                      <w:lang w:eastAsia="lt-LT"/>
                    </w:rPr>
                    <w:t xml:space="preserve">Jeigu viešojo sektoriaus subjektas savo interneto svetainės neturi ir neturi kontroliuojančiojo viešojo sektoriaus subjekto, </w:t>
                  </w:r>
                  <w:r>
                    <w:rPr>
                      <w:szCs w:val="24"/>
                      <w:lang w:eastAsia="lt-LT"/>
                    </w:rPr>
                    <w:t>tretiesiems asmenims turi būti sudarytos sąlygos su šiais dokumentais susipažinti viešojo sektoriaus subjekto buveinėje</w:t>
                  </w:r>
                  <w:r>
                    <w:rPr>
                      <w:bCs/>
                      <w:color w:val="000000"/>
                      <w:szCs w:val="24"/>
                      <w:lang w:eastAsia="lt-LT"/>
                    </w:rPr>
                    <w:t>.</w:t>
                  </w:r>
                </w:p>
              </w:sdtContent>
            </w:sdt>
            <w:sdt>
              <w:sdtPr>
                <w:alias w:val="19 p."/>
                <w:tag w:val="part_5fe4422478874f2f9f106d6044ac013e"/>
                <w:lock w:val="sdtLocked"/>
                <w:richText/>
              </w:sdtPr>
              <w:sdtContent>
                <w:p>
                  <w:pPr>
                    <w:ind w:right="283" w:firstLine="567"/>
                    <w:jc w:val="both"/>
                    <w:rPr>
                      <w:lang w:eastAsia="lt-LT"/>
                    </w:rPr>
                  </w:pPr>
                  <w:sdt>
                    <w:sdtPr>
                      <w:alias w:val="Numeris"/>
                      <w:tag w:val="nr_5fe4422478874f2f9f106d6044ac013e"/>
                      <w:lock w:val="sdtLocked"/>
                      <w:richText/>
                    </w:sdtPr>
                    <w:sdtContent>
                      <w:r>
                        <w:t>19</w:t>
                      </w:r>
                    </w:sdtContent>
                  </w:sdt>
                  <w:r>
                    <w:t>.</w:t>
                    <w:tab/>
                  </w:r>
                  <w:r>
                    <w:rPr>
                      <w:lang w:eastAsia="lt-LT"/>
                    </w:rPr>
                    <w:t xml:space="preserve">Tarpinių finansinių ataskaitų rinkinys skelbiamas per 10 dienų nuo finansinių ataskaitų rinkinio pateikimo kontroliuojančiajam viešojo sektoriaus subjektui dienos. </w:t>
                  </w:r>
                  <w:r>
                    <w:rPr>
                      <w:bCs/>
                      <w:color w:val="000000"/>
                      <w:szCs w:val="24"/>
                      <w:lang w:eastAsia="lt-LT"/>
                    </w:rPr>
                    <w:t xml:space="preserve">Jeigu viešojo sektoriaus subjektas neturi kontroliuojančiojo viešojo sektoriaus subjekto ir Finansų ministerija iš jo nepareikalauja pateikti tarpinių finansinių ataskaitų rinkinio, kaip nustatyta Standarto 16 punkte, viešojo sektoriaus subjekto </w:t>
                  </w:r>
                  <w:r>
                    <w:rPr>
                      <w:lang w:eastAsia="lt-LT"/>
                    </w:rPr>
                    <w:t>interneto svetainėje</w:t>
                  </w:r>
                  <w:r>
                    <w:rPr>
                      <w:bCs/>
                      <w:color w:val="000000"/>
                      <w:szCs w:val="24"/>
                      <w:lang w:eastAsia="lt-LT"/>
                    </w:rPr>
                    <w:t xml:space="preserve"> tarpinių finansinių ataskaitų rinkinys skelbiamas arba Standarto 18 punkte nustatytu atveju sudaromos sąlygos su juo susipažinti per 10 dienų nuo jo parengimo dienos. </w:t>
                  </w:r>
                  <w:r>
                    <w:rPr>
                      <w:lang w:eastAsia="lt-LT"/>
                    </w:rPr>
                    <w:t>Skelbiami ne mažiau kaip 3 praėjusių metų tarpinių finansinių ataskaitų rinkiniai.</w:t>
                  </w:r>
                  <w:r>
                    <w:rPr>
                      <w:szCs w:val="24"/>
                      <w:lang w:eastAsia="lt-LT"/>
                    </w:rPr>
                    <w:t xml:space="preserve"> </w:t>
                  </w:r>
                </w:p>
                <w:p>
                  <w:pPr>
                    <w:widowControl w:val="0"/>
                    <w:ind w:right="283"/>
                    <w:jc w:val="center"/>
                    <w:rPr>
                      <w:lang w:eastAsia="lt-LT"/>
                    </w:rPr>
                  </w:pPr>
                </w:p>
              </w:sdtContent>
            </w:sdt>
          </w:sdtContent>
        </w:sdt>
        <w:sdt>
          <w:sdtPr>
            <w:alias w:val="pabaiga"/>
            <w:tag w:val="part_90e633f7490d49468cb31ea7c1502ab8"/>
            <w:lock w:val="sdtLocked"/>
            <w:richText/>
          </w:sdtPr>
          <w:sdtContent>
            <w:p>
              <w:pPr>
                <w:widowControl w:val="0"/>
                <w:ind w:right="283"/>
                <w:jc w:val="center"/>
                <w:rPr>
                  <w:lang w:eastAsia="lt-LT"/>
                </w:rPr>
              </w:pPr>
              <w:r>
                <w:rPr>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F52E9A3775">
            <w:r w:rsidRPr="00532B9F">
              <w:rPr>
                <w:rFonts w:ascii="Times New Roman" w:eastAsia="MS Mincho" w:hAnsi="Times New Roman"/>
                <w:sz w:val="20"/>
                <w:i/>
                <w:iCs/>
                <w:color w:val="0000FF" w:themeColor="hyperlink"/>
                <w:u w:val="single"/>
              </w:rPr>
              <w:t>1K-051</w:t>
            </w:r>
          </w:fldSimple>
          <w:r>
            <w:rPr>
              <w:rFonts w:ascii="Times New Roman" w:eastAsia="MS Mincho" w:hAnsi="Times New Roman"/>
              <w:sz w:val="20"/>
              <w:i/>
              <w:iCs/>
            </w:rPr>
            <w:t>,
2010-03-02,
Žin., 2010, Nr.
27-1231 (2010-03-06), i. k. 1102050ISAK001K-051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4dfd4ef9d11f09cfce49e7aeb76fe">
            <w:r w:rsidRPr="00532B9F">
              <w:rPr>
                <w:rFonts w:ascii="Times New Roman" w:eastAsia="MS Mincho" w:hAnsi="Times New Roman"/>
                <w:sz w:val="20"/>
                <w:i/>
                <w:iCs/>
                <w:color w:val="0000FF" w:themeColor="hyperlink"/>
                <w:u w:val="single"/>
              </w:rPr>
              <w:t>1K-9</w:t>
            </w:r>
          </w:fldSimple>
          <w:r>
            <w:rPr>
              <w:rFonts w:ascii="Times New Roman" w:eastAsia="MS Mincho" w:hAnsi="Times New Roman"/>
              <w:sz w:val="20"/>
              <w:i/>
              <w:iCs/>
            </w:rPr>
            <w:t>,
2026-01-12,
paskelbta TAR 2026-01-12, i. k. 2026-00337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F52E9A3775">
            <w:r w:rsidRPr="00532B9F">
              <w:rPr>
                <w:rFonts w:ascii="Times New Roman" w:eastAsia="MS Mincho" w:hAnsi="Times New Roman"/>
                <w:sz w:val="20"/>
                <w:iCs/>
                <w:color w:val="0000FF" w:themeColor="hyperlink"/>
                <w:u w:val="single"/>
              </w:rPr>
              <w:t>1K-051</w:t>
            </w:r>
          </w:fldSimple>
          <w:r>
            <w:rPr>
              <w:rFonts w:ascii="Times New Roman" w:eastAsia="MS Mincho" w:hAnsi="Times New Roman"/>
              <w:sz w:val="20"/>
              <w:iCs/>
            </w:rPr>
            <w:t>,
2010-03-02,
Žin., 2010, Nr.
27-1231 (2010-03-06), i. k. 1102050ISAK001K-051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8E1F3D7865">
            <w:r w:rsidRPr="00532B9F">
              <w:rPr>
                <w:rFonts w:ascii="Times New Roman" w:eastAsia="MS Mincho" w:hAnsi="Times New Roman"/>
                <w:sz w:val="20"/>
                <w:iCs/>
                <w:color w:val="0000FF" w:themeColor="hyperlink"/>
                <w:u w:val="single"/>
              </w:rPr>
              <w:t>1K-040</w:t>
            </w:r>
          </w:fldSimple>
          <w:r>
            <w:rPr>
              <w:rFonts w:ascii="Times New Roman" w:eastAsia="MS Mincho" w:hAnsi="Times New Roman"/>
              <w:sz w:val="20"/>
              <w:iCs/>
            </w:rPr>
            <w:t>,
2011-01-31,
Žin., 2011, Nr.
15-699 (2011-02-05), i. k. 1112050ISAK001K-040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F9B5B4A565">
            <w:r w:rsidRPr="00532B9F">
              <w:rPr>
                <w:rFonts w:ascii="Times New Roman" w:eastAsia="MS Mincho" w:hAnsi="Times New Roman"/>
                <w:sz w:val="20"/>
                <w:iCs/>
                <w:color w:val="0000FF" w:themeColor="hyperlink"/>
                <w:u w:val="single"/>
              </w:rPr>
              <w:t>1K-048</w:t>
            </w:r>
          </w:fldSimple>
          <w:r>
            <w:rPr>
              <w:rFonts w:ascii="Times New Roman" w:eastAsia="MS Mincho" w:hAnsi="Times New Roman"/>
              <w:sz w:val="20"/>
              <w:iCs/>
            </w:rPr>
            <w:t>,
2012-02-09,
Žin., 2012, Nr.
21-984 (2012-02-15), i. k. 1122050ISAK001K-048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181912E563">
            <w:r w:rsidRPr="00532B9F">
              <w:rPr>
                <w:rFonts w:ascii="Times New Roman" w:eastAsia="MS Mincho" w:hAnsi="Times New Roman"/>
                <w:sz w:val="20"/>
                <w:iCs/>
                <w:color w:val="0000FF" w:themeColor="hyperlink"/>
                <w:u w:val="single"/>
              </w:rPr>
              <w:t>1K-403</w:t>
            </w:r>
          </w:fldSimple>
          <w:r>
            <w:rPr>
              <w:rFonts w:ascii="Times New Roman" w:eastAsia="MS Mincho" w:hAnsi="Times New Roman"/>
              <w:sz w:val="20"/>
              <w:iCs/>
            </w:rPr>
            <w:t>,
2013-12-16,
Žin., 2013, Nr.
130-6687 (2013-12-19), i. k. 1132050ISAK001K-403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7884085e611e481c9c95e73113964">
            <w:r w:rsidRPr="00532B9F">
              <w:rPr>
                <w:rFonts w:ascii="Times New Roman" w:eastAsia="MS Mincho" w:hAnsi="Times New Roman"/>
                <w:sz w:val="20"/>
                <w:iCs/>
                <w:color w:val="0000FF" w:themeColor="hyperlink"/>
                <w:u w:val="single"/>
              </w:rPr>
              <w:t>1K-464</w:t>
            </w:r>
          </w:fldSimple>
          <w:r>
            <w:rPr>
              <w:rFonts w:ascii="Times New Roman" w:eastAsia="MS Mincho" w:hAnsi="Times New Roman"/>
              <w:sz w:val="20"/>
              <w:iCs/>
            </w:rPr>
            <w:t>,
2014-12-17,
paskelbta TAR 2014-12-19, i. k. 2014-20114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69a4b002c911e6b9699b2946305ca6">
            <w:r w:rsidRPr="00532B9F">
              <w:rPr>
                <w:rFonts w:ascii="Times New Roman" w:eastAsia="MS Mincho" w:hAnsi="Times New Roman"/>
                <w:sz w:val="20"/>
                <w:iCs/>
                <w:color w:val="0000FF" w:themeColor="hyperlink"/>
                <w:u w:val="single"/>
              </w:rPr>
              <w:t>1K-135</w:t>
            </w:r>
          </w:fldSimple>
          <w:r>
            <w:rPr>
              <w:rFonts w:ascii="Times New Roman" w:eastAsia="MS Mincho" w:hAnsi="Times New Roman"/>
              <w:sz w:val="20"/>
              <w:iCs/>
            </w:rPr>
            <w:t>,
2016-04-13,
paskelbta TAR 2016-04-20, i. k. 2016-10105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446300f6111e9a5eaf2cd290f1944">
            <w:r w:rsidRPr="00532B9F">
              <w:rPr>
                <w:rFonts w:ascii="Times New Roman" w:eastAsia="MS Mincho" w:hAnsi="Times New Roman"/>
                <w:sz w:val="20"/>
                <w:iCs/>
                <w:color w:val="0000FF" w:themeColor="hyperlink"/>
                <w:u w:val="single"/>
              </w:rPr>
              <w:t>1K-2</w:t>
            </w:r>
          </w:fldSimple>
          <w:r>
            <w:rPr>
              <w:rFonts w:ascii="Times New Roman" w:eastAsia="MS Mincho" w:hAnsi="Times New Roman"/>
              <w:sz w:val="20"/>
              <w:iCs/>
            </w:rPr>
            <w:t>,
2019-01-03,
paskelbta TAR 2019-01-04, i. k. 2019-00131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33a8c0f89811ec8fa7d02a65c371ad">
            <w:r w:rsidRPr="00532B9F">
              <w:rPr>
                <w:rFonts w:ascii="Times New Roman" w:eastAsia="MS Mincho" w:hAnsi="Times New Roman"/>
                <w:sz w:val="20"/>
                <w:iCs/>
                <w:color w:val="0000FF" w:themeColor="hyperlink"/>
                <w:u w:val="single"/>
              </w:rPr>
              <w:t>1K-243</w:t>
            </w:r>
          </w:fldSimple>
          <w:r>
            <w:rPr>
              <w:rFonts w:ascii="Times New Roman" w:eastAsia="MS Mincho" w:hAnsi="Times New Roman"/>
              <w:sz w:val="20"/>
              <w:iCs/>
            </w:rPr>
            <w:t>,
2022-06-30,
paskelbta TAR 2022-06-30, i. k. 2022-14280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4dfd4ef9d11f09cfce49e7aeb76fe">
            <w:r w:rsidRPr="00532B9F">
              <w:rPr>
                <w:rFonts w:ascii="Times New Roman" w:eastAsia="MS Mincho" w:hAnsi="Times New Roman"/>
                <w:sz w:val="20"/>
                <w:iCs/>
                <w:color w:val="0000FF" w:themeColor="hyperlink"/>
                <w:u w:val="single"/>
              </w:rPr>
              <w:t>1K-9</w:t>
            </w:r>
          </w:fldSimple>
          <w:r>
            <w:rPr>
              <w:rFonts w:ascii="Times New Roman" w:eastAsia="MS Mincho" w:hAnsi="Times New Roman"/>
              <w:sz w:val="20"/>
              <w:iCs/>
            </w:rPr>
            <w:t>,
2026-01-12,
paskelbta TAR 2026-01-12, i. k. 2026-00337                </w:t>
          </w:r>
        </w:p>
        <w:p>
          <w:pPr>
            <w:jc w:val="both"/>
            <w:rPr>
              <w:rFonts w:ascii="Times New Roman" w:hAnsi="Times New Roman"/>
            </w:rPr>
          </w:pPr>
          <w:r>
            <w:rPr>
              <w:rFonts w:ascii="Times New Roman" w:hAnsi="Times New Roman"/>
              <w:sz w:val="20"/>
            </w:rPr>
            <w:t>Dėl finansų ministro 2008 m. birželio 11 d. įsakymo Nr. 1K-213 „Dėl viešojo sektoriaus apskaitos ir finansinės atskaitomybės 23-iojo standarto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A7545"/>
  <w15:docId w15:val="{3FAD77EB-91A0-4BD3-B092-FA0D650CB3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wmf"/>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19318351232e4fe0985efb8a070026ac">
    <Part Type="preambule" DocPartId="a395eaccaa29421da43247c37b350052" PartId="3d61f8681cb54e62b5570ac4eedfdc2e"/>
    <Part Type="pastraipa" DocPartId="26828deb3275404cb32c7b188fc9c932" PartId="3f75425f08a746e8b1bc830d5590f51f"/>
    <Part Type="signatura" DocPartId="c74e3cd82e674be999d32010a970192e" PartId="6955dc4a7b7d479393237ba8f5ad7ae5"/>
  </Part>
  <Part Type="patvirtinta" Title="23-IASIS VIEŠOJO SEKTORIAUS APSKAITOS IR FINANSINĖS ATSKAITOMYBĖS STANDARTAS „TARPINIŲ FINANSINIŲ ATASKAITŲ RINKINYS“" DocPartId="2babf10430a0425392fc5719e43ee176" PartId="d0cff224b2554c6992e9471ddc8bea77">
    <Part Type="skyrius" Nr="1" Title="BENDROSIOS NUOSTATOS" DocPartId="d1b0926482844a0691aaab82584948dc" PartId="7385803961bf407da53a0be71aa1528e">
      <Part Type="punktas" Nr="1" Abbr="1 p." DocPartId="1524771f188645efb83f524857893405" PartId="67a0d5940e724ff2ade221615559c68d"/>
      <Part Type="punktas" Nr="2" Abbr="2 p." DocPartId="ada8f89e83184467b90073495c59064c" PartId="1c25e9a4070c4ee88a592da4fb7a8583"/>
      <Part Type="punktas" Nr="3" Abbr="3 p." DocPartId="5e2974c06f98409391e9fded9db35017" PartId="a10058b081db4fb3836f23e346d8e0e3"/>
      <Part Type="punktas" Nr="4" Abbr="4 p." DocPartId="98fcd92966b341a3b8155825b88a451c" PartId="546e788375884157b443b6d68661f81d">
        <Part Type="papunktis" Nr="4.1" Abbr="4.1 pp." DocPartId="3aa56dc7cf7041aab8cd1439e888a368" PartId="ed92895484ce408f892ad2d7f176963a"/>
        <Part Type="papunktis" Nr="4.2" Abbr="4.2 pp." DocPartId="bd501aa7b3af4c3499ec082f570d850d" PartId="ba566cd85e8e40ae9a3d4954387e0b7e"/>
        <Part Type="papunktis" Nr="4.3" Abbr="4.3 pp." DocPartId="34e12774f2994ce0a43d405a7a2f8b87" PartId="174130430407499895e6853a3cdcb86e"/>
        <Part Type="papunktis" Nr="4.4" Abbr="4.4 pp." DocPartId="e3dc9dd6674e4ffaa778cc53df92bce5" PartId="8a76b4735c74465e89e733ed619c136d"/>
      </Part>
    </Part>
    <Part Type="skyrius" Nr="2" Title="BENDRIEJI TARPINIŲ FINANSINIŲ ATASKAITŲ RINKINIO REIKALAVIMAI" DocPartId="332991e71e284c439252e56e6db5a9dc" PartId="39c2ed22fb0f4586ae18b5321038bf6f">
      <Part Type="punktas" Nr="5" Abbr="5 p." DocPartId="204a60f9c78249b0b5ffdb5c68954f82" PartId="c2cfe732a90947babbae12dda614365f"/>
      <Part Type="punktas" Nr="6" Abbr="6 p." DocPartId="3c63cd992ddf4fc4994cfa3932da10ce" PartId="ca59aad5aeeb4be1a5734ad3621b30e3"/>
      <Part Type="punktas" Nr="7" Abbr="7 p." DocPartId="ac6c086d78b047d0aeeab407f9e31664" PartId="ef0042d8a9e84f9ea1687bc00899ab2c"/>
      <Part Type="punktas" Nr="8" Abbr="8 p." DocPartId="0f9dd629bf2e4686afb3dd45680b1211" PartId="96947b8bbcac441caea694e08f36460f"/>
    </Part>
    <Part Type="skyrius" Nr="3" Title="TARPINIŲ FINANSINIŲ ATASKAITŲ RINKINIO SUDĖTIS" DocPartId="a232fbdb201b48d58bfeb8dae1c6d38c" PartId="ec3672cf364f483c8d27b58c75bf22c6">
      <Part Type="punktas" Nr="9" Abbr="9 p." DocPartId="35cd70b2186a4d26ada91a16da2d8044" PartId="7ce84d180bcd4ae691a6647a92d5dc33">
        <Part Type="papunktis" Nr="9.1" Abbr="9.1 pp." DocPartId="7545020b0d1c401e888e19e530fa605f" PartId="92e0bccde0b941eab09ab0627742fa07"/>
        <Part Type="papunktis" Nr="9.2" Abbr="9.2 pp." DocPartId="442dcdcb9b9b496eb6f61740c6535758" PartId="fc12081e86c1465eac9a1f1d922fe507"/>
        <Part Type="papunktis" Nr="9.3" Abbr="9.3 pp." DocPartId="b6491a8406e7473faf570d91a8b46bc2" PartId="a0e05d21dbad48f7a174768a995b4f1a"/>
      </Part>
      <Part Type="punktas" Nr="10" Abbr="10 p." DocPartId="4e2aae04f9c94caaaeb0f4a7a8409ec4" PartId="2055165d728b4a4cbb2f2df10c6383cd"/>
      <Part Type="punktas" Nr="11" Abbr="11 p." DocPartId="dd7c215669a44239b6182b8cbd460153" PartId="15b3c553d5904a5e8ceda1b1fc87f834"/>
    </Part>
    <Part Type="skyrius" Nr="4" Title="SUTRUMPINTO AIŠKINAMOJO RAŠTO REIKALAVIMAI" DocPartId="3cbc4d0b6cfb41b7bcffecbc71246542" PartId="a6539e88c61243ae9b1e463ee30576d9">
      <Part Type="punktas" Nr="12" Abbr="12 p." DocPartId="c62e06199e094dd095683397ed5eeda7" PartId="56e16d3ea26f4024af01c60f470dc5d6">
        <Part Type="papunktis" Nr="12.1" Abbr="12.1 pp." DocPartId="ba783cc43ff24342baabffb69e3398b6" PartId="f56ba5f93e7e40a79a95a0b45e69dadd"/>
        <Part Type="papunktis" Nr="12.2" Abbr="12.2 pp." DocPartId="e454d66afbc44f2c860935e51f8875fd" PartId="8e2df19db21a4657b8b730f22c137a46"/>
        <Part Type="papunktis" Nr="12.3" Abbr="12.3 pp." DocPartId="c1a36f16cc5f44be82d74587315645a3" PartId="c9d28edd07b44e94a7507ee52977a44e"/>
      </Part>
      <Part Type="punktas" Nr="13" Abbr="13 p." DocPartId="92d2a9e1fa004257bc920ca04c8193be" PartId="396f683a40dc45cebb56c42fbb691608">
        <Part Type="papunktis" Nr="13.1" Abbr="13.1 pp." DocPartId="42b08d829cc5424c97117320c3405f75" PartId="41f56141851a46df82adcf6b037250a9"/>
        <Part Type="papunktis" Nr="13.2" Abbr="13.2 pp." DocPartId="c8984c9de75047a2a0edb846a88faf28" PartId="7eec444537a14711a96397a4e2b34ad4"/>
        <Part Type="papunktis" Nr="13.3" Abbr="13.3 pp." DocPartId="05f94e0f581f4a98aab69d348da9ac99" PartId="ad709db7d96f4c0388d50c59f17f8fda"/>
        <Part Type="papunktis" Nr="13.4" Abbr="13.4 pp." DocPartId="e3d19f959eaa4353951734ff09763845" PartId="6b88dc37bd2049dd9cd60b34879f060f"/>
      </Part>
      <Part Type="punktas" Nr="14" Abbr="14 p." DocPartId="58c12b7d1e164b709cfc95b919e5eeab" PartId="8e9e15f669594485b56d349e086ff08f">
        <Part Type="papunktis" Nr="14.1" Abbr="14.1 pp." DocPartId="e0315888c7fa4bac8a9a4af433968581" PartId="ac36bde3e7254b05ae08e13ea847191b"/>
        <Part Type="papunktis" Nr="14.2" Abbr="14.2 pp." DocPartId="9b9c1301db54464498474c9a457a42c0" PartId="c0f7b67de186410795220000dc0ade4e"/>
        <Part Type="papunktis" Nr="14.3" Abbr="14.3 pp." DocPartId="a6193f6e4c0645a9bdf7203636126d4f" PartId="cad572be7c9e4dcfada91b3b6d7b6b24"/>
      </Part>
      <Part Type="punktas" Nr="15" Abbr="15 p." DocPartId="fb52f81d233146fcaaa28fd80796b934" PartId="54a6c0f387e64ffb8a4ccc0347752190">
        <Part Type="papunktis" Nr="15.1" Abbr="15.1 pp." DocPartId="503c5b046aa948ffafc690aaf3c64c48" PartId="5fc87eff646b4f59b8e41a6639f61590"/>
        <Part Type="papunktis" Nr="15.2" Abbr="15.2 pp." DocPartId="899eb98d59c849a99701d3488f75a287" PartId="db4a0f8f2fe346eb87559b71d17c93ac"/>
        <Part Type="papunktis" Nr="15.3" Abbr="15.3 pp." DocPartId="d1174801709c4752b9a17929b6be0b87" PartId="ff453016c58e44d78ab68a30dda3e886"/>
        <Part Type="papunktis" Nr="15.4" Abbr="15.4 pp." DocPartId="92dac80a75a34348ad0a0404347e4e5b" PartId="b64fd0820b8d4c9c9d3d2490f771f94a"/>
        <Part Type="papunktis" Nr="15.5" Abbr="15.5 pp." DocPartId="a31eec58f2974e099f453904fd0f813b" PartId="bbdd02fb1e494c9fa7ccf6dd3587ff92"/>
      </Part>
    </Part>
    <Part Type="skyrius" Nr="5" Title="TARPINIŲ FINANSINIŲ ATASKAITŲ RINKINIO TEIKIMAS IR SKELBIMAS" DocPartId="0033f83c6cf2440fa7c808ff0e9d2440" PartId="a10360cf479445fb824fe2d8c760400c">
      <Part Type="punktas" Nr="16" Abbr="16 p." DocPartId="db6e9d1cfdf04727ba826a80a7f312ab" PartId="23a60de7a7734959a1da66c86929e61d"/>
      <Part Type="punktas" Nr="17" Abbr="17 p." DocPartId="c6da763d87374b23af9d9d86703952b2" PartId="d6a72853513f425eb68e80296ef952a7"/>
      <Part Type="punktas" Nr="18" Abbr="18 p." DocPartId="93495867824a4f3d9082646bd6b4a88a" PartId="ce6ace1e77524128a60f5f55d95d79f8"/>
      <Part Type="punktas" Nr="19" Abbr="19 p." DocPartId="479889a3768a438996017b531acd5419" PartId="5fe4422478874f2f9f106d6044ac013e"/>
    </Part>
    <Part Type="pabaiga" DocPartId="b3de5cb516664d13b77a1edd0a4a87e8" PartId="90e633f7490d49468cb31ea7c1502ab8"/>
  </Part>
</Parts>
</file>

<file path=customXml/itemProps1.xml><?xml version="1.0" encoding="utf-8"?>
<ds:datastoreItem xmlns:ds="http://schemas.openxmlformats.org/officeDocument/2006/customXml" ds:itemID="{38C191C6-AA44-4BAF-8FBB-EAF0B3A5E6F6}">
  <ds:schemaRefs>
    <ds:schemaRef ds:uri="http://lrs.lt/TAIS/DocParts"/>
  </ds:schemaRefs>
</ds:datastoreItem>
</file>

<file path=docProps/app.xml><?xml version="1.0" encoding="utf-8"?>
<Properties xmlns="http://schemas.openxmlformats.org/officeDocument/2006/extended-properties">
  <Template>Normal.dotm</Template>
  <TotalTime>18</TotalTime>
  <Pages>8</Pages>
  <Words>14738</Words>
  <Characters>8401</Characters>
  <Application>Microsoft Office Word</Application>
  <DocSecurity>0</DocSecurity>
  <Lines>70</Lines>
  <Paragraphs>46</Paragraphs>
  <ScaleCrop>false</ScaleCrop>
  <Company/>
  <LinksUpToDate>false</LinksUpToDate>
  <CharactersWithSpaces>23093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2026-01-13T12:16:00Z</dcterms:modified>
  <revision>14</revision>
  <dc:title>LIETUVOS RESPUBLIKOS FINANSŲ MINISTRO</dc:title>
</coreProperties>
</file>