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473bfb3419486d9d4d675139cb053c"/>
        <w:lock w:val="sdtLocked"/>
        <w:richText/>
      </w:sdtPr>
      <w:sdtContent>
        <w:p>
          <w:pPr>
            <w:jc w:val="both"/>
            <w:rPr>
              <w:rFonts w:ascii="Times New Roman" w:hAnsi="Times New Roman"/>
            </w:rPr>
          </w:pPr>
          <w:r>
            <w:rPr>
              <w:rFonts w:ascii="Times New Roman" w:hAnsi="Times New Roman"/>
              <w:b/>
              <w:i/>
            </w:rPr>
            <w:t>Suvestinė redakcija nuo 2014-12-20 iki 2016-04-20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6589A32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9" w:tgtFrame="_blank" w:history="1">
                <w:r>
                  <w:rPr>
                    <w:color w:val="0000FF" w:themeColor="hyperlink"/>
                    <w:u w:val="single"/>
                  </w:rPr>
                  <w:t>99-3515</w:t>
                </w:r>
              </w:hyperlink>
              <w:r>
                <w:t xml:space="preserve">; 2003, Nr. </w:t>
              </w:r>
              <w:hyperlink r:id="rId10" w:tgtFrame="_blank" w:history="1">
                <w:r>
                  <w:rPr>
                    <w:color w:val="0000FF" w:themeColor="hyperlink"/>
                    <w:u w:val="single"/>
                  </w:rPr>
                  <w:t>123-5586</w:t>
                </w:r>
              </w:hyperlink>
              <w:r>
                <w:t xml:space="preserve">; 2007, Nr. </w:t>
              </w:r>
              <w:hyperlink r:id="rId11"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106d0359c35649a6993d911308b15a6f"/>
                <w:lock w:val="sdtLocked"/>
                <w:richText/>
              </w:sdtPr>
              <w:sdtContent>
                <w:p>
                  <w:pPr>
                    <w:widowControl w:val="0"/>
                    <w:suppressAutoHyphens/>
                    <w:ind w:firstLine="567"/>
                    <w:jc w:val="both"/>
                    <w:rPr>
                      <w:color w:val="000000"/>
                    </w:rPr>
                  </w:pPr>
                  <w:sdt>
                    <w:sdtPr>
                      <w:alias w:val="Numeris"/>
                      <w:tag w:val="nr_106d0359c35649a6993d911308b15a6f"/>
                      <w:lock w:val="sdtLocked"/>
                      <w:richText/>
                    </w:sdtPr>
                    <w:sdtContent>
                      <w:r>
                        <w:rPr>
                          <w:color w:val="000000"/>
                        </w:rPr>
                        <w:t>6</w:t>
                      </w:r>
                    </w:sdtContent>
                  </w:sdt>
                  <w:r>
                    <w:rPr>
                      <w:color w:val="000000"/>
                    </w:rPr>
                    <w:t xml:space="preserve">. Kitos šiame standarte vartojamos sąvokos suprantamos taip, kaip jos apibrėžtos Lietuvos Respublikos buhalterinės apskaitos įstatyme (Žin., 2001, Nr. </w:t>
                  </w:r>
                  <w:hyperlink r:id="rId12" w:tgtFrame="_blank" w:history="1">
                    <w:r>
                      <w:rPr>
                        <w:color w:val="0000FF" w:themeColor="hyperlink"/>
                        <w:u w:val="single"/>
                      </w:rPr>
                      <w:t>99-3515</w:t>
                    </w:r>
                  </w:hyperlink>
                  <w:r>
                    <w:rPr>
                      <w:color w:val="000000"/>
                    </w:rPr>
                    <w:t xml:space="preserve">; 2008, Nr. </w:t>
                  </w:r>
                  <w:hyperlink r:id="rId13" w:tgtFrame="_blank" w:history="1">
                    <w:r>
                      <w:rPr>
                        <w:color w:val="0000FF" w:themeColor="hyperlink"/>
                        <w:u w:val="single"/>
                      </w:rPr>
                      <w:t>137-5372</w:t>
                    </w:r>
                  </w:hyperlink>
                  <w:r>
                    <w:rPr>
                      <w:color w:val="000000"/>
                    </w:rPr>
                    <w:t xml:space="preserve">), Lietuvos Respublikos viešojo sektoriaus atskaitomybės įstatyme (Žin., 2007, Nr. </w:t>
                  </w:r>
                  <w:hyperlink r:id="rId14" w:tgtFrame="_blank" w:history="1">
                    <w:r>
                      <w:rPr>
                        <w:color w:val="0000FF" w:themeColor="hyperlink"/>
                        <w:u w:val="single"/>
                      </w:rPr>
                      <w:t>77-3046</w:t>
                    </w:r>
                  </w:hyperlink>
                  <w:r>
                    <w:rPr>
                      <w:color w:val="000000"/>
                    </w:rPr>
                    <w:t xml:space="preserve">; 2008, Nr. </w:t>
                  </w:r>
                  <w:hyperlink r:id="rId15" w:tgtFrame="_blank" w:history="1">
                    <w:r>
                      <w:rPr>
                        <w:color w:val="0000FF" w:themeColor="hyperlink"/>
                        <w:u w:val="single"/>
                      </w:rPr>
                      <w:t>137-5370</w:t>
                    </w:r>
                  </w:hyperlink>
                  <w:r>
                    <w:rPr>
                      <w:color w:val="0000FF" w:themeColor="hyperlink"/>
                      <w:u w:val="single"/>
                    </w:rPr>
                    <w:t xml:space="preserve">; </w:t>
                  </w:r>
                  <w:r>
                    <w:rPr>
                      <w:color w:val="000000"/>
                      <w:spacing w:val="-4"/>
                    </w:rPr>
                    <w:t>2010, Nr. 67-3341</w:t>
                  </w:r>
                  <w:r>
                    <w:rPr>
                      <w:color w:val="000000"/>
                    </w:rPr>
                    <w:t>) ir kituose viešojo sektoriaus apskaitos ir finansinės atskaitomybės standartuose (toliau – VSAFAS).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9170047132514ef6a0e3d131e303ca72"/>
                <w:lock w:val="sdtLocked"/>
                <w:richText/>
              </w:sdtPr>
              <w:sdtContent>
                <w:p>
                  <w:pPr>
                    <w:widowControl w:val="0"/>
                    <w:suppressAutoHyphens/>
                    <w:ind w:firstLine="567"/>
                    <w:jc w:val="both"/>
                    <w:rPr>
                      <w:color w:val="000000"/>
                    </w:rPr>
                  </w:pPr>
                  <w:sdt>
                    <w:sdtPr>
                      <w:alias w:val="Numeris"/>
                      <w:tag w:val="nr_9170047132514ef6a0e3d131e303ca72"/>
                      <w:lock w:val="sdtLocked"/>
                      <w:richText/>
                    </w:sdtPr>
                    <w:sdtContent>
                      <w:r>
                        <w:rPr>
                          <w:color w:val="000000"/>
                        </w:rPr>
                        <w:t>18</w:t>
                      </w:r>
                    </w:sdtContent>
                  </w:sdt>
                  <w:r>
                    <w:rPr>
                      <w:color w:val="000000"/>
                    </w:rPr>
                    <w:t xml:space="preserve">. </w:t>
                  </w:r>
                  <w:r>
                    <w:rPr>
                      <w:color w:val="000000"/>
                      <w:szCs w:val="24"/>
                      <w:lang w:eastAsia="lt-LT"/>
                    </w:rPr>
                    <w:t>Taip pat sutrumpintame aiškinamajame rašte turi būti pateikta ši informacija:</w:t>
                  </w:r>
                </w:p>
                <w:sdt>
                  <w:sdtPr>
                    <w:alias w:val="18.1 p."/>
                    <w:tag w:val="part_50689c42b2ed46e58b1be6762d74b7d3"/>
                    <w:lock w:val="sdtLocked"/>
                    <w:richText/>
                  </w:sdtPr>
                  <w:sdtContent>
                    <w:p>
                      <w:pPr>
                        <w:widowControl w:val="0"/>
                        <w:suppressAutoHyphens/>
                        <w:ind w:firstLine="567"/>
                        <w:jc w:val="both"/>
                        <w:rPr>
                          <w:color w:val="000000"/>
                        </w:rPr>
                      </w:pPr>
                      <w:sdt>
                        <w:sdtPr>
                          <w:alias w:val="Numeris"/>
                          <w:tag w:val="nr_50689c42b2ed46e58b1be6762d74b7d3"/>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326ebea69eb643b8a0a6abe2b2cfa2cc"/>
                    <w:lock w:val="sdtLocked"/>
                    <w:richText/>
                  </w:sdtPr>
                  <w:sdtContent>
                    <w:p>
                      <w:pPr>
                        <w:widowControl w:val="0"/>
                        <w:suppressAutoHyphens/>
                        <w:ind w:firstLine="567"/>
                        <w:jc w:val="both"/>
                        <w:rPr>
                          <w:color w:val="000000"/>
                        </w:rPr>
                      </w:pPr>
                      <w:sdt>
                        <w:sdtPr>
                          <w:alias w:val="Numeris"/>
                          <w:tag w:val="nr_326ebea69eb643b8a0a6abe2b2cfa2cc"/>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056208a83bb241bda703de5cc2cff1f3"/>
                    <w:lock w:val="sdtLocked"/>
                    <w:richText/>
                  </w:sdtPr>
                  <w:sdtContent>
                    <w:p>
                      <w:pPr>
                        <w:widowControl w:val="0"/>
                        <w:suppressAutoHyphens/>
                        <w:ind w:firstLine="567"/>
                        <w:jc w:val="both"/>
                        <w:rPr>
                          <w:color w:val="000000"/>
                        </w:rPr>
                      </w:pPr>
                      <w:sdt>
                        <w:sdtPr>
                          <w:alias w:val="Numeris"/>
                          <w:tag w:val="nr_056208a83bb241bda703de5cc2cff1f3"/>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b5ef2a91d9224217af4bf89deb4af88d"/>
                    <w:lock w:val="sdtLocked"/>
                    <w:richText/>
                  </w:sdtPr>
                  <w:sdtContent>
                    <w:p>
                      <w:pPr>
                        <w:widowControl w:val="0"/>
                        <w:suppressAutoHyphens/>
                        <w:ind w:firstLine="567"/>
                        <w:jc w:val="both"/>
                        <w:rPr>
                          <w:color w:val="000000"/>
                        </w:rPr>
                      </w:pPr>
                      <w:sdt>
                        <w:sdtPr>
                          <w:alias w:val="Numeris"/>
                          <w:tag w:val="nr_b5ef2a91d9224217af4bf89deb4af88d"/>
                          <w:lock w:val="sdtLocked"/>
                          <w:richText/>
                        </w:sdtPr>
                        <w:sdtContent>
                          <w:r>
                            <w:rPr>
                              <w:color w:val="000000"/>
                            </w:rPr>
                            <w:t>18.4</w:t>
                          </w:r>
                        </w:sdtContent>
                      </w:sdt>
                      <w:r>
                        <w:rPr>
                          <w:color w:val="000000"/>
                        </w:rPr>
                        <w:t>. sprendimai dėl teisinių ginčų;</w:t>
                      </w:r>
                    </w:p>
                  </w:sdtContent>
                </w:sdt>
                <w:sdt>
                  <w:sdtPr>
                    <w:alias w:val="18.5 p."/>
                    <w:tag w:val="part_75968b3f76af4a82858025576319c8af"/>
                    <w:lock w:val="sdtLocked"/>
                    <w:richText/>
                  </w:sdtPr>
                  <w:sdtContent>
                    <w:p>
                      <w:pPr>
                        <w:widowControl w:val="0"/>
                        <w:suppressAutoHyphens/>
                        <w:ind w:firstLine="567"/>
                        <w:jc w:val="both"/>
                        <w:rPr>
                          <w:color w:val="000000"/>
                        </w:rPr>
                      </w:pPr>
                      <w:sdt>
                        <w:sdtPr>
                          <w:alias w:val="Numeris"/>
                          <w:tag w:val="nr_75968b3f76af4a82858025576319c8af"/>
                          <w:lock w:val="sdtLocked"/>
                          <w:richText/>
                        </w:sdtPr>
                        <w:sdtContent>
                          <w:r>
                            <w:rPr>
                              <w:color w:val="000000"/>
                            </w:rPr>
                            <w:t>18.5</w:t>
                          </w:r>
                        </w:sdtContent>
                      </w:sdt>
                      <w:r>
                        <w:rPr>
                          <w:color w:val="000000"/>
                        </w:rPr>
                        <w:t>. reikšmingi įvykiai po paskutinės tarpinio ataskaitinio laikotarpio dienos.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19 p."/>
                <w:tag w:val="part_0ce9b6f8b3dc4ec78095f58c0083fa21"/>
                <w:lock w:val="sdtLocked"/>
                <w:richText/>
              </w:sdtPr>
              <w:sdtContent>
                <w:p>
                  <w:pPr>
                    <w:widowControl w:val="0"/>
                    <w:suppressAutoHyphens/>
                    <w:ind w:firstLine="567"/>
                    <w:jc w:val="both"/>
                    <w:rPr>
                      <w:color w:val="000000"/>
                    </w:rPr>
                  </w:pPr>
                  <w:sdt>
                    <w:sdtPr>
                      <w:alias w:val="Numeris"/>
                      <w:tag w:val="nr_0ce9b6f8b3dc4ec78095f58c0083fa21"/>
                      <w:lock w:val="sdtLocked"/>
                      <w:richText/>
                    </w:sdtPr>
                    <w:sdtContent>
                      <w:r>
                        <w:rPr>
                          <w:color w:val="000000"/>
                        </w:rPr>
                        <w:t>19</w:t>
                      </w:r>
                    </w:sdtContent>
                  </w:sdt>
                  <w:r>
                    <w:rPr>
                      <w:color w:val="000000"/>
                    </w:rPr>
                    <w:t>. Sutrumpintame aiškinamajame rašte turi būti pateikiamas finansavimo sumų detalizavimas pagal 20-ojo VSAFAS „Finansavimo sumos“ 3 arba</w:t>
                  </w:r>
                  <w:r>
                    <w:rPr>
                      <w:b/>
                      <w:bCs/>
                      <w:color w:val="000000"/>
                    </w:rPr>
                    <w:t xml:space="preserve"> </w:t>
                  </w:r>
                  <w:r>
                    <w:rPr>
                      <w:color w:val="000000"/>
                    </w:rPr>
                    <w:t>4 priede pateiktas formas.</w:t>
                  </w:r>
                </w:p>
                <w:p>
                  <w:pPr>
                    <w:widowControl w:val="0"/>
                    <w:suppressAutoHyphens/>
                    <w:ind w:firstLine="567"/>
                    <w:jc w:val="both"/>
                    <w:rPr>
                      <w:color w:val="000000"/>
                    </w:rPr>
                  </w:pPr>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ebca20b227004216882a376cd1a21168"/>
                <w:lock w:val="sdtLocked"/>
                <w:richText/>
              </w:sdtPr>
              <w:sdtContent>
                <w:p>
                  <w:pPr>
                    <w:ind w:firstLine="567"/>
                    <w:jc w:val="both"/>
                  </w:pPr>
                  <w:sdt>
                    <w:sdtPr>
                      <w:alias w:val="Numeris"/>
                      <w:tag w:val="nr_ebca20b227004216882a376cd1a21168"/>
                      <w:lock w:val="sdtLocked"/>
                      <w:richText/>
                    </w:sdtPr>
                    <w:sdtContent>
                      <w:r>
                        <w:rPr>
                          <w:szCs w:val="24"/>
                          <w:lang w:eastAsia="lt-LT"/>
                        </w:rPr>
                        <w:t>20</w:t>
                      </w:r>
                    </w:sdtContent>
                  </w:sdt>
                  <w:r>
                    <w:rPr>
                      <w:szCs w:val="24"/>
                      <w:lang w:eastAsia="lt-LT"/>
                    </w:rPr>
                    <w:t>.</w:t>
                  </w:r>
                  <w:r>
                    <w:rPr>
                      <w:b/>
                      <w:bCs/>
                      <w:szCs w:val="24"/>
                      <w:lang w:eastAsia="lt-LT"/>
                    </w:rPr>
                    <w:t xml:space="preserve"> </w:t>
                  </w:r>
                  <w:r>
                    <w:rPr>
                      <w:bCs/>
                      <w:szCs w:val="24"/>
                      <w:lang w:eastAsia="lt-LT"/>
                    </w:rPr>
                    <w:t>Viešojo sektoriaus subjektai savo tarpines finansines ataskaitas teikia už viešojo sektoriaus subjekt</w:t>
                  </w:r>
                  <w:r>
                    <w:rPr>
                      <w:rFonts w:ascii="TimesNewRoman,Bold" w:hAnsi="TimesNewRoman,Bold" w:cs="TimesNewRoman,Bold"/>
                      <w:bCs/>
                      <w:szCs w:val="24"/>
                      <w:lang w:eastAsia="lt-LT"/>
                    </w:rPr>
                    <w:t xml:space="preserve">ų </w:t>
                  </w:r>
                  <w:r>
                    <w:rPr>
                      <w:bCs/>
                      <w:szCs w:val="24"/>
                      <w:lang w:eastAsia="lt-LT"/>
                    </w:rPr>
                    <w:t>grup</w:t>
                  </w:r>
                  <w:r>
                    <w:rPr>
                      <w:rFonts w:ascii="TimesNewRoman,Bold" w:hAnsi="TimesNewRoman,Bold" w:cs="TimesNewRoman,Bold"/>
                      <w:bCs/>
                      <w:szCs w:val="24"/>
                      <w:lang w:eastAsia="lt-LT"/>
                    </w:rPr>
                    <w:t>ė</w:t>
                  </w:r>
                  <w:r>
                    <w:rPr>
                      <w:bCs/>
                      <w:szCs w:val="24"/>
                      <w:lang w:eastAsia="lt-LT"/>
                    </w:rPr>
                    <w:t>s konsoliduot</w:t>
                  </w:r>
                  <w:r>
                    <w:rPr>
                      <w:rFonts w:ascii="TimesNewRoman,Bold" w:hAnsi="TimesNewRoman,Bold" w:cs="TimesNewRoman,Bold"/>
                      <w:bCs/>
                      <w:szCs w:val="24"/>
                      <w:lang w:eastAsia="lt-LT"/>
                    </w:rPr>
                    <w:t>ų</w:t>
                  </w:r>
                  <w:r>
                    <w:rPr>
                      <w:bCs/>
                      <w:szCs w:val="24"/>
                      <w:lang w:eastAsia="lt-LT"/>
                    </w:rPr>
                    <w:t>j</w:t>
                  </w:r>
                  <w:r>
                    <w:rPr>
                      <w:rFonts w:ascii="TimesNewRoman,Bold" w:hAnsi="TimesNewRoman,Bold" w:cs="TimesNewRoman,Bold"/>
                      <w:bCs/>
                      <w:szCs w:val="24"/>
                      <w:lang w:eastAsia="lt-LT"/>
                    </w:rPr>
                    <w:t xml:space="preserve">ų </w:t>
                  </w:r>
                  <w:r>
                    <w:rPr>
                      <w:bCs/>
                      <w:szCs w:val="24"/>
                      <w:lang w:eastAsia="lt-LT"/>
                    </w:rPr>
                    <w:t>finansini</w:t>
                  </w:r>
                  <w:r>
                    <w:rPr>
                      <w:rFonts w:ascii="TimesNewRoman,Bold" w:hAnsi="TimesNewRoman,Bold" w:cs="TimesNewRoman,Bold"/>
                      <w:bCs/>
                      <w:szCs w:val="24"/>
                      <w:lang w:eastAsia="lt-LT"/>
                    </w:rPr>
                    <w:t xml:space="preserve">ų </w:t>
                  </w:r>
                  <w:r>
                    <w:rPr>
                      <w:bCs/>
                      <w:szCs w:val="24"/>
                      <w:lang w:eastAsia="lt-LT"/>
                    </w:rPr>
                    <w:t>ataskait</w:t>
                  </w:r>
                  <w:r>
                    <w:rPr>
                      <w:rFonts w:ascii="TimesNewRoman,Bold" w:hAnsi="TimesNewRoman,Bold" w:cs="TimesNewRoman,Bold"/>
                      <w:bCs/>
                      <w:szCs w:val="24"/>
                      <w:lang w:eastAsia="lt-LT"/>
                    </w:rPr>
                    <w:t xml:space="preserve">ų </w:t>
                  </w:r>
                  <w:r>
                    <w:rPr>
                      <w:bCs/>
                      <w:szCs w:val="24"/>
                      <w:lang w:eastAsia="lt-LT"/>
                    </w:rPr>
                    <w:t>rinkinio parengim</w:t>
                  </w:r>
                  <w:r>
                    <w:rPr>
                      <w:rFonts w:ascii="TimesNewRoman,Bold" w:hAnsi="TimesNewRoman,Bold" w:cs="TimesNewRoman,Bold"/>
                      <w:bCs/>
                      <w:szCs w:val="24"/>
                      <w:lang w:eastAsia="lt-LT"/>
                    </w:rPr>
                    <w:t xml:space="preserve">ą </w:t>
                  </w:r>
                  <w:r>
                    <w:rPr>
                      <w:bCs/>
                      <w:szCs w:val="24"/>
                      <w:lang w:eastAsia="lt-LT"/>
                    </w:rPr>
                    <w:t>atsakingam viešojo sektoriaus subjektui ne v</w:t>
                  </w:r>
                  <w:r>
                    <w:rPr>
                      <w:rFonts w:ascii="TimesNewRoman,Bold" w:hAnsi="TimesNewRoman,Bold" w:cs="TimesNewRoman,Bold"/>
                      <w:bCs/>
                      <w:szCs w:val="24"/>
                      <w:lang w:eastAsia="lt-LT"/>
                    </w:rPr>
                    <w:t>ė</w:t>
                  </w:r>
                  <w:r>
                    <w:rPr>
                      <w:bCs/>
                      <w:szCs w:val="24"/>
                      <w:lang w:eastAsia="lt-LT"/>
                    </w:rPr>
                    <w:t>liau kaip per 50 kalendorinių dienų pasibaigus tarpiniam ataskaitiniam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7884085e611e481c9c95e73113964">
                    <w:r w:rsidRPr="00532B9F">
                      <w:rPr>
                        <w:rFonts w:ascii="Times New Roman" w:eastAsia="MS Mincho" w:hAnsi="Times New Roman"/>
                        <w:sz w:val="20"/>
                        <w:i/>
                        <w:iCs/>
                        <w:color w:val="0000FF" w:themeColor="hyperlink"/>
                        <w:u w:val="single"/>
                      </w:rPr>
                      <w:t>1K-464</w:t>
                    </w:r>
                  </w:fldSimple>
                  <w:r>
                    <w:rPr>
                      <w:rFonts w:ascii="Times New Roman" w:eastAsia="MS Mincho" w:hAnsi="Times New Roman"/>
                      <w:sz w:val="20"/>
                      <w:i/>
                      <w:iCs/>
                    </w:rPr>
                    <w:t>,
2014-12-17,
paskelbta TAR 2014-12-19, i. k. 2014-20114            </w:t>
                  </w:r>
                </w:p>
                <w:p/>
              </w:sdtContent>
            </w:sdt>
            <w:sdt>
              <w:sdtPr>
                <w:alias w:val="20-1 p."/>
                <w:tag w:val="part_76321a95126640ed8c39beae9a82a3dd"/>
                <w:lock w:val="sdtLocked"/>
                <w:richText/>
              </w:sdtPr>
              <w:sdtContent>
                <w:p>
                  <w:pPr>
                    <w:widowControl w:val="0"/>
                    <w:suppressAutoHyphens/>
                    <w:ind w:firstLine="567"/>
                    <w:jc w:val="both"/>
                    <w:rPr>
                      <w:color w:val="000000"/>
                    </w:rPr>
                  </w:pPr>
                  <w:sdt>
                    <w:sdtPr>
                      <w:alias w:val="Numeris"/>
                      <w:tag w:val="nr_76321a95126640ed8c39beae9a82a3dd"/>
                      <w:lock w:val="sdtLocked"/>
                      <w:richText/>
                    </w:sdtPr>
                    <w:sdtContent>
                      <w:r>
                        <w:rPr>
                          <w:color w:val="000000"/>
                          <w:szCs w:val="24"/>
                          <w:lang w:eastAsia="lt-LT"/>
                        </w:rPr>
                        <w:t>20</w:t>
                      </w:r>
                      <w:r>
                        <w:rPr>
                          <w:color w:val="000000"/>
                          <w:szCs w:val="24"/>
                          <w:vertAlign w:val="superscript"/>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Viešojo sektoriaus subjektai teikia išteklių ir mokesčių fondų administratorių ar tvarkytojų nustatyta tvarka ir terminais informaciją, kuri reikalinga jų tarpinėms finansinėms ataskaitoms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1 p."/>
                <w:tag w:val="part_12ef20423d8449588a308bfed65e445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2013-12-20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sdtContent>
            </w:sdt>
            <w:sdt>
              <w:sdtPr>
                <w:alias w:val="22 p."/>
                <w:tag w:val="part_670cc1c150514fbe9c030304a10b36e4"/>
                <w:lock w:val="sdtLocked"/>
                <w:richText/>
              </w:sdtPr>
              <w:sdtContent>
                <w:p>
                  <w:pPr>
                    <w:widowControl w:val="0"/>
                    <w:suppressAutoHyphens/>
                    <w:ind w:firstLine="567"/>
                    <w:jc w:val="both"/>
                    <w:rPr>
                      <w:color w:val="000000"/>
                      <w:spacing w:val="-2"/>
                    </w:rPr>
                  </w:pPr>
                  <w:sdt>
                    <w:sdtPr>
                      <w:alias w:val="Numeris"/>
                      <w:tag w:val="nr_670cc1c150514fbe9c030304a10b36e4"/>
                      <w:lock w:val="sdtLocked"/>
                      <w:richText/>
                    </w:sdtPr>
                    <w:sdtContent>
                      <w:r>
                        <w:rPr>
                          <w:color w:val="000000"/>
                          <w:szCs w:val="24"/>
                          <w:lang w:eastAsia="lt-LT"/>
                        </w:rPr>
                        <w:t>22</w:t>
                      </w:r>
                    </w:sdtContent>
                  </w:sdt>
                  <w:r>
                    <w:rPr>
                      <w:color w:val="000000"/>
                      <w:szCs w:val="24"/>
                      <w:lang w:eastAsia="lt-LT"/>
                    </w:rPr>
                    <w:t>. Viešojo sektoriaus subjektas per 10 kalendorinių dienų nuo finansinių ataskaitų rinkinio pateikimo dienos savo interneto svetainėje paskelbia tarpinių finansinių ataskaitų rinkinį. Jei viešojo sektoriaus subjektas savo interneto svetainės neturi, jo tarpinės finansinės ataskaitos skelbiamos už atitinkamos viešojo sektoriaus subjektų grupės metinių konsoliduotųjų finansinių ataskaitų rinkinio parengimą atsakingo viešojo sektoriaus subjekto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3 p."/>
                <w:tag w:val="part_3c5697490d3147408db26145e7ba7b91"/>
                <w:lock w:val="sdtLocked"/>
                <w:richText/>
              </w:sdtPr>
              <w:sdtContent>
                <w:p>
                  <w:pPr>
                    <w:widowControl w:val="0"/>
                    <w:suppressAutoHyphens/>
                    <w:ind w:firstLine="567"/>
                    <w:jc w:val="both"/>
                  </w:pPr>
                  <w:sdt>
                    <w:sdtPr>
                      <w:alias w:val="Numeris"/>
                      <w:tag w:val="nr_3c5697490d3147408db26145e7ba7b91"/>
                      <w:lock w:val="sdtLocked"/>
                      <w:richText/>
                    </w:sdtPr>
                    <w:sdtContent>
                      <w:r>
                        <w:rPr>
                          <w:color w:val="000000"/>
                          <w:szCs w:val="24"/>
                          <w:lang w:eastAsia="lt-LT"/>
                        </w:rPr>
                        <w:t>23</w:t>
                      </w:r>
                    </w:sdtContent>
                  </w:sdt>
                  <w:r>
                    <w:rPr>
                      <w:color w:val="000000"/>
                      <w:szCs w:val="24"/>
                      <w:lang w:eastAsia="lt-LT"/>
                    </w:rPr>
                    <w:t>. Pirmą kartą rengiant tarpinių finansinių ataskaitų rinkinius pagal VSAFAS, šio standarto 14.2, 16 ir 18.1 punktai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7884085e611e481c9c95e73113964">
            <w:r w:rsidRPr="00532B9F">
              <w:rPr>
                <w:rFonts w:ascii="Times New Roman" w:eastAsia="MS Mincho" w:hAnsi="Times New Roman"/>
                <w:sz w:val="20"/>
                <w:iCs/>
                <w:color w:val="0000FF" w:themeColor="hyperlink"/>
                <w:u w:val="single"/>
              </w:rPr>
              <w:t>1K-464</w:t>
            </w:r>
          </w:fldSimple>
          <w:r>
            <w:rPr>
              <w:rFonts w:ascii="Times New Roman" w:eastAsia="MS Mincho" w:hAnsi="Times New Roman"/>
              <w:sz w:val="20"/>
              <w:iCs/>
            </w:rPr>
            <w:t>,
2014-12-17,
paskelbta TAR 2014-12-19, i. k. 2014-20114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B70EE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146094DDC821"/>
  <Relationship Id="rId11" Type="http://schemas.openxmlformats.org/officeDocument/2006/relationships/hyperlink" TargetMode="External" Target="https://www.e-tar.lt/portal/lt/legalAct/TAR.2341757E0199"/>
  <Relationship Id="rId12" Type="http://schemas.openxmlformats.org/officeDocument/2006/relationships/hyperlink" TargetMode="External" Target="https://www.e-tar.lt/portal/lt/legalAct/TAR.43178AA9832E"/>
  <Relationship Id="rId13" Type="http://schemas.openxmlformats.org/officeDocument/2006/relationships/hyperlink" TargetMode="External" Target="https://www.e-tar.lt/portal/lt/legalAct/TAR.2CBC645A67BD"/>
  <Relationship Id="rId14" Type="http://schemas.openxmlformats.org/officeDocument/2006/relationships/hyperlink" TargetMode="External" Target="https://www.e-tar.lt/portal/lt/legalAct/TAR.E2CE2C82DA9E"/>
  <Relationship Id="rId15" Type="http://schemas.openxmlformats.org/officeDocument/2006/relationships/hyperlink" TargetMode="External" Target="https://www.e-tar.lt/portal/lt/legalAct/TAR.9A9825575BCD"/>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43178AA983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23473bfb3419486d9d4d675139cb053c">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106d0359c35649a6993d911308b15a6f"/>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9170047132514ef6a0e3d131e303ca72">
        <Part Type="punktas" Nr="18.1" Abbr="18.1 p." DocPartId="25c8a27b84aa4f5f830055f4a2020580" PartId="50689c42b2ed46e58b1be6762d74b7d3"/>
        <Part Type="punktas" Nr="18.2" Abbr="18.2 p." DocPartId="780c338121134fbf9c34d4918ffefbea" PartId="326ebea69eb643b8a0a6abe2b2cfa2cc"/>
        <Part Type="punktas" Nr="18.3" Abbr="18.3 p." DocPartId="2c4421fa295e4dc69600728797207331" PartId="056208a83bb241bda703de5cc2cff1f3"/>
        <Part Type="punktas" Nr="18.4" Abbr="18.4 p." DocPartId="3843c21e3360444095337a2a6ef63d20" PartId="b5ef2a91d9224217af4bf89deb4af88d"/>
        <Part Type="punktas" Nr="18.5" Abbr="18.5 p." DocPartId="b3b5ab8cfe104841a55adbe36f339529" PartId="75968b3f76af4a82858025576319c8af"/>
      </Part>
      <Part Type="punktas" Nr="19" Abbr="19 p." DocPartId="48cac15684134771bfaa51821d7c1452" PartId="0ce9b6f8b3dc4ec78095f58c0083fa21"/>
    </Part>
    <Part Type="skyrius" Nr="5" Title="BAIGIAMOSIOS NUOSTATOS" DocPartId="10386de4f9714120bd7a630ea337f76a" PartId="4e646c6f47d84c51b47ea0d7b8050438">
      <Part Type="punktas" Nr="20" Abbr="20 p." DocPartId="d229f75e7b4b4813bdf434cde0bdce3c" PartId="ebca20b227004216882a376cd1a21168"/>
      <Part Type="punktas" Nr="20-1" Abbr="20-1 p." Title="" DocPartId="0923da4626294674b6ed60b0e8579fb0" PartId="76321a95126640ed8c39beae9a82a3dd"/>
      <Part Type="punktas" Nr="21" Abbr="21 p." DocPartId="1658fcca4e2b41d58de56c044d826d29" PartId="12ef20423d8449588a308bfed65e4453"/>
      <Part Type="punktas" Nr="22" Abbr="22 p." DocPartId="5904f8a98dfa4a7492cd67b9852893c7" PartId="670cc1c150514fbe9c030304a10b36e4"/>
      <Part Type="punktas" Nr="23" Abbr="23 p." DocPartId="f7435fa129684748908d2c06ce1b1237" PartId="3c5697490d3147408db26145e7ba7b91"/>
    </Part>
  </Part>
</Parts>
</file>

<file path=customXml/itemProps1.xml><?xml version="1.0" encoding="utf-8"?>
<ds:datastoreItem xmlns:ds="http://schemas.openxmlformats.org/officeDocument/2006/customXml" ds:itemID="{489EA9BD-AB8A-4948-A8F1-67CD0DFF5ED6}">
  <ds:schemaRefs>
    <ds:schemaRef ds:uri="http://lrs.lt/TAIS/DocParts"/>
  </ds:schemaRefs>
</ds:datastoreItem>
</file>

<file path=docProps/app.xml><?xml version="1.0" encoding="utf-8"?>
<Properties xmlns="http://schemas.openxmlformats.org/officeDocument/2006/extended-properties">
  <Template>Normal.dotm</Template>
  <TotalTime>12</TotalTime>
  <Pages>4</Pages>
  <Words>6629</Words>
  <Characters>3780</Characters>
  <Application>Microsoft Office Word</Application>
  <DocSecurity>0</DocSecurity>
  <Lines>31</Lines>
  <Paragraphs>20</Paragraphs>
  <ScaleCrop>false</ScaleCrop>
  <Company/>
  <LinksUpToDate>false</LinksUpToDate>
  <CharactersWithSpaces>10389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2015-10-06T06:31:00Z</dcterms:modified>
  <revision>9</revision>
  <dc:title>LIETUVOS RESPUBLIKOS FINANSŲ MINISTRO</dc:title>
</coreProperties>
</file>