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2015-01-01 iki 2016-06-15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c0376ee3975f4752a34d7028a605caad"/>
                        <w:lock w:val="sdtLocked"/>
                        <w:richText/>
                      </w:sdtPr>
                      <w:sdtContent>
                        <w:p>
                          <w:pPr>
                            <w:ind w:firstLine="720"/>
                            <w:jc w:val="both"/>
                            <w:rPr>
                              <w:color w:val="000000"/>
                            </w:rPr>
                          </w:pPr>
                          <w:sdt>
                            <w:sdtPr>
                              <w:alias w:val="Numeris"/>
                              <w:tag w:val="nr_c0376ee3975f4752a34d7028a605caad"/>
                              <w:lock w:val="sdtLocked"/>
                              <w:richText/>
                            </w:sdtPr>
                            <w:sdtContent>
                              <w:r>
                                <w:rPr>
                                  <w:szCs w:val="24"/>
                                </w:rPr>
                                <w:t>2</w:t>
                              </w:r>
                            </w:sdtContent>
                          </w:sdt>
                          <w:r>
                            <w:rPr>
                              <w:szCs w:val="24"/>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58 000 000 eurų, laikomas esminiu.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05905de511e4bad5c03f56793630">
                            <w:r w:rsidRPr="00532B9F">
                              <w:rPr>
                                <w:rFonts w:ascii="Times New Roman" w:eastAsia="MS Mincho" w:hAnsi="Times New Roman"/>
                                <w:sz w:val="20"/>
                                <w:i/>
                                <w:iCs/>
                                <w:color w:val="0000FF" w:themeColor="hyperlink"/>
                                <w:u w:val="single"/>
                              </w:rPr>
                              <w:t>XII-1262</w:t>
                            </w:r>
                          </w:fldSimple>
                          <w:r>
                            <w:rPr>
                              <w:rFonts w:ascii="Times New Roman" w:eastAsia="MS Mincho" w:hAnsi="Times New Roman"/>
                              <w:sz w:val="20"/>
                              <w:i/>
                              <w:iCs/>
                            </w:rPr>
                            <w:t>,
2014-10-16,
paskelbta TAR 2014-10-27, i. k. 2014-14857            </w:t>
                          </w:r>
                        </w:p>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5 p."/>
                            <w:tag w:val="part_5472a9e184aa4caab4bc3012b4305044"/>
                            <w:lock w:val="sdtLocked"/>
                            <w:richText/>
                          </w:sdtPr>
                          <w:sdtContent>
                            <w:p>
                              <w:pPr>
                                <w:widowControl w:val="0"/>
                                <w:suppressAutoHyphens/>
                                <w:ind w:firstLine="708"/>
                                <w:jc w:val="both"/>
                              </w:pPr>
                              <w:sdt>
                                <w:sdtPr>
                                  <w:alias w:val="Numeris"/>
                                  <w:tag w:val="nr_5472a9e184aa4caab4bc3012b4305044"/>
                                  <w:lock w:val="sdtLocked"/>
                                  <w:richText/>
                                </w:sdtPr>
                                <w:sdtContent>
                                  <w:r>
                                    <w:rPr>
                                      <w:color w:val="000000"/>
                                    </w:rPr>
                                    <w:t>5</w:t>
                                  </w:r>
                                </w:sdtContent>
                              </w:sdt>
                              <w:r>
                                <w:rPr>
                                  <w:color w:val="000000"/>
                                </w:rPr>
                                <w:t>) šios dalies 4 punkte nustatytas šešių mėnesių terminas Lietuvos Respublikos Vyriausybės sprendimu gali būti pratęstas naujos atominės elektrinės statybai Lietuvoje;</w:t>
                              </w:r>
                              <w:r>
                                <w:t xml:space="preserve"> </w:t>
                              </w:r>
                            </w:p>
                            <w:p>
                              <w:pPr>
                                <w:widowControl w:val="0"/>
                                <w:suppressAutoHyphens/>
                                <w:jc w:val="both"/>
                                <w:rPr>
                                  <w:color w:val="000000"/>
                                </w:rPr>
                              </w:pPr>
                              <w:r>
                                <w:rPr>
                                  <w:b/>
                                  <w:i/>
                                  <w:sz w:val="20"/>
                                </w:rPr>
                                <w:t>TAR pastaba.</w:t>
                              </w:r>
                              <w:r>
                                <w:rPr>
                                  <w:i/>
                                  <w:sz w:val="20"/>
                                </w:rPr>
                                <w:t xml:space="preserve"> 17 straipsnio papildymas nauju 5 punktu galioja vienus metus nuo įstatymo Nr. XI-1458 įsigaliojimo dienos (2016-06-28).</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6 p."/>
                            <w:tag w:val="part_3ff6c1ebe3054cf6a490bbe64f75f66a"/>
                            <w:lock w:val="sdtLocked"/>
                            <w:richText/>
                          </w:sdtPr>
                          <w:sdtContent>
                            <w:p>
                              <w:pPr>
                                <w:ind w:firstLine="708"/>
                                <w:jc w:val="both"/>
                                <w:rPr>
                                  <w:color w:val="000000"/>
                                </w:rPr>
                              </w:pPr>
                              <w:sdt>
                                <w:sdtPr>
                                  <w:alias w:val="Numeris"/>
                                  <w:tag w:val="nr_3ff6c1ebe3054cf6a490bbe64f75f66a"/>
                                  <w:lock w:val="sdtLocked"/>
                                  <w:richText/>
                                </w:sdtPr>
                                <w:sdtContent>
                                  <w:r>
                                    <w:rPr>
                                      <w:color w:val="000000"/>
                                    </w:rPr>
                                    <w:t>6</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7 p."/>
                            <w:tag w:val="part_42fdf945b67648d1af1cc1a0b744a91b"/>
                            <w:lock w:val="sdtLocked"/>
                            <w:richText/>
                          </w:sdtPr>
                          <w:sdtContent>
                            <w:p>
                              <w:pPr>
                                <w:ind w:firstLine="708"/>
                                <w:jc w:val="both"/>
                              </w:pPr>
                              <w:sdt>
                                <w:sdtPr>
                                  <w:alias w:val="Numeris"/>
                                  <w:tag w:val="nr_42fdf945b67648d1af1cc1a0b744a91b"/>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8 p."/>
                            <w:tag w:val="part_b7918cd5c9634dc2abefa67191f6b101"/>
                            <w:lock w:val="sdtLocked"/>
                            <w:richText/>
                          </w:sdtPr>
                          <w:sdtContent>
                            <w:p>
                              <w:pPr>
                                <w:widowControl w:val="0"/>
                                <w:ind w:firstLine="708"/>
                                <w:jc w:val="both"/>
                                <w:rPr>
                                  <w:color w:val="000000"/>
                                </w:rPr>
                              </w:pPr>
                              <w:sdt>
                                <w:sdtPr>
                                  <w:alias w:val="Numeris"/>
                                  <w:tag w:val="nr_b7918cd5c9634dc2abefa67191f6b101"/>
                                  <w:lock w:val="sdtLocked"/>
                                  <w:richText/>
                                </w:sdtPr>
                                <w:sdtContent>
                                  <w:r>
                                    <w:rPr>
                                      <w:color w:val="000000"/>
                                    </w:rPr>
                                    <w:t>8</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322da4525c604868aa53b7dc84db9630"/>
                    <w:lock w:val="sdtLocked"/>
                    <w:richText/>
                  </w:sdtPr>
                  <w:sdtContent>
                    <w:p>
                      <w:pPr>
                        <w:ind w:firstLine="709"/>
                        <w:jc w:val="both"/>
                        <w:rPr>
                          <w:color w:val="000000"/>
                        </w:rPr>
                      </w:pPr>
                      <w:sdt>
                        <w:sdtPr>
                          <w:alias w:val="Numeris"/>
                          <w:tag w:val="nr_322da4525c604868aa53b7dc84db9630"/>
                          <w:lock w:val="sdtLocked"/>
                          <w:richText/>
                        </w:sdtPr>
                        <w:sdtContent>
                          <w:r>
                            <w:rPr>
                              <w:szCs w:val="24"/>
                              <w:lang w:eastAsia="lt-LT"/>
                            </w:rPr>
                            <w:t>4</w:t>
                          </w:r>
                        </w:sdtContent>
                      </w:sdt>
                      <w:r>
                        <w:rPr>
                          <w:szCs w:val="24"/>
                          <w:lang w:eastAsia="lt-LT"/>
                        </w:rPr>
                        <w:t xml:space="preserve">. Metodinę ir konsultacinę pagalbą suteikiančioms institucijoms koncesijų suteikimo klausimais teikia Lietuvos Respublikos Vyriausybės įgaliotas viešasis juridinis asmuo, kurio funkcijas nustato Lietuvos Respublikos Vyriausybė. </w:t>
                      </w:r>
                      <w:r>
                        <w:rPr>
                          <w:szCs w:val="24"/>
                        </w:rPr>
                        <w:t>Šioje dalyje nustatyta veikla yra finansuojama iš Lietuvos Respublikos finansų ministerijai skirtų valstybės biudžeto asignavimų ir (ar)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e7f307af311e48d20daf2927aba7d">
                        <w:r w:rsidRPr="00532B9F">
                          <w:rPr>
                            <w:rFonts w:ascii="Times New Roman" w:eastAsia="MS Mincho" w:hAnsi="Times New Roman"/>
                            <w:sz w:val="20"/>
                            <w:i/>
                            <w:iCs/>
                            <w:color w:val="0000FF" w:themeColor="hyperlink"/>
                            <w:u w:val="single"/>
                          </w:rPr>
                          <w:t>XII-1360</w:t>
                        </w:r>
                      </w:fldSimple>
                      <w:r>
                        <w:rPr>
                          <w:rFonts w:ascii="Times New Roman" w:eastAsia="MS Mincho" w:hAnsi="Times New Roman"/>
                          <w:sz w:val="20"/>
                          <w:i/>
                          <w:iCs/>
                        </w:rPr>
                        <w:t>,
2014-11-25,
paskelbta TAR 2014-12-03, i. k. 2014-18647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
              <w:sdtPr>
                <w:alias w:val="30 str."/>
                <w:tag w:val="part_b124b22b1d554d3198e6acd6ed2a53e8"/>
                <w:lock w:val="sdtLocked"/>
                <w:richText/>
              </w:sdtPr>
              <w:sdtContent>
                <w:p>
                  <w:pPr>
                    <w:keepLines/>
                    <w:widowControl w:val="0"/>
                    <w:suppressAutoHyphens/>
                    <w:ind w:left="2160" w:hanging="1452"/>
                    <w:rPr>
                      <w:b/>
                      <w:bCs/>
                      <w:color w:val="000000"/>
                    </w:rPr>
                  </w:pPr>
                  <w:sdt>
                    <w:sdtPr>
                      <w:alias w:val="Numeris"/>
                      <w:tag w:val="nr_b124b22b1d554d3198e6acd6ed2a53e8"/>
                      <w:lock w:val="sdtLocked"/>
                      <w:richText/>
                    </w:sdtPr>
                    <w:sdtContent>
                      <w:r>
                        <w:rPr>
                          <w:b/>
                          <w:bCs/>
                          <w:color w:val="000000"/>
                        </w:rPr>
                        <w:t>30</w:t>
                      </w:r>
                    </w:sdtContent>
                  </w:sdt>
                  <w:r>
                    <w:rPr>
                      <w:b/>
                      <w:bCs/>
                      <w:color w:val="000000"/>
                    </w:rPr>
                    <w:t xml:space="preserve"> straipsnis. </w:t>
                  </w:r>
                  <w:sdt>
                    <w:sdtPr>
                      <w:alias w:val="Pavadinimas"/>
                      <w:tag w:val="title_b124b22b1d554d3198e6acd6ed2a53e8"/>
                      <w:lock w:val="sdtLocked"/>
                      <w:richText/>
                    </w:sdtPr>
                    <w:sdtContent>
                      <w:r>
                        <w:rPr>
                          <w:b/>
                          <w:bCs/>
                          <w:color w:val="000000"/>
                        </w:rPr>
                        <w:t>Įstatymo taikymas naujos branduolinės (atominės) elektrinės projektui</w:t>
                      </w:r>
                    </w:sdtContent>
                  </w:sdt>
                </w:p>
                <w:sdt>
                  <w:sdtPr>
                    <w:alias w:val="30 str. 1 d."/>
                    <w:tag w:val="part_08a4d6c24071455498f1ce99b04b2373"/>
                    <w:lock w:val="sdtLocked"/>
                    <w:richText/>
                  </w:sdtPr>
                  <w:sdtContent>
                    <w:p>
                      <w:pPr>
                        <w:widowControl w:val="0"/>
                        <w:suppressAutoHyphens/>
                        <w:ind w:firstLine="708"/>
                        <w:jc w:val="both"/>
                      </w:pPr>
                      <w:r>
                        <w:rPr>
                          <w:color w:val="000000"/>
                        </w:rPr>
                        <w:t>Šio Įstatymo normos santykiams, susijusiems su naujos branduolinės (atominės) elektrinės projektu ir su juo susijusiais klausimais, taikomos tiek, kiek jų nereglamentuoja Branduolinės (atominės) elektrinės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8835E33A00">
                    <w:r w:rsidRPr="00532B9F">
                      <w:rPr>
                        <w:rFonts w:ascii="Times New Roman" w:eastAsia="MS Mincho" w:hAnsi="Times New Roman"/>
                        <w:sz w:val="20"/>
                        <w:i/>
                        <w:iCs/>
                        <w:color w:val="0000FF" w:themeColor="hyperlink"/>
                        <w:u w:val="single"/>
                      </w:rPr>
                      <w:t>XI-2116</w:t>
                    </w:r>
                  </w:fldSimple>
                  <w:r>
                    <w:rPr>
                      <w:rFonts w:ascii="Times New Roman" w:eastAsia="MS Mincho" w:hAnsi="Times New Roman"/>
                      <w:sz w:val="20"/>
                      <w:i/>
                      <w:iCs/>
                    </w:rPr>
                    <w:t>,
2012-06-26,
Žin., 2012, Nr.
76-3940 (2012-06-30), i. k. 1121010ISTA0XI-2116        </w:t>
                  </w:r>
                </w:p>
                <w:p/>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11C7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c0376ee3975f4752a34d7028a605caad"/>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5 p." Title="" DocPartId="9007a54d5b114af4ae3af3d246930013" PartId="5472a9e184aa4caab4bc3012b4305044"/>
            <Part Type="strPunktas" Nr="6" Abbr="17 str. 1 d. 6 p." DocPartId="3b3db92fc49740fda40cd4062d4aeb5b" PartId="3ff6c1ebe3054cf6a490bbe64f75f66a"/>
            <Part Type="strPunktas" Nr="7" Abbr="17 str. 1 d. 7 p." DocPartId="ec86de29ad9b48beb18c92265fe0da71" PartId="42fdf945b67648d1af1cc1a0b744a91b"/>
            <Part Type="strPunktas" Nr="8" Abbr="17 str. 1 d. 8 p." Title="" DocPartId="1de6239dcc184e95a0b24ec9720d0456" PartId="b7918cd5c9634dc2abefa67191f6b101"/>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322da4525c604868aa53b7dc84db9630"/>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Type="straipsnis" Nr="30" Abbr="30 str." Title="Įstatymo taikymas naujos branduolinės (atominės) elektrinės projektui" DocPartId="734b1ab02eb64225aa5f5cc7d2c71e06" PartId="b124b22b1d554d3198e6acd6ed2a53e8">
        <Part Type="strDalis" Nr="1" Abbr="30 str. 1 d." DocPartId="71f95d2a93ac48ed944585bbdaa5fc78" PartId="08a4d6c24071455498f1ce99b04b2373"/>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B752AB03-1825-4076-9E81-29C011E171DF}">
  <ds:schemaRefs>
    <ds:schemaRef ds:uri="http://lrs.lt/TAIS/DocParts"/>
  </ds:schemaRefs>
</ds:datastoreItem>
</file>

<file path=docProps/app.xml><?xml version="1.0" encoding="utf-8"?>
<Properties xmlns="http://schemas.openxmlformats.org/officeDocument/2006/extended-properties">
  <Template>Normal.dotm</Template>
  <TotalTime>15</TotalTime>
  <Pages>17</Pages>
  <Words>41101</Words>
  <Characters>23429</Characters>
  <Application>Microsoft Office Word</Application>
  <DocSecurity>0</DocSecurity>
  <Lines>195</Lines>
  <Paragraphs>128</Paragraphs>
  <ScaleCrop>false</ScaleCrop>
  <Company/>
  <LinksUpToDate>false</LinksUpToDate>
  <CharactersWithSpaces>64402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2016-06-16T12:57:00Z</dcterms:modified>
  <revision>12</revision>
</coreProperties>
</file>