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2012-06-30 iki 2014-12-03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5 p."/>
                            <w:tag w:val="part_5472a9e184aa4caab4bc3012b4305044"/>
                            <w:lock w:val="sdtLocked"/>
                            <w:richText/>
                          </w:sdtPr>
                          <w:sdtContent>
                            <w:p>
                              <w:pPr>
                                <w:widowControl w:val="0"/>
                                <w:suppressAutoHyphens/>
                                <w:ind w:firstLine="708"/>
                                <w:jc w:val="both"/>
                              </w:pPr>
                              <w:sdt>
                                <w:sdtPr>
                                  <w:alias w:val="Numeris"/>
                                  <w:tag w:val="nr_5472a9e184aa4caab4bc3012b4305044"/>
                                  <w:lock w:val="sdtLocked"/>
                                  <w:richText/>
                                </w:sdtPr>
                                <w:sdtContent>
                                  <w:r>
                                    <w:rPr>
                                      <w:color w:val="000000"/>
                                    </w:rPr>
                                    <w:t>5</w:t>
                                  </w:r>
                                </w:sdtContent>
                              </w:sdt>
                              <w:r>
                                <w:rPr>
                                  <w:color w:val="000000"/>
                                </w:rPr>
                                <w:t>) šios dalies 4 punkte nustatytas šešių mėnesių terminas Lietuvos Respublikos Vyriausybės sprendimu gali būti pratęstas naujos atominės elektrinės statybai Lietuvoje;</w:t>
                              </w:r>
                              <w:r>
                                <w:t xml:space="preserve"> </w:t>
                              </w:r>
                            </w:p>
                            <w:p>
                              <w:pPr>
                                <w:widowControl w:val="0"/>
                                <w:suppressAutoHyphens/>
                                <w:jc w:val="both"/>
                                <w:rPr>
                                  <w:color w:val="000000"/>
                                </w:rPr>
                              </w:pPr>
                              <w:r>
                                <w:rPr>
                                  <w:b/>
                                  <w:i/>
                                  <w:sz w:val="20"/>
                                </w:rPr>
                                <w:t>TAR pastaba.</w:t>
                              </w:r>
                              <w:r>
                                <w:rPr>
                                  <w:i/>
                                  <w:sz w:val="20"/>
                                </w:rPr>
                                <w:t xml:space="preserve"> 17 straipsnio papildymas nauju 5 punktu galioja vienus metus nuo įstatymo Nr. XI-1458 įsigaliojimo dienos (2016-06-28).</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6 p."/>
                            <w:tag w:val="part_3ff6c1ebe3054cf6a490bbe64f75f66a"/>
                            <w:lock w:val="sdtLocked"/>
                            <w:richText/>
                          </w:sdtPr>
                          <w:sdtContent>
                            <w:p>
                              <w:pPr>
                                <w:ind w:firstLine="708"/>
                                <w:jc w:val="both"/>
                                <w:rPr>
                                  <w:color w:val="000000"/>
                                </w:rPr>
                              </w:pPr>
                              <w:sdt>
                                <w:sdtPr>
                                  <w:alias w:val="Numeris"/>
                                  <w:tag w:val="nr_3ff6c1ebe3054cf6a490bbe64f75f66a"/>
                                  <w:lock w:val="sdtLocked"/>
                                  <w:richText/>
                                </w:sdtPr>
                                <w:sdtContent>
                                  <w:r>
                                    <w:rPr>
                                      <w:color w:val="000000"/>
                                    </w:rPr>
                                    <w:t>6</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7 p."/>
                            <w:tag w:val="part_42fdf945b67648d1af1cc1a0b744a91b"/>
                            <w:lock w:val="sdtLocked"/>
                            <w:richText/>
                          </w:sdtPr>
                          <w:sdtContent>
                            <w:p>
                              <w:pPr>
                                <w:ind w:firstLine="708"/>
                                <w:jc w:val="both"/>
                              </w:pPr>
                              <w:sdt>
                                <w:sdtPr>
                                  <w:alias w:val="Numeris"/>
                                  <w:tag w:val="nr_42fdf945b67648d1af1cc1a0b744a91b"/>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8 p."/>
                            <w:tag w:val="part_b7918cd5c9634dc2abefa67191f6b101"/>
                            <w:lock w:val="sdtLocked"/>
                            <w:richText/>
                          </w:sdtPr>
                          <w:sdtContent>
                            <w:p>
                              <w:pPr>
                                <w:widowControl w:val="0"/>
                                <w:ind w:firstLine="708"/>
                                <w:jc w:val="both"/>
                                <w:rPr>
                                  <w:color w:val="000000"/>
                                </w:rPr>
                              </w:pPr>
                              <w:sdt>
                                <w:sdtPr>
                                  <w:alias w:val="Numeris"/>
                                  <w:tag w:val="nr_b7918cd5c9634dc2abefa67191f6b101"/>
                                  <w:lock w:val="sdtLocked"/>
                                  <w:richText/>
                                </w:sdtPr>
                                <w:sdtContent>
                                  <w:r>
                                    <w:rPr>
                                      <w:color w:val="000000"/>
                                    </w:rPr>
                                    <w:t>8</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1189dff5ef734c02bc5578c3a0402fed"/>
            <w:lock w:val="sdtLocked"/>
            <w:richText/>
          </w:sdtPr>
          <w:sdtContent>
            <w:p>
              <w:pPr>
                <w:widowControl w:val="0"/>
                <w:jc w:val="center"/>
                <w:rPr>
                  <w:b/>
                  <w:bCs/>
                  <w:color w:val="000000"/>
                </w:rPr>
              </w:pPr>
              <w:sdt>
                <w:sdtPr>
                  <w:alias w:val="Numeris"/>
                  <w:tag w:val="nr_1189dff5ef734c02bc5578c3a0402fed"/>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1189dff5ef734c02bc5578c3a0402fed"/>
                  <w:lock w:val="sdtLocked"/>
                  <w:richText/>
                </w:sdtPr>
                <w:sdtContent>
                  <w:r>
                    <w:rPr>
                      <w:b/>
                      <w:bCs/>
                      <w:color w:val="000000"/>
                    </w:rPr>
                    <w:t>KONCESIJŲ SUTEIKIMO KONTROLĖ</w:t>
                  </w:r>
                </w:sdtContent>
              </w:sdt>
            </w:p>
            <w:p/>
            <w:sdt>
              <w:sdtPr>
                <w:alias w:val="28-1 str."/>
                <w:tag w:val="part_50d9d831301342a9ab7127963355b03c"/>
                <w:lock w:val="sdtLocked"/>
                <w:richText/>
              </w:sdtPr>
              <w:sdtContent>
                <w:p>
                  <w:pPr>
                    <w:ind w:firstLine="709"/>
                    <w:jc w:val="both"/>
                    <w:rPr>
                      <w:b/>
                      <w:bCs/>
                    </w:rPr>
                  </w:pPr>
                  <w:sdt>
                    <w:sdtPr>
                      <w:alias w:val="Numeris"/>
                      <w:tag w:val="nr_50d9d831301342a9ab7127963355b03c"/>
                      <w:lock w:val="sdtLocked"/>
                      <w:richText/>
                    </w:sdtPr>
                    <w:sdtContent>
                      <w:r>
                        <w:rPr>
                          <w:b/>
                          <w:bCs/>
                        </w:rPr>
                        <w:t>28</w:t>
                      </w:r>
                      <w:r>
                        <w:rPr>
                          <w:b/>
                          <w:bCs/>
                          <w:vertAlign w:val="superscript"/>
                        </w:rPr>
                        <w:t>1</w:t>
                      </w:r>
                    </w:sdtContent>
                  </w:sdt>
                  <w:r>
                    <w:rPr>
                      <w:b/>
                      <w:bCs/>
                    </w:rPr>
                    <w:t xml:space="preserve"> straipsnis. </w:t>
                  </w:r>
                  <w:sdt>
                    <w:sdtPr>
                      <w:alias w:val="Pavadinimas"/>
                      <w:tag w:val="title_50d9d831301342a9ab7127963355b03c"/>
                      <w:lock w:val="sdtLocked"/>
                      <w:richText/>
                    </w:sdtPr>
                    <w:sdtContent>
                      <w:r>
                        <w:rPr>
                          <w:b/>
                          <w:bCs/>
                        </w:rPr>
                        <w:t>Koncesijų suteikimą kontroliuojančios institucijos</w:t>
                      </w:r>
                    </w:sdtContent>
                  </w:sdt>
                </w:p>
                <w:sdt>
                  <w:sdtPr>
                    <w:alias w:val="28-1 str. 1 d."/>
                    <w:tag w:val="part_4c196bb6d7e84d43ab903ce06c954cb5"/>
                    <w:lock w:val="sdtLocked"/>
                    <w:richText/>
                  </w:sdtPr>
                  <w:sdtContent>
                    <w:p>
                      <w:pPr>
                        <w:ind w:firstLine="709"/>
                        <w:jc w:val="both"/>
                      </w:pPr>
                      <w:sdt>
                        <w:sdtPr>
                          <w:alias w:val="Numeris"/>
                          <w:tag w:val="nr_4c196bb6d7e84d43ab903ce06c954cb5"/>
                          <w:lock w:val="sdtLocked"/>
                          <w:richText/>
                        </w:sdtPr>
                        <w:sdtContent>
                          <w:r>
                            <w:t>1</w:t>
                          </w:r>
                        </w:sdtContent>
                      </w:sdt>
                      <w:r>
                        <w:t>. Už koncesijos sutarties sudarymą ir jos sąlygų vykdymą yra atsakinga suteikiančioji institucija, kuri Lietuvos Respublikos Vyriausybės patvirtintų Viešojo ir privataus sektorių partnerystės projektų rengimo ir įgyvendinimo taisyklių nustatyta tvarka privalo:</w:t>
                      </w:r>
                    </w:p>
                    <w:sdt>
                      <w:sdtPr>
                        <w:alias w:val="28-1 str. 1 d. 1 p."/>
                        <w:tag w:val="part_2ef13837c5b64a5ab54fb3f62d42b70a"/>
                        <w:lock w:val="sdtLocked"/>
                        <w:richText/>
                      </w:sdtPr>
                      <w:sdtContent>
                        <w:p>
                          <w:pPr>
                            <w:ind w:firstLine="709"/>
                            <w:jc w:val="both"/>
                          </w:pPr>
                          <w:sdt>
                            <w:sdtPr>
                              <w:alias w:val="Numeris"/>
                              <w:tag w:val="nr_2ef13837c5b64a5ab54fb3f62d42b70a"/>
                              <w:lock w:val="sdtLocked"/>
                              <w:richText/>
                            </w:sdtPr>
                            <w:sdtContent>
                              <w:r>
                                <w:t>1</w:t>
                              </w:r>
                            </w:sdtContent>
                          </w:sdt>
                          <w:r>
                            <w:t>) gauti Finansų ministerijos pritarimą dėl koncesijos sutarties finansinių sąlygų – jei koncesija suteikiama valstybės vardu. Jei koncesija suteikiama savivaldybės vardu, Finansų ministerija savivaldybės suteikiančiajai institucijai teikia atskirąją nuomonę dėl numatomų koncesijos finansinių sąlygų;</w:t>
                          </w:r>
                        </w:p>
                      </w:sdtContent>
                    </w:sdt>
                    <w:sdt>
                      <w:sdtPr>
                        <w:alias w:val="28-1 str. 1 d. 2 p."/>
                        <w:tag w:val="part_be4a1ea9e93247f5a9d99334342784eb"/>
                        <w:lock w:val="sdtLocked"/>
                        <w:richText/>
                      </w:sdtPr>
                      <w:sdtContent>
                        <w:p>
                          <w:pPr>
                            <w:ind w:firstLine="709"/>
                            <w:jc w:val="both"/>
                          </w:pPr>
                          <w:sdt>
                            <w:sdtPr>
                              <w:alias w:val="Numeris"/>
                              <w:tag w:val="nr_be4a1ea9e93247f5a9d99334342784eb"/>
                              <w:lock w:val="sdtLocked"/>
                              <w:richText/>
                            </w:sdtPr>
                            <w:sdtContent>
                              <w:r>
                                <w:t>2</w:t>
                              </w:r>
                            </w:sdtContent>
                          </w:sdt>
                          <w:r>
                            <w:t>) pateikti Finansų ministerijai informaciją apie suteiktas koncesijas ir koncesijos sutarčių vykdymą.</w:t>
                          </w:r>
                        </w:p>
                      </w:sdtContent>
                    </w:sdt>
                  </w:sdtContent>
                </w:sdt>
                <w:sdt>
                  <w:sdtPr>
                    <w:alias w:val="28-1 str. 2 d."/>
                    <w:tag w:val="part_dd837ee0fd6c4bafb1614d3330289400"/>
                    <w:lock w:val="sdtLocked"/>
                    <w:richText/>
                  </w:sdtPr>
                  <w:sdtContent>
                    <w:p>
                      <w:pPr>
                        <w:ind w:firstLine="709"/>
                        <w:jc w:val="both"/>
                      </w:pPr>
                      <w:sdt>
                        <w:sdtPr>
                          <w:alias w:val="Numeris"/>
                          <w:tag w:val="nr_dd837ee0fd6c4bafb1614d3330289400"/>
                          <w:lock w:val="sdtLocked"/>
                          <w:richText/>
                        </w:sdtPr>
                        <w:sdtContent>
                          <w:r>
                            <w:t>2</w:t>
                          </w:r>
                        </w:sdtContent>
                      </w:sdt>
                      <w:r>
                        <w:t>. Finansų ministerija sistemina, kaupia ir saugo duomenis apie valstybės ir savivaldybės vardu suteiktas koncesijas, teikia Lietuvos Respublikos Vyriausybei sudarytų koncesijų sutarčių ir jų vykdymo ataskaitą.</w:t>
                      </w:r>
                    </w:p>
                  </w:sdtContent>
                </w:sdt>
                <w:sdt>
                  <w:sdtPr>
                    <w:alias w:val="28-1 str. 3 d."/>
                    <w:tag w:val="part_24f19d6e39c6484ebe2b0e1ef4308350"/>
                    <w:lock w:val="sdtLocked"/>
                    <w:richText/>
                  </w:sdtPr>
                  <w:sdtContent>
                    <w:p>
                      <w:pPr>
                        <w:ind w:firstLine="709"/>
                        <w:jc w:val="both"/>
                      </w:pPr>
                      <w:sdt>
                        <w:sdtPr>
                          <w:alias w:val="Numeris"/>
                          <w:tag w:val="nr_24f19d6e39c6484ebe2b0e1ef4308350"/>
                          <w:lock w:val="sdtLocked"/>
                          <w:richText/>
                        </w:sdtPr>
                        <w:sdtContent>
                          <w:r>
                            <w:t>3</w:t>
                          </w:r>
                        </w:sdtContent>
                      </w:sdt>
                      <w:r>
                        <w:t>. Valstybės arba savivaldybės lėšų ir turto, reikiamų koncesijų sutartims įgyvendinti, panaudojimą, taip pat koncesijos sutarčių sudarymą ir įgyvendinimą teisės aktų nustatyta tvarka tikrina valstybės ir savivaldybės kontrolės institucijos.</w:t>
                      </w:r>
                    </w:p>
                  </w:sdtContent>
                </w:sdt>
                <w:sdt>
                  <w:sdtPr>
                    <w:alias w:val="28-1 str. 4 d."/>
                    <w:tag w:val="part_0fe01b96b7494c3b885c59ec95e4f215"/>
                    <w:lock w:val="sdtLocked"/>
                    <w:richText/>
                  </w:sdtPr>
                  <w:sdtContent>
                    <w:p>
                      <w:pPr>
                        <w:ind w:firstLine="709"/>
                        <w:jc w:val="both"/>
                        <w:rPr>
                          <w:color w:val="000000"/>
                        </w:rPr>
                      </w:pPr>
                      <w:sdt>
                        <w:sdtPr>
                          <w:alias w:val="Numeris"/>
                          <w:tag w:val="nr_0fe01b96b7494c3b885c59ec95e4f215"/>
                          <w:lock w:val="sdtLocked"/>
                          <w:richText/>
                        </w:sdtPr>
                        <w:sdtContent>
                          <w:r>
                            <w:t>4</w:t>
                          </w:r>
                        </w:sdtContent>
                      </w:sdt>
                      <w:r>
                        <w:t>. Metodinę ir konsultacinę pagalbą suteikiančioms institucijoms koncesijų suteikimo klausimais teikia Lietuvos Respublikos Vyriausybės įgaliotas viešasis juridinis asmuo, kurio funkcijas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E4664C715B">
                    <w:r w:rsidRPr="00532B9F">
                      <w:rPr>
                        <w:rFonts w:ascii="Times New Roman" w:eastAsia="MS Mincho" w:hAnsi="Times New Roman"/>
                        <w:sz w:val="20"/>
                        <w:i/>
                        <w:iCs/>
                        <w:color w:val="0000FF" w:themeColor="hyperlink"/>
                        <w:u w:val="single"/>
                      </w:rPr>
                      <w:t>XI-302</w:t>
                    </w:r>
                  </w:fldSimple>
                  <w:r>
                    <w:rPr>
                      <w:rFonts w:ascii="Times New Roman" w:eastAsia="MS Mincho" w:hAnsi="Times New Roman"/>
                      <w:sz w:val="20"/>
                      <w:i/>
                      <w:iCs/>
                    </w:rPr>
                    <w:t>,
2009-06-16,
Žin., 2009, Nr.
77-3167 (2009-06-30), i. k. 1091010ISTA00XI-302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
              <w:sdtPr>
                <w:alias w:val="30 str."/>
                <w:tag w:val="part_b124b22b1d554d3198e6acd6ed2a53e8"/>
                <w:lock w:val="sdtLocked"/>
                <w:richText/>
              </w:sdtPr>
              <w:sdtContent>
                <w:p>
                  <w:pPr>
                    <w:keepLines/>
                    <w:widowControl w:val="0"/>
                    <w:suppressAutoHyphens/>
                    <w:ind w:left="2160" w:hanging="1452"/>
                    <w:rPr>
                      <w:b/>
                      <w:bCs/>
                      <w:color w:val="000000"/>
                    </w:rPr>
                  </w:pPr>
                  <w:sdt>
                    <w:sdtPr>
                      <w:alias w:val="Numeris"/>
                      <w:tag w:val="nr_b124b22b1d554d3198e6acd6ed2a53e8"/>
                      <w:lock w:val="sdtLocked"/>
                      <w:richText/>
                    </w:sdtPr>
                    <w:sdtContent>
                      <w:r>
                        <w:rPr>
                          <w:b/>
                          <w:bCs/>
                          <w:color w:val="000000"/>
                        </w:rPr>
                        <w:t>30</w:t>
                      </w:r>
                    </w:sdtContent>
                  </w:sdt>
                  <w:r>
                    <w:rPr>
                      <w:b/>
                      <w:bCs/>
                      <w:color w:val="000000"/>
                    </w:rPr>
                    <w:t xml:space="preserve"> straipsnis. </w:t>
                  </w:r>
                  <w:sdt>
                    <w:sdtPr>
                      <w:alias w:val="Pavadinimas"/>
                      <w:tag w:val="title_b124b22b1d554d3198e6acd6ed2a53e8"/>
                      <w:lock w:val="sdtLocked"/>
                      <w:richText/>
                    </w:sdtPr>
                    <w:sdtContent>
                      <w:r>
                        <w:rPr>
                          <w:b/>
                          <w:bCs/>
                          <w:color w:val="000000"/>
                        </w:rPr>
                        <w:t>Įstatymo taikymas naujos branduolinės (atominės) elektrinės projektui</w:t>
                      </w:r>
                    </w:sdtContent>
                  </w:sdt>
                </w:p>
                <w:sdt>
                  <w:sdtPr>
                    <w:alias w:val="30 str. 1 d."/>
                    <w:tag w:val="part_08a4d6c24071455498f1ce99b04b2373"/>
                    <w:lock w:val="sdtLocked"/>
                    <w:richText/>
                  </w:sdtPr>
                  <w:sdtContent>
                    <w:p>
                      <w:pPr>
                        <w:widowControl w:val="0"/>
                        <w:suppressAutoHyphens/>
                        <w:ind w:firstLine="708"/>
                        <w:jc w:val="both"/>
                      </w:pPr>
                      <w:r>
                        <w:rPr>
                          <w:color w:val="000000"/>
                        </w:rPr>
                        <w:t>Šio Įstatymo normos santykiams, susijusiems su naujos branduolinės (atominės) elektrinės projektu ir su juo susijusiais klausimais, taikomos tiek, kiek jų nereglamentuoja Branduolinės (atominės) elektrinės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8835E33A00">
                    <w:r w:rsidRPr="00532B9F">
                      <w:rPr>
                        <w:rFonts w:ascii="Times New Roman" w:eastAsia="MS Mincho" w:hAnsi="Times New Roman"/>
                        <w:sz w:val="20"/>
                        <w:i/>
                        <w:iCs/>
                        <w:color w:val="0000FF" w:themeColor="hyperlink"/>
                        <w:u w:val="single"/>
                      </w:rPr>
                      <w:t>XI-2116</w:t>
                    </w:r>
                  </w:fldSimple>
                  <w:r>
                    <w:rPr>
                      <w:rFonts w:ascii="Times New Roman" w:eastAsia="MS Mincho" w:hAnsi="Times New Roman"/>
                      <w:sz w:val="20"/>
                      <w:i/>
                      <w:iCs/>
                    </w:rPr>
                    <w:t>,
2012-06-26,
Žin., 2012, Nr.
76-3940 (2012-06-30), i. k. 1121010ISTA0XI-2116        </w:t>
                  </w:r>
                </w:p>
                <w:p/>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2ee818f595a14aa6adcf7d9c59703e13"/>
        <w:lock w:val="sdtLocked"/>
        <w:richText/>
      </w:sdtPr>
      <w:sdtContent>
        <w:p>
          <w:pPr>
            <w:ind w:firstLine="5103"/>
          </w:pPr>
          <w:r>
            <w:t>Lietuvos Respublikos</w:t>
          </w:r>
        </w:p>
        <w:p>
          <w:pPr>
            <w:ind w:firstLine="5103"/>
          </w:pPr>
          <w:r>
            <w:t>koncesijų įstatymo</w:t>
          </w:r>
        </w:p>
        <w:p>
          <w:pPr>
            <w:ind w:firstLine="5103"/>
          </w:pPr>
          <w:r>
            <w:t>priedas</w:t>
          </w:r>
        </w:p>
        <w:p/>
        <w:p>
          <w:pPr>
            <w:widowControl w:val="0"/>
            <w:jc w:val="center"/>
            <w:rPr>
              <w:color w:val="000000"/>
            </w:rPr>
          </w:pPr>
          <w:sdt>
            <w:sdtPr>
              <w:alias w:val="Pavadinimas"/>
              <w:tag w:val="title_2ee818f595a14aa6adcf7d9c59703e13"/>
              <w:lock w:val="sdtLocked"/>
              <w:richText/>
            </w:sdtPr>
            <w:sdtContent>
              <w:r>
                <w:rPr>
                  <w:b/>
                  <w:bCs/>
                  <w:color w:val="000000"/>
                </w:rPr>
                <w:t>ĮGYVENDINAMI EUROPOS SĄJUNGOS TEISĖS AKTAI</w:t>
              </w:r>
            </w:sdtContent>
          </w:sdt>
        </w:p>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14C3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5 p." Title="" DocPartId="9007a54d5b114af4ae3af3d246930013" PartId="5472a9e184aa4caab4bc3012b4305044"/>
            <Part Type="strPunktas" Nr="6" Abbr="17 str. 1 d. 6 p." DocPartId="3b3db92fc49740fda40cd4062d4aeb5b" PartId="3ff6c1ebe3054cf6a490bbe64f75f66a"/>
            <Part Type="strPunktas" Nr="7" Abbr="17 str. 1 d. 7 p." DocPartId="ec86de29ad9b48beb18c92265fe0da71" PartId="42fdf945b67648d1af1cc1a0b744a91b"/>
            <Part Type="strPunktas" Nr="8" Abbr="17 str. 1 d. 8 p." Title="" DocPartId="1de6239dcc184e95a0b24ec9720d0456" PartId="b7918cd5c9634dc2abefa67191f6b101"/>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1189dff5ef734c02bc5578c3a0402fed">
      <Part Type="straipsnis" Nr="28-1" Abbr="28-1 str." Title="Koncesijų suteikimą kontroliuojančios institucijos" DocPartId="ad551e8f8f4748b78131f5cac82da4db" PartId="50d9d831301342a9ab7127963355b03c">
        <Part Type="strDalis" Nr="1" Abbr="28-1 str. 1 d." DocPartId="6fcb1d08956545199a0be1994ff31bba" PartId="4c196bb6d7e84d43ab903ce06c954cb5">
          <Part Type="strPunktas" Nr="1" Abbr="28-1 str. 1 d. 1 p." DocPartId="5a93b4d60f2c47de951eaeb2e72c80e0" PartId="2ef13837c5b64a5ab54fb3f62d42b70a"/>
          <Part Type="strPunktas" Nr="2" Abbr="28-1 str. 1 d. 2 p." DocPartId="eba2430eca7b446db64f5567cb3d6bf1" PartId="be4a1ea9e93247f5a9d99334342784eb"/>
        </Part>
        <Part Type="strDalis" Nr="2" Abbr="28-1 str. 2 d." DocPartId="92b636177bf64ff2b2560e15b4a40d53" PartId="dd837ee0fd6c4bafb1614d3330289400"/>
        <Part Type="strDalis" Nr="3" Abbr="28-1 str. 3 d." DocPartId="fb2b47a876fe401aad3f66b4700a81fc" PartId="24f19d6e39c6484ebe2b0e1ef4308350"/>
        <Part Type="strDalis" Nr="4" Abbr="28-1 str. 4 d." DocPartId="29aa917a1c924a74a161cf7cf22839d9" PartId="0fe01b96b7494c3b885c59ec95e4f215"/>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Type="straipsnis" Nr="30" Abbr="30 str." Title="Įstatymo taikymas naujos branduolinės (atominės) elektrinės projektui" DocPartId="734b1ab02eb64225aa5f5cc7d2c71e06" PartId="b124b22b1d554d3198e6acd6ed2a53e8">
        <Part Type="strDalis" Nr="1" Abbr="30 str. 1 d." DocPartId="71f95d2a93ac48ed944585bbdaa5fc78" PartId="08a4d6c24071455498f1ce99b04b2373"/>
      </Part>
    </Part>
    <Part Type="signatura" DocPartId="b2624d9c183c48b081c04f7c1fc15da3" PartId="2352c694edc1411a901cf5b9cac8e195"/>
  </Part>
  <Part Type="priedas" Abbr="pr." Title="ĮGYVENDINAMI EUROPOS SĄJUNGOS TEISĖS AKTAI" DocPartId="43ae84972e824ff18562b69666e4ae9e" PartId="2ee818f595a14aa6adcf7d9c59703e1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7AD6A096-E6F2-4BDD-BF3B-7EC646CCD1D4}">
  <ds:schemaRefs>
    <ds:schemaRef ds:uri="http://lrs.lt/TAIS/DocParts"/>
  </ds:schemaRefs>
</ds:datastoreItem>
</file>

<file path=docProps/app.xml><?xml version="1.0" encoding="utf-8"?>
<Properties xmlns="http://schemas.openxmlformats.org/officeDocument/2006/extended-properties">
  <Template>Normal.dotm</Template>
  <TotalTime>14</TotalTime>
  <Pages>17</Pages>
  <Words>40471</Words>
  <Characters>23070</Characters>
  <Application>Microsoft Office Word</Application>
  <DocSecurity>0</DocSecurity>
  <Lines>192</Lines>
  <Paragraphs>126</Paragraphs>
  <ScaleCrop>false</ScaleCrop>
  <Company/>
  <LinksUpToDate>false</LinksUpToDate>
  <CharactersWithSpaces>63415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2016-06-16T12:51:00Z</dcterms:modified>
  <revision>10</revision>
</coreProperties>
</file>