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B5" w:rsidRPr="00CF20B5" w:rsidRDefault="00CF20B5" w:rsidP="00CF20B5">
      <w:pPr>
        <w:pStyle w:val="NormalWeb"/>
        <w:spacing w:before="0" w:beforeAutospacing="0" w:after="0" w:afterAutospacing="0"/>
        <w:ind w:right="-57"/>
        <w:jc w:val="both"/>
        <w:rPr>
          <w:sz w:val="20"/>
          <w:szCs w:val="20"/>
        </w:rPr>
      </w:pPr>
      <w:bookmarkStart w:id="0" w:name="_GoBack"/>
      <w:bookmarkEnd w:id="0"/>
      <w:r w:rsidRPr="00CF20B5">
        <w:rPr>
          <w:sz w:val="20"/>
          <w:szCs w:val="20"/>
        </w:rPr>
        <w:t xml:space="preserve">Įstatymas skelbtas: Žin., 2007, Nr. </w:t>
      </w:r>
      <w:hyperlink r:id="rId8" w:history="1">
        <w:r w:rsidRPr="00CF20B5">
          <w:rPr>
            <w:rStyle w:val="Hyperlink"/>
            <w:sz w:val="20"/>
            <w:szCs w:val="20"/>
          </w:rPr>
          <w:t>120-4881</w:t>
        </w:r>
      </w:hyperlink>
    </w:p>
    <w:p w:rsidR="00CF20B5" w:rsidRPr="00CF20B5" w:rsidRDefault="00CF20B5" w:rsidP="00CF20B5">
      <w:pPr>
        <w:pStyle w:val="NormalWeb"/>
        <w:spacing w:before="0" w:beforeAutospacing="0" w:after="0" w:afterAutospacing="0"/>
        <w:ind w:right="-57"/>
        <w:jc w:val="both"/>
        <w:rPr>
          <w:sz w:val="20"/>
          <w:szCs w:val="20"/>
        </w:rPr>
      </w:pPr>
      <w:r w:rsidRPr="00CF20B5">
        <w:rPr>
          <w:sz w:val="20"/>
          <w:szCs w:val="20"/>
        </w:rPr>
        <w:t>Neoficialus įstatymo tekstas</w:t>
      </w:r>
    </w:p>
    <w:p w:rsidR="00A249BD" w:rsidRPr="00CF20B5" w:rsidRDefault="00A249BD" w:rsidP="00CF20B5">
      <w:pPr>
        <w:pStyle w:val="statymopavad"/>
        <w:spacing w:line="240" w:lineRule="auto"/>
        <w:ind w:firstLine="0"/>
        <w:rPr>
          <w:rFonts w:ascii="Times New Roman" w:hAnsi="Times New Roman"/>
          <w:sz w:val="20"/>
        </w:rPr>
      </w:pPr>
    </w:p>
    <w:p w:rsidR="00A249BD" w:rsidRPr="00CF20B5" w:rsidRDefault="00A249BD" w:rsidP="00CF20B5">
      <w:pPr>
        <w:pStyle w:val="statymopavad"/>
        <w:spacing w:line="240" w:lineRule="auto"/>
        <w:ind w:firstLine="0"/>
        <w:rPr>
          <w:rFonts w:ascii="Times New Roman" w:hAnsi="Times New Roman"/>
          <w:b/>
          <w:bCs/>
          <w:sz w:val="22"/>
          <w:szCs w:val="22"/>
        </w:rPr>
      </w:pPr>
      <w:r w:rsidRPr="00CF20B5">
        <w:rPr>
          <w:rFonts w:ascii="Times New Roman" w:hAnsi="Times New Roman"/>
          <w:b/>
          <w:bCs/>
          <w:sz w:val="22"/>
          <w:szCs w:val="22"/>
        </w:rPr>
        <w:fldChar w:fldCharType="begin" w:fldLock="1">
          <w:ffData>
            <w:name w:val="organizacija"/>
            <w:enabled/>
            <w:calcOnExit w:val="0"/>
            <w:textInput>
              <w:default w:val="LIETUVOS RESPUBLIKOS"/>
            </w:textInput>
          </w:ffData>
        </w:fldChar>
      </w:r>
      <w:bookmarkStart w:id="1" w:name="organizacija"/>
      <w:r w:rsidRPr="00CF20B5">
        <w:rPr>
          <w:rFonts w:ascii="Times New Roman" w:hAnsi="Times New Roman"/>
          <w:b/>
          <w:bCs/>
          <w:sz w:val="22"/>
          <w:szCs w:val="22"/>
        </w:rPr>
        <w:instrText xml:space="preserve"> FORMTEXT </w:instrText>
      </w:r>
      <w:r w:rsidRPr="00CF20B5">
        <w:rPr>
          <w:rFonts w:ascii="Times New Roman" w:hAnsi="Times New Roman"/>
          <w:b/>
          <w:bCs/>
          <w:sz w:val="22"/>
          <w:szCs w:val="22"/>
        </w:rPr>
      </w:r>
      <w:r w:rsidRPr="00CF20B5">
        <w:rPr>
          <w:rFonts w:ascii="Times New Roman" w:hAnsi="Times New Roman"/>
          <w:b/>
          <w:bCs/>
          <w:sz w:val="22"/>
          <w:szCs w:val="22"/>
        </w:rPr>
        <w:fldChar w:fldCharType="separate"/>
      </w:r>
      <w:r w:rsidRPr="00CF20B5">
        <w:rPr>
          <w:rFonts w:ascii="Times New Roman" w:hAnsi="Times New Roman"/>
          <w:b/>
          <w:bCs/>
          <w:noProof/>
          <w:sz w:val="22"/>
          <w:szCs w:val="22"/>
        </w:rPr>
        <w:t>LIETUVOS RESPUBLIKOS</w:t>
      </w:r>
      <w:r w:rsidRPr="00CF20B5">
        <w:rPr>
          <w:rFonts w:ascii="Times New Roman" w:hAnsi="Times New Roman"/>
          <w:b/>
          <w:bCs/>
          <w:sz w:val="22"/>
          <w:szCs w:val="22"/>
        </w:rPr>
        <w:fldChar w:fldCharType="end"/>
      </w:r>
      <w:bookmarkEnd w:id="1"/>
    </w:p>
    <w:p w:rsidR="00A249BD" w:rsidRPr="00CF20B5" w:rsidRDefault="00A249BD" w:rsidP="00CF20B5">
      <w:pPr>
        <w:pStyle w:val="statymopavad"/>
        <w:spacing w:line="240" w:lineRule="auto"/>
        <w:ind w:firstLine="0"/>
        <w:rPr>
          <w:rFonts w:ascii="Times New Roman" w:hAnsi="Times New Roman"/>
          <w:sz w:val="22"/>
          <w:szCs w:val="22"/>
        </w:rPr>
      </w:pPr>
      <w:r w:rsidRPr="00CF20B5">
        <w:rPr>
          <w:rFonts w:ascii="Times New Roman" w:hAnsi="Times New Roman"/>
          <w:b/>
          <w:sz w:val="22"/>
          <w:szCs w:val="22"/>
        </w:rPr>
        <w:fldChar w:fldCharType="begin" w:fldLock="1">
          <w:ffData>
            <w:name w:val="antraste"/>
            <w:enabled/>
            <w:calcOnExit w:val="0"/>
            <w:textInput>
              <w:default w:val="PAVADINIMAS"/>
              <w:format w:val="UPPERCASE"/>
            </w:textInput>
          </w:ffData>
        </w:fldChar>
      </w:r>
      <w:bookmarkStart w:id="2" w:name="antraste"/>
      <w:r w:rsidRPr="00CF20B5">
        <w:rPr>
          <w:rFonts w:ascii="Times New Roman" w:hAnsi="Times New Roman"/>
          <w:b/>
          <w:sz w:val="22"/>
          <w:szCs w:val="22"/>
        </w:rPr>
        <w:instrText xml:space="preserve"> FORMTEXT </w:instrText>
      </w:r>
      <w:r w:rsidRPr="00CF20B5">
        <w:rPr>
          <w:rFonts w:ascii="Times New Roman" w:hAnsi="Times New Roman"/>
          <w:b/>
          <w:sz w:val="22"/>
          <w:szCs w:val="22"/>
        </w:rPr>
      </w:r>
      <w:r w:rsidRPr="00CF20B5">
        <w:rPr>
          <w:rFonts w:ascii="Times New Roman" w:hAnsi="Times New Roman"/>
          <w:b/>
          <w:sz w:val="22"/>
          <w:szCs w:val="22"/>
        </w:rPr>
        <w:fldChar w:fldCharType="separate"/>
      </w:r>
      <w:r w:rsidRPr="00CF20B5">
        <w:rPr>
          <w:rFonts w:ascii="Times New Roman" w:hAnsi="Times New Roman"/>
          <w:b/>
          <w:caps w:val="0"/>
          <w:noProof/>
          <w:sz w:val="22"/>
          <w:szCs w:val="22"/>
        </w:rPr>
        <w:t>FISKALINĖS DRAUSMĖS</w:t>
      </w:r>
      <w:r w:rsidRPr="00CF20B5">
        <w:rPr>
          <w:rFonts w:ascii="Times New Roman" w:hAnsi="Times New Roman"/>
          <w:b/>
          <w:sz w:val="22"/>
          <w:szCs w:val="22"/>
        </w:rPr>
        <w:fldChar w:fldCharType="end"/>
      </w:r>
      <w:bookmarkEnd w:id="2"/>
    </w:p>
    <w:p w:rsidR="00A249BD" w:rsidRPr="00CF20B5" w:rsidRDefault="00A249BD" w:rsidP="00CF20B5">
      <w:pPr>
        <w:pStyle w:val="statymopavad"/>
        <w:spacing w:line="240" w:lineRule="auto"/>
        <w:ind w:firstLine="0"/>
        <w:rPr>
          <w:rFonts w:ascii="Times New Roman" w:hAnsi="Times New Roman"/>
          <w:b/>
          <w:spacing w:val="20"/>
          <w:sz w:val="22"/>
          <w:szCs w:val="22"/>
        </w:rPr>
      </w:pPr>
      <w:bookmarkStart w:id="3" w:name="dok_tipas"/>
      <w:r w:rsidRPr="00CF20B5">
        <w:rPr>
          <w:rFonts w:ascii="Times New Roman" w:hAnsi="Times New Roman"/>
          <w:b/>
          <w:spacing w:val="20"/>
          <w:sz w:val="22"/>
          <w:szCs w:val="22"/>
        </w:rPr>
        <w:t>ĮSTATYMAS</w:t>
      </w:r>
      <w:bookmarkEnd w:id="3"/>
    </w:p>
    <w:p w:rsidR="00A249BD" w:rsidRPr="00CF20B5" w:rsidRDefault="00A249BD" w:rsidP="00CF20B5">
      <w:pPr>
        <w:pStyle w:val="statymopavad"/>
        <w:spacing w:line="240" w:lineRule="auto"/>
        <w:ind w:firstLine="0"/>
        <w:rPr>
          <w:rFonts w:ascii="Times New Roman" w:hAnsi="Times New Roman"/>
          <w:b/>
          <w:sz w:val="22"/>
          <w:szCs w:val="22"/>
        </w:rPr>
      </w:pPr>
    </w:p>
    <w:p w:rsidR="00A249BD" w:rsidRPr="00CF20B5" w:rsidRDefault="00A249BD" w:rsidP="00CF20B5">
      <w:pPr>
        <w:spacing w:after="600"/>
        <w:jc w:val="center"/>
        <w:rPr>
          <w:rFonts w:ascii="Times New Roman" w:hAnsi="Times New Roman"/>
          <w:b/>
          <w:sz w:val="22"/>
          <w:szCs w:val="22"/>
          <w:lang w:val="lt-LT"/>
        </w:rPr>
      </w:pPr>
      <w:r w:rsidRPr="00CF20B5">
        <w:rPr>
          <w:rStyle w:val="Datametai"/>
          <w:rFonts w:ascii="Times New Roman" w:hAnsi="Times New Roman"/>
          <w:sz w:val="22"/>
          <w:szCs w:val="22"/>
          <w:lang w:val="lt-LT"/>
        </w:rPr>
        <w:fldChar w:fldCharType="begin" w:fldLock="1">
          <w:ffData>
            <w:name w:val="data_metai"/>
            <w:enabled/>
            <w:calcOnExit w:val="0"/>
            <w:textInput>
              <w:default w:val="XXXX"/>
              <w:maxLength w:val="4"/>
            </w:textInput>
          </w:ffData>
        </w:fldChar>
      </w:r>
      <w:bookmarkStart w:id="4" w:name="data_metai"/>
      <w:r w:rsidRPr="00CF20B5">
        <w:rPr>
          <w:rStyle w:val="Datametai"/>
          <w:rFonts w:ascii="Times New Roman" w:hAnsi="Times New Roman"/>
          <w:sz w:val="22"/>
          <w:szCs w:val="22"/>
          <w:lang w:val="lt-LT"/>
        </w:rPr>
        <w:instrText xml:space="preserve"> FORMTEXT </w:instrText>
      </w:r>
      <w:r w:rsidRPr="00CF20B5">
        <w:rPr>
          <w:rStyle w:val="Datametai"/>
          <w:rFonts w:ascii="Times New Roman" w:hAnsi="Times New Roman"/>
          <w:sz w:val="22"/>
          <w:szCs w:val="22"/>
          <w:lang w:val="lt-LT"/>
        </w:rPr>
      </w:r>
      <w:r w:rsidRPr="00CF20B5">
        <w:rPr>
          <w:rStyle w:val="Datametai"/>
          <w:rFonts w:ascii="Times New Roman" w:hAnsi="Times New Roman"/>
          <w:sz w:val="22"/>
          <w:szCs w:val="22"/>
          <w:lang w:val="lt-LT"/>
        </w:rPr>
        <w:fldChar w:fldCharType="separate"/>
      </w:r>
      <w:r w:rsidRPr="00CF20B5">
        <w:rPr>
          <w:rStyle w:val="Datametai"/>
          <w:rFonts w:ascii="Times New Roman" w:hAnsi="Times New Roman"/>
          <w:noProof/>
          <w:sz w:val="22"/>
          <w:szCs w:val="22"/>
          <w:lang w:val="lt-LT"/>
        </w:rPr>
        <w:t>2007</w:t>
      </w:r>
      <w:r w:rsidRPr="00CF20B5">
        <w:rPr>
          <w:rStyle w:val="Datametai"/>
          <w:rFonts w:ascii="Times New Roman" w:hAnsi="Times New Roman"/>
          <w:sz w:val="22"/>
          <w:szCs w:val="22"/>
          <w:lang w:val="lt-LT"/>
        </w:rPr>
        <w:fldChar w:fldCharType="end"/>
      </w:r>
      <w:bookmarkEnd w:id="4"/>
      <w:r w:rsidRPr="00CF20B5">
        <w:rPr>
          <w:rFonts w:ascii="Times New Roman" w:hAnsi="Times New Roman"/>
          <w:sz w:val="22"/>
          <w:szCs w:val="22"/>
          <w:lang w:val="lt-LT"/>
        </w:rPr>
        <w:t xml:space="preserve"> m. </w:t>
      </w:r>
      <w:r w:rsidRPr="00CF20B5">
        <w:rPr>
          <w:rStyle w:val="Datamnuo"/>
          <w:rFonts w:ascii="Times New Roman" w:hAnsi="Times New Roman"/>
          <w:sz w:val="22"/>
          <w:szCs w:val="22"/>
          <w:lang w:val="lt-LT"/>
        </w:rPr>
        <w:fldChar w:fldCharType="begin" w:fldLock="1">
          <w:ffData>
            <w:name w:val="data_menuo"/>
            <w:enabled/>
            <w:calcOnExit w:val="0"/>
            <w:textInput>
              <w:default w:val="xxxxxxxxx"/>
              <w:maxLength w:val="9"/>
              <w:format w:val="LOWERCASE"/>
            </w:textInput>
          </w:ffData>
        </w:fldChar>
      </w:r>
      <w:bookmarkStart w:id="5" w:name="data_menuo"/>
      <w:r w:rsidRPr="00CF20B5">
        <w:rPr>
          <w:rStyle w:val="Datamnuo"/>
          <w:rFonts w:ascii="Times New Roman" w:hAnsi="Times New Roman"/>
          <w:sz w:val="22"/>
          <w:szCs w:val="22"/>
          <w:lang w:val="lt-LT"/>
        </w:rPr>
        <w:instrText xml:space="preserve"> FORMTEXT </w:instrText>
      </w:r>
      <w:r w:rsidRPr="00CF20B5">
        <w:rPr>
          <w:rFonts w:ascii="Times New Roman" w:hAnsi="Times New Roman"/>
          <w:sz w:val="22"/>
          <w:szCs w:val="22"/>
          <w:lang w:val="lt-LT"/>
        </w:rPr>
      </w:r>
      <w:r w:rsidRPr="00CF20B5">
        <w:rPr>
          <w:rStyle w:val="Datamnuo"/>
          <w:rFonts w:ascii="Times New Roman" w:hAnsi="Times New Roman"/>
          <w:sz w:val="22"/>
          <w:szCs w:val="22"/>
          <w:lang w:val="lt-LT"/>
        </w:rPr>
        <w:fldChar w:fldCharType="separate"/>
      </w:r>
      <w:r w:rsidRPr="00CF20B5">
        <w:rPr>
          <w:rStyle w:val="Datamnuo"/>
          <w:rFonts w:ascii="Times New Roman" w:hAnsi="Times New Roman"/>
          <w:noProof/>
          <w:sz w:val="22"/>
          <w:szCs w:val="22"/>
          <w:lang w:val="lt-LT"/>
        </w:rPr>
        <w:t>lapkričio</w:t>
      </w:r>
      <w:r w:rsidRPr="00CF20B5">
        <w:rPr>
          <w:rStyle w:val="Datamnuo"/>
          <w:rFonts w:ascii="Times New Roman" w:hAnsi="Times New Roman"/>
          <w:sz w:val="22"/>
          <w:szCs w:val="22"/>
          <w:lang w:val="lt-LT"/>
        </w:rPr>
        <w:fldChar w:fldCharType="end"/>
      </w:r>
      <w:bookmarkEnd w:id="5"/>
      <w:r w:rsidRPr="00CF20B5">
        <w:rPr>
          <w:rFonts w:ascii="Times New Roman" w:hAnsi="Times New Roman"/>
          <w:sz w:val="22"/>
          <w:szCs w:val="22"/>
          <w:lang w:val="lt-LT"/>
        </w:rPr>
        <w:t xml:space="preserve"> </w:t>
      </w:r>
      <w:r w:rsidRPr="00CF20B5">
        <w:rPr>
          <w:rStyle w:val="Datadiena"/>
          <w:rFonts w:ascii="Times New Roman" w:hAnsi="Times New Roman"/>
          <w:sz w:val="22"/>
          <w:szCs w:val="22"/>
          <w:lang w:val="lt-LT"/>
        </w:rPr>
        <w:fldChar w:fldCharType="begin" w:fldLock="1">
          <w:ffData>
            <w:name w:val="data_diena"/>
            <w:enabled/>
            <w:calcOnExit w:val="0"/>
            <w:textInput>
              <w:default w:val="XX"/>
              <w:maxLength w:val="2"/>
            </w:textInput>
          </w:ffData>
        </w:fldChar>
      </w:r>
      <w:bookmarkStart w:id="6" w:name="data_diena"/>
      <w:r w:rsidRPr="00CF20B5">
        <w:rPr>
          <w:rStyle w:val="Datadiena"/>
          <w:rFonts w:ascii="Times New Roman" w:hAnsi="Times New Roman"/>
          <w:sz w:val="22"/>
          <w:szCs w:val="22"/>
          <w:lang w:val="lt-LT"/>
        </w:rPr>
        <w:instrText xml:space="preserve"> FORMTEXT </w:instrText>
      </w:r>
      <w:r w:rsidRPr="00CF20B5">
        <w:rPr>
          <w:rStyle w:val="Datadiena"/>
          <w:rFonts w:ascii="Times New Roman" w:hAnsi="Times New Roman"/>
          <w:sz w:val="22"/>
          <w:szCs w:val="22"/>
          <w:lang w:val="lt-LT"/>
        </w:rPr>
      </w:r>
      <w:r w:rsidRPr="00CF20B5">
        <w:rPr>
          <w:rStyle w:val="Datadiena"/>
          <w:rFonts w:ascii="Times New Roman" w:hAnsi="Times New Roman"/>
          <w:sz w:val="22"/>
          <w:szCs w:val="22"/>
          <w:lang w:val="lt-LT"/>
        </w:rPr>
        <w:fldChar w:fldCharType="separate"/>
      </w:r>
      <w:r w:rsidRPr="00CF20B5">
        <w:rPr>
          <w:rStyle w:val="Datadiena"/>
          <w:rFonts w:ascii="Times New Roman" w:hAnsi="Times New Roman"/>
          <w:noProof/>
          <w:sz w:val="22"/>
          <w:szCs w:val="22"/>
          <w:lang w:val="lt-LT"/>
        </w:rPr>
        <w:t>8</w:t>
      </w:r>
      <w:r w:rsidRPr="00CF20B5">
        <w:rPr>
          <w:rStyle w:val="Datadiena"/>
          <w:rFonts w:ascii="Times New Roman" w:hAnsi="Times New Roman"/>
          <w:sz w:val="22"/>
          <w:szCs w:val="22"/>
          <w:lang w:val="lt-LT"/>
        </w:rPr>
        <w:fldChar w:fldCharType="end"/>
      </w:r>
      <w:bookmarkEnd w:id="6"/>
      <w:r w:rsidRPr="00CF20B5">
        <w:rPr>
          <w:rFonts w:ascii="Times New Roman" w:hAnsi="Times New Roman"/>
          <w:sz w:val="22"/>
          <w:szCs w:val="22"/>
          <w:lang w:val="lt-LT"/>
        </w:rPr>
        <w:t xml:space="preserve"> d. Nr. </w:t>
      </w:r>
      <w:r w:rsidRPr="00CF20B5">
        <w:rPr>
          <w:rStyle w:val="statymoNr"/>
          <w:rFonts w:ascii="Times New Roman" w:hAnsi="Times New Roman"/>
          <w:sz w:val="22"/>
          <w:szCs w:val="22"/>
          <w:lang w:val="lt-LT"/>
        </w:rPr>
        <w:fldChar w:fldCharType="begin" w:fldLock="1">
          <w:ffData>
            <w:name w:val="dok_nr"/>
            <w:enabled/>
            <w:calcOnExit w:val="0"/>
            <w:textInput>
              <w:default w:val="XXXX"/>
            </w:textInput>
          </w:ffData>
        </w:fldChar>
      </w:r>
      <w:bookmarkStart w:id="7" w:name="dok_nr"/>
      <w:r w:rsidRPr="00CF20B5">
        <w:rPr>
          <w:rStyle w:val="statymoNr"/>
          <w:rFonts w:ascii="Times New Roman" w:hAnsi="Times New Roman"/>
          <w:sz w:val="22"/>
          <w:szCs w:val="22"/>
          <w:lang w:val="lt-LT"/>
        </w:rPr>
        <w:instrText xml:space="preserve"> FORMTEXT </w:instrText>
      </w:r>
      <w:r w:rsidRPr="00CF20B5">
        <w:rPr>
          <w:rStyle w:val="statymoNr"/>
          <w:rFonts w:ascii="Times New Roman" w:hAnsi="Times New Roman"/>
          <w:sz w:val="22"/>
          <w:szCs w:val="22"/>
          <w:lang w:val="lt-LT"/>
        </w:rPr>
      </w:r>
      <w:r w:rsidRPr="00CF20B5">
        <w:rPr>
          <w:rStyle w:val="statymoNr"/>
          <w:rFonts w:ascii="Times New Roman" w:hAnsi="Times New Roman"/>
          <w:sz w:val="22"/>
          <w:szCs w:val="22"/>
          <w:lang w:val="lt-LT"/>
        </w:rPr>
        <w:fldChar w:fldCharType="separate"/>
      </w:r>
      <w:r w:rsidRPr="00CF20B5">
        <w:rPr>
          <w:rStyle w:val="statymoNr"/>
          <w:rFonts w:ascii="Times New Roman" w:hAnsi="Times New Roman"/>
          <w:noProof/>
          <w:sz w:val="22"/>
          <w:szCs w:val="22"/>
          <w:lang w:val="lt-LT"/>
        </w:rPr>
        <w:t>X-1316</w:t>
      </w:r>
      <w:r w:rsidRPr="00CF20B5">
        <w:rPr>
          <w:rStyle w:val="statymoNr"/>
          <w:rFonts w:ascii="Times New Roman" w:hAnsi="Times New Roman"/>
          <w:sz w:val="22"/>
          <w:szCs w:val="22"/>
          <w:lang w:val="lt-LT"/>
        </w:rPr>
        <w:fldChar w:fldCharType="end"/>
      </w:r>
      <w:bookmarkEnd w:id="7"/>
      <w:r w:rsidRPr="00CF20B5">
        <w:rPr>
          <w:rFonts w:ascii="Times New Roman" w:hAnsi="Times New Roman"/>
          <w:sz w:val="22"/>
          <w:szCs w:val="22"/>
          <w:lang w:val="lt-LT"/>
        </w:rPr>
        <w:br/>
        <w:t>Vilnius</w:t>
      </w:r>
    </w:p>
    <w:p w:rsidR="00A249BD" w:rsidRPr="00CF20B5" w:rsidRDefault="00A249BD" w:rsidP="00CF20B5">
      <w:pPr>
        <w:jc w:val="center"/>
        <w:rPr>
          <w:rFonts w:ascii="Times New Roman" w:hAnsi="Times New Roman"/>
          <w:sz w:val="22"/>
          <w:szCs w:val="22"/>
          <w:lang w:val="lt-LT"/>
        </w:rPr>
        <w:sectPr w:rsidR="00A249BD" w:rsidRPr="00CF20B5">
          <w:headerReference w:type="even" r:id="rId9"/>
          <w:headerReference w:type="default" r:id="rId10"/>
          <w:footerReference w:type="even" r:id="rId11"/>
          <w:type w:val="continuous"/>
          <w:pgSz w:w="11907" w:h="16840" w:code="9"/>
          <w:pgMar w:top="1134" w:right="1134" w:bottom="1134" w:left="1701" w:header="709" w:footer="709" w:gutter="227"/>
          <w:cols w:space="1296"/>
          <w:titlePg/>
        </w:sectPr>
      </w:pPr>
    </w:p>
    <w:p w:rsidR="00A249BD" w:rsidRPr="00CF20B5" w:rsidRDefault="00A249BD" w:rsidP="00CF20B5">
      <w:pPr>
        <w:suppressAutoHyphens/>
        <w:ind w:right="-57" w:firstLine="720"/>
        <w:jc w:val="both"/>
        <w:rPr>
          <w:rFonts w:ascii="Times New Roman" w:hAnsi="Times New Roman"/>
          <w:b/>
          <w:spacing w:val="-2"/>
          <w:sz w:val="22"/>
          <w:szCs w:val="22"/>
          <w:lang w:val="lt-LT"/>
        </w:rPr>
      </w:pPr>
      <w:bookmarkStart w:id="8" w:name="straipsnis1"/>
      <w:r w:rsidRPr="00CF20B5">
        <w:rPr>
          <w:rFonts w:ascii="Times New Roman" w:hAnsi="Times New Roman"/>
          <w:b/>
          <w:spacing w:val="-2"/>
          <w:sz w:val="22"/>
          <w:szCs w:val="22"/>
          <w:lang w:val="lt-LT"/>
        </w:rPr>
        <w:t>1 straipsnis. Įstatymo paskirtis</w:t>
      </w:r>
    </w:p>
    <w:bookmarkEnd w:id="8"/>
    <w:p w:rsidR="00A249BD" w:rsidRPr="00CF20B5" w:rsidRDefault="00A249BD" w:rsidP="00CF20B5">
      <w:pPr>
        <w:pStyle w:val="NormalWeb"/>
        <w:spacing w:before="0" w:beforeAutospacing="0" w:after="0" w:afterAutospacing="0"/>
        <w:ind w:right="-57" w:firstLine="720"/>
        <w:jc w:val="both"/>
        <w:rPr>
          <w:color w:val="333333"/>
          <w:sz w:val="22"/>
          <w:szCs w:val="22"/>
        </w:rPr>
      </w:pPr>
      <w:r w:rsidRPr="00CF20B5">
        <w:rPr>
          <w:sz w:val="22"/>
          <w:szCs w:val="22"/>
        </w:rPr>
        <w:t xml:space="preserve">1. </w:t>
      </w:r>
      <w:r w:rsidRPr="00CF20B5">
        <w:rPr>
          <w:spacing w:val="-2"/>
          <w:sz w:val="22"/>
          <w:szCs w:val="22"/>
        </w:rPr>
        <w:t>Įstatymo paskirtis</w:t>
      </w:r>
      <w:r w:rsidRPr="00CF20B5">
        <w:rPr>
          <w:sz w:val="22"/>
          <w:szCs w:val="22"/>
        </w:rPr>
        <w:t xml:space="preserve"> – nustatyti </w:t>
      </w:r>
      <w:r w:rsidRPr="00CF20B5">
        <w:rPr>
          <w:spacing w:val="-2"/>
          <w:sz w:val="22"/>
          <w:szCs w:val="22"/>
        </w:rPr>
        <w:t xml:space="preserve">fiskalinės drausmės taisykles, </w:t>
      </w:r>
      <w:r w:rsidRPr="00CF20B5">
        <w:rPr>
          <w:bCs/>
          <w:spacing w:val="-2"/>
          <w:sz w:val="22"/>
          <w:szCs w:val="22"/>
        </w:rPr>
        <w:t xml:space="preserve">užtikrinančias </w:t>
      </w:r>
      <w:r w:rsidRPr="00CF20B5">
        <w:rPr>
          <w:color w:val="333333"/>
          <w:sz w:val="22"/>
          <w:szCs w:val="22"/>
        </w:rPr>
        <w:t xml:space="preserve">ilgalaikį </w:t>
      </w:r>
      <w:r w:rsidRPr="00CF20B5">
        <w:rPr>
          <w:spacing w:val="-2"/>
          <w:sz w:val="22"/>
          <w:szCs w:val="22"/>
        </w:rPr>
        <w:t>valdžios sektoriaus finansų tvarumą</w:t>
      </w:r>
      <w:r w:rsidRPr="00CF20B5">
        <w:rPr>
          <w:color w:val="333333"/>
          <w:sz w:val="22"/>
          <w:szCs w:val="22"/>
        </w:rPr>
        <w:t xml:space="preserve"> ir stabilią ūkio plėtrą.</w:t>
      </w:r>
    </w:p>
    <w:p w:rsidR="00A249BD" w:rsidRPr="00CF20B5" w:rsidRDefault="00A249BD" w:rsidP="00CF20B5">
      <w:pPr>
        <w:pStyle w:val="NormalWeb"/>
        <w:spacing w:before="0" w:beforeAutospacing="0" w:after="0" w:afterAutospacing="0"/>
        <w:ind w:right="-57" w:firstLine="720"/>
        <w:jc w:val="both"/>
        <w:rPr>
          <w:sz w:val="22"/>
          <w:szCs w:val="22"/>
        </w:rPr>
      </w:pPr>
      <w:r w:rsidRPr="00CF20B5">
        <w:rPr>
          <w:spacing w:val="-2"/>
          <w:sz w:val="22"/>
          <w:szCs w:val="22"/>
        </w:rPr>
        <w:t xml:space="preserve">2. Šiame įstatyme </w:t>
      </w:r>
      <w:r w:rsidRPr="00CF20B5">
        <w:rPr>
          <w:sz w:val="22"/>
          <w:szCs w:val="22"/>
        </w:rPr>
        <w:t xml:space="preserve">nustatomos Lietuvos fiskalinės drausmės taisyklės, skirtos užtikrinti Europos Sąjungos teisės aktų, nurodytų šio įstatymo priede, taikymą. </w:t>
      </w:r>
    </w:p>
    <w:p w:rsidR="00CF20B5" w:rsidRPr="00CF20B5" w:rsidRDefault="00CF20B5" w:rsidP="00CF20B5">
      <w:pPr>
        <w:ind w:right="-57" w:firstLine="709"/>
        <w:jc w:val="both"/>
        <w:rPr>
          <w:rFonts w:ascii="Times New Roman" w:hAnsi="Times New Roman"/>
          <w:b/>
          <w:sz w:val="22"/>
          <w:szCs w:val="22"/>
          <w:lang w:val="lt-LT"/>
        </w:rPr>
      </w:pPr>
    </w:p>
    <w:p w:rsidR="00A249BD" w:rsidRPr="00CF20B5" w:rsidRDefault="00A249BD" w:rsidP="00CF20B5">
      <w:pPr>
        <w:ind w:right="-57" w:firstLine="709"/>
        <w:jc w:val="both"/>
        <w:rPr>
          <w:rFonts w:ascii="Times New Roman" w:hAnsi="Times New Roman"/>
          <w:b/>
          <w:sz w:val="22"/>
          <w:szCs w:val="22"/>
          <w:lang w:val="lt-LT"/>
        </w:rPr>
      </w:pPr>
      <w:bookmarkStart w:id="9" w:name="straipsnis2"/>
      <w:r w:rsidRPr="00CF20B5">
        <w:rPr>
          <w:rFonts w:ascii="Times New Roman" w:hAnsi="Times New Roman"/>
          <w:b/>
          <w:sz w:val="22"/>
          <w:szCs w:val="22"/>
          <w:lang w:val="lt-LT"/>
        </w:rPr>
        <w:t>2 straipsnis. Pagrindinės šio įstatymo sąvokos</w:t>
      </w:r>
    </w:p>
    <w:bookmarkEnd w:id="9"/>
    <w:p w:rsidR="00A249BD" w:rsidRPr="00CF20B5" w:rsidRDefault="00A249BD" w:rsidP="00CF20B5">
      <w:pPr>
        <w:pStyle w:val="BodyText3"/>
        <w:ind w:right="-57" w:firstLine="709"/>
        <w:rPr>
          <w:sz w:val="22"/>
          <w:szCs w:val="22"/>
          <w:lang w:val="lt-LT"/>
        </w:rPr>
      </w:pPr>
      <w:r w:rsidRPr="00CF20B5">
        <w:rPr>
          <w:sz w:val="22"/>
          <w:szCs w:val="22"/>
          <w:lang w:val="lt-LT"/>
        </w:rPr>
        <w:t xml:space="preserve">1. </w:t>
      </w:r>
      <w:r w:rsidRPr="00CF20B5">
        <w:rPr>
          <w:b/>
          <w:bCs/>
          <w:sz w:val="22"/>
          <w:szCs w:val="22"/>
          <w:lang w:val="lt-LT"/>
        </w:rPr>
        <w:t>Fiskalinė drausmė</w:t>
      </w:r>
      <w:r w:rsidRPr="00CF20B5">
        <w:rPr>
          <w:sz w:val="22"/>
          <w:szCs w:val="22"/>
          <w:lang w:val="lt-LT"/>
        </w:rPr>
        <w:t xml:space="preserve"> – visuma teisinių priemonių, kuriomis siekiama užtikrinti, kad prognozuojama valdžios sektoriaus skola, atsižvelgiant į numanomus valdžios sektoriaus įsipareigojimus, įskaitant ir įsipareigojimus, atsirandančius dėl Lietuvos gyventojų demografinių pokyčių, keliasdešimt metų atitiktų finansų tvarumo kriterijus, tai yra valdžios sektoriaus skola neviršytų 60 procentų bendrojo vidaus produkto to meto kainomis.</w:t>
      </w:r>
    </w:p>
    <w:p w:rsidR="00A249BD" w:rsidRPr="00CF20B5" w:rsidRDefault="00A249BD" w:rsidP="00CF20B5">
      <w:pPr>
        <w:pStyle w:val="BodyText3"/>
        <w:ind w:right="-57" w:firstLine="709"/>
        <w:rPr>
          <w:sz w:val="22"/>
          <w:szCs w:val="22"/>
          <w:lang w:val="lt-LT"/>
        </w:rPr>
      </w:pPr>
      <w:r w:rsidRPr="00CF20B5">
        <w:rPr>
          <w:sz w:val="22"/>
          <w:szCs w:val="22"/>
          <w:lang w:val="lt-LT"/>
        </w:rPr>
        <w:t xml:space="preserve">2. </w:t>
      </w:r>
      <w:r w:rsidRPr="00CF20B5">
        <w:rPr>
          <w:b/>
          <w:sz w:val="22"/>
          <w:szCs w:val="22"/>
          <w:lang w:val="lt-LT"/>
        </w:rPr>
        <w:t xml:space="preserve">Metinis prieaugis kartais </w:t>
      </w:r>
      <w:r w:rsidRPr="00CF20B5">
        <w:rPr>
          <w:sz w:val="22"/>
          <w:szCs w:val="22"/>
          <w:lang w:val="lt-LT"/>
        </w:rPr>
        <w:t>– kalendorinių metų arba dvejų kalendorinių metų keturių ketvirčių, einančių iš karto vienas po kito, tam tikro rodiklio padidėjimas kartais, lyginant su prieš tai buvusiais keturiais ketvirčiais, einančiais iš karto vienas po kito. Metinio prieaugio skaičius yra apvalinamas keturių skaičių po kablelio tikslumu.</w:t>
      </w:r>
    </w:p>
    <w:p w:rsidR="00A249BD" w:rsidRPr="00CF20B5" w:rsidRDefault="00A249BD" w:rsidP="00CF20B5">
      <w:pPr>
        <w:pStyle w:val="BodyText3"/>
        <w:ind w:right="-57" w:firstLine="709"/>
        <w:rPr>
          <w:sz w:val="22"/>
          <w:szCs w:val="22"/>
          <w:lang w:val="lt-LT"/>
        </w:rPr>
      </w:pPr>
      <w:r w:rsidRPr="00CF20B5">
        <w:rPr>
          <w:sz w:val="22"/>
          <w:szCs w:val="22"/>
          <w:lang w:val="lt-LT"/>
        </w:rPr>
        <w:t xml:space="preserve">3. </w:t>
      </w:r>
      <w:r w:rsidRPr="00CF20B5">
        <w:rPr>
          <w:b/>
          <w:sz w:val="22"/>
          <w:szCs w:val="22"/>
          <w:lang w:val="lt-LT"/>
        </w:rPr>
        <w:t>Metinis prieaugis procentais</w:t>
      </w:r>
      <w:r w:rsidRPr="00CF20B5">
        <w:rPr>
          <w:sz w:val="22"/>
          <w:szCs w:val="22"/>
          <w:lang w:val="lt-LT"/>
        </w:rPr>
        <w:t xml:space="preserve"> – kalendorinių metų arba dvejų kalendorinių metų keturių ketvirčių, einančių iš karto vienas po kito, tam tikro rodiklio padidėjimas procentais, lyginant su prieš tai buvusiais keturiais ketvirčiais, einančiais iš karto vienas po kito. Metinio prieaugio procentas yra apvalinamas vieno skaičiaus po kablelio tikslumu.</w:t>
      </w:r>
    </w:p>
    <w:p w:rsidR="00A249BD" w:rsidRPr="00CF20B5" w:rsidRDefault="00A249BD" w:rsidP="00CF20B5">
      <w:pPr>
        <w:ind w:right="-57" w:firstLine="709"/>
        <w:jc w:val="both"/>
        <w:rPr>
          <w:rFonts w:ascii="Times New Roman" w:hAnsi="Times New Roman"/>
          <w:sz w:val="22"/>
          <w:szCs w:val="22"/>
          <w:lang w:val="lt-LT"/>
        </w:rPr>
      </w:pPr>
      <w:r w:rsidRPr="00CF20B5">
        <w:rPr>
          <w:rFonts w:ascii="Times New Roman" w:hAnsi="Times New Roman"/>
          <w:sz w:val="22"/>
          <w:szCs w:val="22"/>
          <w:lang w:val="lt-LT"/>
        </w:rPr>
        <w:t xml:space="preserve">4. </w:t>
      </w:r>
      <w:r w:rsidRPr="00CF20B5">
        <w:rPr>
          <w:rFonts w:ascii="Times New Roman" w:hAnsi="Times New Roman"/>
          <w:b/>
          <w:sz w:val="22"/>
          <w:szCs w:val="22"/>
          <w:lang w:val="lt-LT"/>
        </w:rPr>
        <w:t>Perteklinis valdžios sektorius</w:t>
      </w:r>
      <w:r w:rsidRPr="00CF20B5">
        <w:rPr>
          <w:rFonts w:ascii="Times New Roman" w:hAnsi="Times New Roman"/>
          <w:sz w:val="22"/>
          <w:szCs w:val="22"/>
          <w:lang w:val="lt-LT"/>
        </w:rPr>
        <w:t xml:space="preserve"> – valdžios sektorius, kurio kalendorinių metų balanso rodiklis yra perteklius (grynasis skolinimas)</w:t>
      </w:r>
      <w:r w:rsidRPr="00CF20B5">
        <w:rPr>
          <w:rFonts w:ascii="Times New Roman" w:hAnsi="Times New Roman"/>
          <w:spacing w:val="-2"/>
          <w:sz w:val="22"/>
          <w:szCs w:val="22"/>
          <w:lang w:val="lt-LT"/>
        </w:rPr>
        <w:t>.</w:t>
      </w:r>
    </w:p>
    <w:p w:rsidR="00A249BD" w:rsidRPr="00CF20B5" w:rsidRDefault="00A249BD" w:rsidP="00CF20B5">
      <w:pPr>
        <w:ind w:right="-57" w:firstLine="709"/>
        <w:jc w:val="both"/>
        <w:rPr>
          <w:rFonts w:ascii="Times New Roman" w:hAnsi="Times New Roman"/>
          <w:spacing w:val="-2"/>
          <w:sz w:val="22"/>
          <w:szCs w:val="22"/>
          <w:lang w:val="lt-LT"/>
        </w:rPr>
      </w:pPr>
      <w:r w:rsidRPr="00CF20B5">
        <w:rPr>
          <w:rFonts w:ascii="Times New Roman" w:hAnsi="Times New Roman"/>
          <w:sz w:val="22"/>
          <w:szCs w:val="22"/>
          <w:lang w:val="lt-LT"/>
        </w:rPr>
        <w:t xml:space="preserve">5. </w:t>
      </w:r>
      <w:r w:rsidRPr="00CF20B5">
        <w:rPr>
          <w:rFonts w:ascii="Times New Roman" w:hAnsi="Times New Roman"/>
          <w:b/>
          <w:sz w:val="22"/>
          <w:szCs w:val="22"/>
          <w:lang w:val="lt-LT"/>
        </w:rPr>
        <w:t>Subalansuotas valdžios sektorius</w:t>
      </w:r>
      <w:r w:rsidRPr="00CF20B5">
        <w:rPr>
          <w:rFonts w:ascii="Times New Roman" w:hAnsi="Times New Roman"/>
          <w:sz w:val="22"/>
          <w:szCs w:val="22"/>
          <w:lang w:val="lt-LT"/>
        </w:rPr>
        <w:t xml:space="preserve"> – valdžios sektorius, kurio kalendorinių metų balanso rodiklis yra lygus </w:t>
      </w:r>
      <w:r w:rsidRPr="00CF20B5">
        <w:rPr>
          <w:rFonts w:ascii="Times New Roman" w:hAnsi="Times New Roman"/>
          <w:spacing w:val="-2"/>
          <w:sz w:val="22"/>
          <w:szCs w:val="22"/>
          <w:lang w:val="lt-LT"/>
        </w:rPr>
        <w:t>0,0 procento bendrojo vidaus produkto to meto kainomis.</w:t>
      </w:r>
    </w:p>
    <w:p w:rsidR="00A249BD" w:rsidRPr="00CF20B5" w:rsidRDefault="00A249BD" w:rsidP="00CF20B5">
      <w:pPr>
        <w:ind w:right="-57" w:firstLine="709"/>
        <w:jc w:val="both"/>
        <w:rPr>
          <w:rFonts w:ascii="Times New Roman" w:hAnsi="Times New Roman"/>
          <w:sz w:val="22"/>
          <w:szCs w:val="22"/>
          <w:lang w:val="lt-LT"/>
        </w:rPr>
      </w:pPr>
      <w:r w:rsidRPr="00CF20B5">
        <w:rPr>
          <w:rFonts w:ascii="Times New Roman" w:hAnsi="Times New Roman"/>
          <w:sz w:val="22"/>
          <w:szCs w:val="22"/>
          <w:lang w:val="lt-LT"/>
        </w:rPr>
        <w:t xml:space="preserve">6. </w:t>
      </w:r>
      <w:r w:rsidRPr="00CF20B5">
        <w:rPr>
          <w:rFonts w:ascii="Times New Roman" w:hAnsi="Times New Roman"/>
          <w:b/>
          <w:sz w:val="22"/>
          <w:szCs w:val="22"/>
          <w:lang w:val="lt-LT"/>
        </w:rPr>
        <w:t>Valdžios sektoriaus balanso rodiklio pagerėjimas</w:t>
      </w:r>
      <w:r w:rsidRPr="00CF20B5">
        <w:rPr>
          <w:rFonts w:ascii="Times New Roman" w:hAnsi="Times New Roman"/>
          <w:sz w:val="22"/>
          <w:szCs w:val="22"/>
          <w:lang w:val="lt-LT"/>
        </w:rPr>
        <w:t xml:space="preserve"> – kalendorinių metų valdžios sektoriaus balanso rodiklio ir prieš tai buvusių kalendorinių metų valdžios sektoriaus balanso rodiklio teigiamas skirtumas. </w:t>
      </w:r>
    </w:p>
    <w:p w:rsidR="00CF20B5" w:rsidRPr="00CF20B5" w:rsidRDefault="00CF20B5" w:rsidP="00CF20B5">
      <w:pPr>
        <w:ind w:right="-57" w:firstLine="720"/>
        <w:jc w:val="both"/>
        <w:rPr>
          <w:rFonts w:ascii="Times New Roman" w:hAnsi="Times New Roman"/>
          <w:sz w:val="22"/>
          <w:szCs w:val="22"/>
          <w:lang w:val="lt-LT"/>
        </w:rPr>
      </w:pPr>
      <w:r w:rsidRPr="00CF20B5">
        <w:rPr>
          <w:rFonts w:ascii="Times New Roman" w:hAnsi="Times New Roman"/>
          <w:sz w:val="22"/>
          <w:szCs w:val="22"/>
          <w:lang w:val="lt-LT"/>
        </w:rPr>
        <w:t xml:space="preserve">7. </w:t>
      </w:r>
      <w:r w:rsidRPr="00CF20B5">
        <w:rPr>
          <w:rFonts w:ascii="Times New Roman" w:hAnsi="Times New Roman"/>
          <w:b/>
          <w:sz w:val="22"/>
          <w:szCs w:val="22"/>
          <w:lang w:val="lt-LT"/>
        </w:rPr>
        <w:t>Valdžios sektoriaus balanso rodiklis</w:t>
      </w:r>
      <w:r w:rsidRPr="00CF20B5">
        <w:rPr>
          <w:rFonts w:ascii="Times New Roman" w:hAnsi="Times New Roman"/>
          <w:sz w:val="22"/>
          <w:szCs w:val="22"/>
          <w:lang w:val="lt-LT"/>
        </w:rPr>
        <w:t xml:space="preserve"> – valdžios sektoriaus deficitas (grynasis skolinimasis) arba perteklius (grynasis skolinimas) pagal Europos sąskaitų sistemą ESS’95. Šis rodiklis yra skaičiuojamas kaip procentas nuo bendrojo vidaus produkto to meto kainomis ir apvalinamas vieno skaičiaus po kablelio tikslumu. Statistinis valdžios sektoriaus balanso rodiklis yra Lietuvos statistikos departamento arba Europos Sąjungos statistikos agentūros (Eurostato) skelbiamas valdžios sektoriaus deficitas (grynasis skolinimasis) arba perteklius (grynasis skolinimas).</w:t>
      </w:r>
    </w:p>
    <w:p w:rsidR="00A249BD" w:rsidRPr="00CF20B5" w:rsidRDefault="00A249BD" w:rsidP="00CF20B5">
      <w:pPr>
        <w:ind w:firstLine="709"/>
        <w:jc w:val="both"/>
        <w:rPr>
          <w:rFonts w:ascii="Times New Roman" w:hAnsi="Times New Roman"/>
          <w:sz w:val="22"/>
          <w:szCs w:val="22"/>
          <w:lang w:val="lt-LT"/>
        </w:rPr>
      </w:pPr>
      <w:r w:rsidRPr="00CF20B5">
        <w:rPr>
          <w:rFonts w:ascii="Times New Roman" w:hAnsi="Times New Roman"/>
          <w:spacing w:val="-2"/>
          <w:sz w:val="22"/>
          <w:szCs w:val="22"/>
          <w:lang w:val="lt-LT"/>
        </w:rPr>
        <w:t xml:space="preserve">8. </w:t>
      </w:r>
      <w:r w:rsidRPr="00CF20B5">
        <w:rPr>
          <w:rFonts w:ascii="Times New Roman" w:hAnsi="Times New Roman"/>
          <w:b/>
          <w:bCs/>
          <w:spacing w:val="-2"/>
          <w:sz w:val="22"/>
          <w:szCs w:val="22"/>
          <w:lang w:val="lt-LT"/>
        </w:rPr>
        <w:t>Valdžios sektoriaus skola</w:t>
      </w:r>
      <w:r w:rsidRPr="00CF20B5">
        <w:rPr>
          <w:rFonts w:ascii="Times New Roman" w:hAnsi="Times New Roman"/>
          <w:spacing w:val="-2"/>
          <w:sz w:val="22"/>
          <w:szCs w:val="22"/>
          <w:lang w:val="lt-LT"/>
        </w:rPr>
        <w:t xml:space="preserve"> </w:t>
      </w:r>
      <w:r w:rsidRPr="00CF20B5">
        <w:rPr>
          <w:rFonts w:ascii="Times New Roman" w:hAnsi="Times New Roman"/>
          <w:sz w:val="22"/>
          <w:szCs w:val="22"/>
          <w:lang w:val="lt-LT"/>
        </w:rPr>
        <w:t>– suprantama kaip 1993 m. lapkričio 22 d. Tarybos reglame</w:t>
      </w:r>
      <w:r w:rsidRPr="00CF20B5">
        <w:rPr>
          <w:rStyle w:val="Strong"/>
          <w:rFonts w:ascii="Times New Roman" w:hAnsi="Times New Roman"/>
          <w:b w:val="0"/>
          <w:bCs w:val="0"/>
          <w:sz w:val="22"/>
          <w:szCs w:val="22"/>
          <w:lang w:val="lt-LT"/>
        </w:rPr>
        <w:t>nto</w:t>
      </w:r>
      <w:r w:rsidRPr="00CF20B5">
        <w:rPr>
          <w:rFonts w:ascii="Times New Roman" w:hAnsi="Times New Roman"/>
          <w:b/>
          <w:bCs/>
          <w:sz w:val="22"/>
          <w:szCs w:val="22"/>
          <w:lang w:val="lt-LT"/>
        </w:rPr>
        <w:t xml:space="preserve"> </w:t>
      </w:r>
      <w:r w:rsidRPr="00CF20B5">
        <w:rPr>
          <w:rFonts w:ascii="Times New Roman" w:hAnsi="Times New Roman"/>
          <w:sz w:val="22"/>
          <w:szCs w:val="22"/>
          <w:lang w:val="lt-LT"/>
        </w:rPr>
        <w:t>(EB) Nr. 3605/93 dėl Europos bendrijos steigimo sutarties priede pateikto Protokolo dėl perviršinio deficito procedūros taikymo vartojama Vyriausybės skolos sąvoka.</w:t>
      </w:r>
    </w:p>
    <w:p w:rsidR="00A249BD" w:rsidRPr="00CF20B5" w:rsidRDefault="00A249BD" w:rsidP="00CF20B5">
      <w:pPr>
        <w:ind w:right="-57" w:firstLine="709"/>
        <w:jc w:val="both"/>
        <w:rPr>
          <w:rFonts w:ascii="Times New Roman" w:hAnsi="Times New Roman"/>
          <w:sz w:val="22"/>
          <w:szCs w:val="22"/>
          <w:lang w:val="lt-LT"/>
        </w:rPr>
      </w:pPr>
      <w:r w:rsidRPr="00CF20B5">
        <w:rPr>
          <w:rFonts w:ascii="Times New Roman" w:hAnsi="Times New Roman"/>
          <w:sz w:val="22"/>
          <w:szCs w:val="22"/>
          <w:lang w:val="lt-LT"/>
        </w:rPr>
        <w:t xml:space="preserve">9. </w:t>
      </w:r>
      <w:r w:rsidRPr="00CF20B5">
        <w:rPr>
          <w:rFonts w:ascii="Times New Roman" w:hAnsi="Times New Roman"/>
          <w:b/>
          <w:sz w:val="22"/>
          <w:szCs w:val="22"/>
          <w:lang w:val="lt-LT"/>
        </w:rPr>
        <w:t>Vidutinis laikotarpis</w:t>
      </w:r>
      <w:r w:rsidRPr="00CF20B5">
        <w:rPr>
          <w:rFonts w:ascii="Times New Roman" w:hAnsi="Times New Roman"/>
          <w:sz w:val="22"/>
          <w:szCs w:val="22"/>
          <w:lang w:val="lt-LT"/>
        </w:rPr>
        <w:t xml:space="preserve"> – penkerių kalendorinių metų laikotarpis, apimantis einamuosius, prieš tai buvusius kalendorinius metus ir trejus būsimus kalendorinius metus, einančius iš karto vienas po kito. </w:t>
      </w:r>
    </w:p>
    <w:p w:rsidR="00A249BD" w:rsidRPr="00CF20B5" w:rsidRDefault="00A249BD" w:rsidP="00CF20B5">
      <w:pPr>
        <w:ind w:right="-57" w:firstLine="709"/>
        <w:jc w:val="both"/>
        <w:rPr>
          <w:rFonts w:ascii="Times New Roman" w:hAnsi="Times New Roman"/>
          <w:sz w:val="22"/>
          <w:szCs w:val="22"/>
          <w:lang w:val="lt-LT"/>
        </w:rPr>
      </w:pPr>
      <w:r w:rsidRPr="00CF20B5">
        <w:rPr>
          <w:rFonts w:ascii="Times New Roman" w:hAnsi="Times New Roman"/>
          <w:sz w:val="22"/>
          <w:szCs w:val="22"/>
          <w:lang w:val="lt-LT"/>
        </w:rPr>
        <w:t xml:space="preserve">10. </w:t>
      </w:r>
      <w:r w:rsidRPr="00CF20B5">
        <w:rPr>
          <w:rFonts w:ascii="Times New Roman" w:hAnsi="Times New Roman"/>
          <w:b/>
          <w:sz w:val="22"/>
          <w:szCs w:val="22"/>
          <w:lang w:val="lt-LT"/>
        </w:rPr>
        <w:t>Vidutinis metinis prieaugis kartais</w:t>
      </w:r>
      <w:r w:rsidRPr="00CF20B5">
        <w:rPr>
          <w:rFonts w:ascii="Times New Roman" w:hAnsi="Times New Roman"/>
          <w:sz w:val="22"/>
          <w:szCs w:val="22"/>
          <w:lang w:val="lt-LT"/>
        </w:rPr>
        <w:t xml:space="preserve"> – kelių laikotarpių metinių prieaugių kartais geometrinis vidurkis, viršijantis vienetą. Jeigu apskaičiuotas vidutinis metinis prieaugis kartais yra lygus vienetui arba už jį mažesnis, tai taikant šį įstatymą jis laikomas lygus vienetui.</w:t>
      </w:r>
    </w:p>
    <w:p w:rsidR="00A249BD" w:rsidRPr="00CF20B5" w:rsidRDefault="00A249BD" w:rsidP="00CF20B5">
      <w:pPr>
        <w:ind w:right="-57" w:firstLine="709"/>
        <w:jc w:val="both"/>
        <w:rPr>
          <w:rFonts w:ascii="Times New Roman" w:hAnsi="Times New Roman"/>
          <w:sz w:val="22"/>
          <w:szCs w:val="22"/>
          <w:lang w:val="lt-LT"/>
        </w:rPr>
      </w:pPr>
      <w:r w:rsidRPr="00CF20B5">
        <w:rPr>
          <w:rFonts w:ascii="Times New Roman" w:hAnsi="Times New Roman"/>
          <w:sz w:val="22"/>
          <w:szCs w:val="22"/>
          <w:lang w:val="lt-LT"/>
        </w:rPr>
        <w:t xml:space="preserve">11. </w:t>
      </w:r>
      <w:r w:rsidRPr="00CF20B5">
        <w:rPr>
          <w:rFonts w:ascii="Times New Roman" w:hAnsi="Times New Roman"/>
          <w:b/>
          <w:sz w:val="22"/>
          <w:szCs w:val="22"/>
          <w:lang w:val="lt-LT"/>
        </w:rPr>
        <w:t>Vidutinis metinis prieaugis procentais</w:t>
      </w:r>
      <w:r w:rsidRPr="00CF20B5">
        <w:rPr>
          <w:rFonts w:ascii="Times New Roman" w:hAnsi="Times New Roman"/>
          <w:sz w:val="22"/>
          <w:szCs w:val="22"/>
          <w:lang w:val="lt-LT"/>
        </w:rPr>
        <w:t xml:space="preserve"> – vidutinis metinis prieaugis kartais, išreikštas procentais ir suapvalintas vieno skaičiaus po kablelio tikslumu.</w:t>
      </w:r>
    </w:p>
    <w:p w:rsidR="00A249BD" w:rsidRPr="00CF20B5" w:rsidRDefault="00A249BD" w:rsidP="00CF20B5">
      <w:pPr>
        <w:ind w:right="-57" w:firstLine="709"/>
        <w:jc w:val="both"/>
        <w:rPr>
          <w:rFonts w:ascii="Times New Roman" w:hAnsi="Times New Roman"/>
          <w:sz w:val="22"/>
          <w:szCs w:val="22"/>
          <w:lang w:val="lt-LT"/>
        </w:rPr>
      </w:pPr>
      <w:r w:rsidRPr="00CF20B5">
        <w:rPr>
          <w:rFonts w:ascii="Times New Roman" w:hAnsi="Times New Roman"/>
          <w:sz w:val="22"/>
          <w:szCs w:val="22"/>
          <w:lang w:val="lt-LT"/>
        </w:rPr>
        <w:t xml:space="preserve">12. Kitos šiame įstatyme vartojamos sąvokos suprantamos taip, kaip jos vartojamos Lietuvos Respublikos biudžeto sandaros įstatyme ir Lietuvos Respublikos valstybės skolos įstatyme. </w:t>
      </w:r>
    </w:p>
    <w:p w:rsidR="00A249BD" w:rsidRPr="00CF20B5" w:rsidRDefault="00CF20B5" w:rsidP="00CF20B5">
      <w:pPr>
        <w:ind w:right="-57"/>
        <w:jc w:val="both"/>
        <w:rPr>
          <w:rFonts w:ascii="Times New Roman" w:hAnsi="Times New Roman"/>
          <w:i/>
          <w:sz w:val="20"/>
          <w:lang w:val="lt-LT"/>
        </w:rPr>
      </w:pPr>
      <w:r w:rsidRPr="00CF20B5">
        <w:rPr>
          <w:rFonts w:ascii="Times New Roman" w:hAnsi="Times New Roman"/>
          <w:i/>
          <w:sz w:val="20"/>
          <w:lang w:val="lt-LT"/>
        </w:rPr>
        <w:t>Straipsnio pakeitimai;</w:t>
      </w:r>
    </w:p>
    <w:p w:rsidR="00CF20B5" w:rsidRPr="00CF20B5" w:rsidRDefault="00CF20B5" w:rsidP="00CF20B5">
      <w:pPr>
        <w:autoSpaceDE w:val="0"/>
        <w:autoSpaceDN w:val="0"/>
        <w:adjustRightInd w:val="0"/>
        <w:jc w:val="both"/>
        <w:rPr>
          <w:rFonts w:ascii="Times New Roman" w:hAnsi="Times New Roman"/>
          <w:i/>
          <w:sz w:val="20"/>
          <w:lang w:val="lt-LT"/>
        </w:rPr>
      </w:pPr>
      <w:r w:rsidRPr="00CF20B5">
        <w:rPr>
          <w:rFonts w:ascii="Times New Roman" w:hAnsi="Times New Roman"/>
          <w:i/>
          <w:sz w:val="20"/>
          <w:lang w:val="lt-LT"/>
        </w:rPr>
        <w:t xml:space="preserve">Nr. </w:t>
      </w:r>
      <w:hyperlink r:id="rId12" w:history="1">
        <w:r w:rsidRPr="00C05E41">
          <w:rPr>
            <w:rStyle w:val="Hyperlink"/>
            <w:rFonts w:ascii="Times New Roman" w:hAnsi="Times New Roman"/>
            <w:i/>
            <w:sz w:val="20"/>
            <w:lang w:val="lt-LT"/>
          </w:rPr>
          <w:t>XI-1115</w:t>
        </w:r>
      </w:hyperlink>
      <w:r w:rsidRPr="00CF20B5">
        <w:rPr>
          <w:rFonts w:ascii="Times New Roman" w:hAnsi="Times New Roman"/>
          <w:i/>
          <w:sz w:val="20"/>
          <w:lang w:val="lt-LT"/>
        </w:rPr>
        <w:t>, 2010-11-12, Žin., 2010, Nr. 139-7099 (2010-11-27)</w:t>
      </w:r>
    </w:p>
    <w:p w:rsidR="00CF20B5" w:rsidRPr="00CF20B5" w:rsidRDefault="00CF20B5" w:rsidP="00CF20B5">
      <w:pPr>
        <w:ind w:right="-57" w:firstLine="709"/>
        <w:jc w:val="both"/>
        <w:rPr>
          <w:rFonts w:ascii="Times New Roman" w:hAnsi="Times New Roman"/>
          <w:sz w:val="22"/>
          <w:szCs w:val="22"/>
          <w:lang w:val="lt-LT"/>
        </w:rPr>
      </w:pPr>
    </w:p>
    <w:p w:rsidR="00A249BD" w:rsidRPr="00CF20B5" w:rsidRDefault="00A249BD" w:rsidP="00CF20B5">
      <w:pPr>
        <w:suppressAutoHyphens/>
        <w:ind w:right="-57" w:firstLine="720"/>
        <w:jc w:val="both"/>
        <w:rPr>
          <w:rFonts w:ascii="Times New Roman" w:hAnsi="Times New Roman"/>
          <w:b/>
          <w:spacing w:val="-2"/>
          <w:sz w:val="22"/>
          <w:szCs w:val="22"/>
          <w:lang w:val="lt-LT"/>
        </w:rPr>
      </w:pPr>
      <w:bookmarkStart w:id="10" w:name="straipsnis3"/>
      <w:r w:rsidRPr="00CF20B5">
        <w:rPr>
          <w:rFonts w:ascii="Times New Roman" w:hAnsi="Times New Roman"/>
          <w:b/>
          <w:spacing w:val="-2"/>
          <w:sz w:val="22"/>
          <w:szCs w:val="22"/>
          <w:lang w:val="lt-LT"/>
        </w:rPr>
        <w:t xml:space="preserve">3 straipsnis. Fiskalinės drausmės taisyklės </w:t>
      </w:r>
    </w:p>
    <w:bookmarkEnd w:id="10"/>
    <w:p w:rsidR="00A249BD" w:rsidRPr="00CF20B5" w:rsidRDefault="00A249BD" w:rsidP="00CF20B5">
      <w:pPr>
        <w:suppressAutoHyphens/>
        <w:ind w:right="-57" w:firstLine="709"/>
        <w:jc w:val="both"/>
        <w:rPr>
          <w:rFonts w:ascii="Times New Roman" w:hAnsi="Times New Roman"/>
          <w:sz w:val="22"/>
          <w:szCs w:val="22"/>
          <w:lang w:val="lt-LT"/>
        </w:rPr>
      </w:pPr>
      <w:r w:rsidRPr="00CF20B5">
        <w:rPr>
          <w:rFonts w:ascii="Times New Roman" w:hAnsi="Times New Roman"/>
          <w:spacing w:val="-2"/>
          <w:sz w:val="22"/>
          <w:szCs w:val="22"/>
          <w:lang w:val="lt-LT"/>
        </w:rPr>
        <w:t xml:space="preserve">1. Valdžios sektoriaus </w:t>
      </w:r>
      <w:r w:rsidRPr="00CF20B5">
        <w:rPr>
          <w:rFonts w:ascii="Times New Roman" w:hAnsi="Times New Roman"/>
          <w:sz w:val="22"/>
          <w:szCs w:val="22"/>
          <w:lang w:val="lt-LT"/>
        </w:rPr>
        <w:t xml:space="preserve">finansai tvarkomi siekiant, kad vidutiniu laikotarpiu valdžios sektorius būtų perteklinis arba artimas subalansuotam. </w:t>
      </w:r>
    </w:p>
    <w:p w:rsidR="00A249BD" w:rsidRPr="00CF20B5" w:rsidRDefault="00A249BD" w:rsidP="00CF20B5">
      <w:pPr>
        <w:suppressAutoHyphens/>
        <w:ind w:right="-57" w:firstLine="709"/>
        <w:jc w:val="both"/>
        <w:rPr>
          <w:rFonts w:ascii="Times New Roman" w:hAnsi="Times New Roman"/>
          <w:sz w:val="22"/>
          <w:szCs w:val="22"/>
          <w:lang w:val="lt-LT"/>
        </w:rPr>
      </w:pPr>
      <w:r w:rsidRPr="00CF20B5">
        <w:rPr>
          <w:rFonts w:ascii="Times New Roman" w:hAnsi="Times New Roman"/>
          <w:sz w:val="22"/>
          <w:szCs w:val="22"/>
          <w:lang w:val="lt-LT"/>
        </w:rPr>
        <w:t xml:space="preserve">2. Jeigu paskutinių penkerių pasibaigusių kalendorinių metų statistinių valdžios sektoriaus balanso rodiklių, žinomų valstybės biudžeto projekto rengimo arba valstybės biudžeto pakeitimo projekto rengimo metu, aritmetinis vidurkis yra deficitas (grynasis skolinimasis), tai Lietuvos Respublikos atitinkamų metų valstybės biudžeto ir savivaldybių biudžetų finansinių rodiklių patvirtinimo įstatymu tvirtinamų arba keičiamų valstybės biudžeto asignavimų (be Europos Sąjungos finansinės paramos lėšų) metinis prieaugis procentais negali viršyti ½ paskutinių penkerių pasibaigusių biudžetinių metų valstybės biudžeto pajamų (be Europos Sąjungos finansinės paramos lėšų) vidutinio metinio prieaugio procentais. Taikant šios dalies nuostatas, naudojami atitinkamų metų biudžeto vykdymo ataskaitų rinkinio duomenys apie valstybės biudžeto pajamas ir asignavimus. </w:t>
      </w:r>
    </w:p>
    <w:p w:rsidR="00A249BD" w:rsidRPr="00CF20B5" w:rsidRDefault="00A249BD" w:rsidP="00CF20B5">
      <w:pPr>
        <w:suppressAutoHyphens/>
        <w:ind w:right="-57" w:firstLine="709"/>
        <w:jc w:val="both"/>
        <w:rPr>
          <w:rFonts w:ascii="Times New Roman" w:hAnsi="Times New Roman"/>
          <w:spacing w:val="-2"/>
          <w:sz w:val="22"/>
          <w:szCs w:val="22"/>
          <w:lang w:val="lt-LT"/>
        </w:rPr>
      </w:pPr>
      <w:r w:rsidRPr="00CF20B5">
        <w:rPr>
          <w:rFonts w:ascii="Times New Roman" w:hAnsi="Times New Roman"/>
          <w:sz w:val="22"/>
          <w:szCs w:val="22"/>
          <w:lang w:val="lt-LT"/>
        </w:rPr>
        <w:t>3</w:t>
      </w:r>
      <w:r w:rsidRPr="00CF20B5">
        <w:rPr>
          <w:rFonts w:ascii="Times New Roman" w:hAnsi="Times New Roman"/>
          <w:spacing w:val="-2"/>
          <w:sz w:val="22"/>
          <w:szCs w:val="22"/>
          <w:lang w:val="lt-LT"/>
        </w:rPr>
        <w:t xml:space="preserve">. Šio straipsnio 2 dalis netaikoma, jei yra bent viena iš šių sąlygų: </w:t>
      </w:r>
    </w:p>
    <w:p w:rsidR="00CF20B5" w:rsidRPr="00CF20B5" w:rsidRDefault="00CF20B5" w:rsidP="00CF20B5">
      <w:pPr>
        <w:suppressAutoHyphens/>
        <w:ind w:right="-57" w:firstLine="720"/>
        <w:jc w:val="both"/>
        <w:rPr>
          <w:rFonts w:ascii="Times New Roman" w:hAnsi="Times New Roman"/>
          <w:spacing w:val="-2"/>
          <w:sz w:val="22"/>
          <w:szCs w:val="22"/>
          <w:lang w:val="lt-LT"/>
        </w:rPr>
      </w:pPr>
      <w:r w:rsidRPr="00CF20B5">
        <w:rPr>
          <w:rFonts w:ascii="Times New Roman" w:hAnsi="Times New Roman"/>
          <w:spacing w:val="-2"/>
          <w:sz w:val="22"/>
          <w:szCs w:val="22"/>
          <w:lang w:val="lt-LT"/>
        </w:rPr>
        <w:t xml:space="preserve">1) jeigu statistinis Lietuvos bendrojo vidaus produkto to meto kainomis metinis prieaugis procentais vertinant šiame punkte toliau nurodyta tvarka bent vieną kartą yra mažesnis už vidutinį paskutinių penkerių pasibaigusių kalendorinių metų statistinio Europos Sąjungos bendrojo vidaus produkto to meto kainomis metinį prieaugį procentais, padidintą 2 procentiniais punktais. </w:t>
      </w:r>
    </w:p>
    <w:p w:rsidR="00CF20B5" w:rsidRPr="00CF20B5" w:rsidRDefault="00CF20B5" w:rsidP="00CF20B5">
      <w:pPr>
        <w:ind w:firstLine="709"/>
        <w:jc w:val="both"/>
        <w:rPr>
          <w:rFonts w:ascii="Times New Roman" w:hAnsi="Times New Roman"/>
          <w:spacing w:val="-2"/>
          <w:sz w:val="22"/>
          <w:szCs w:val="22"/>
          <w:lang w:val="lt-LT"/>
        </w:rPr>
      </w:pPr>
      <w:r w:rsidRPr="00CF20B5">
        <w:rPr>
          <w:rFonts w:ascii="Times New Roman" w:hAnsi="Times New Roman"/>
          <w:spacing w:val="-2"/>
          <w:sz w:val="22"/>
          <w:szCs w:val="22"/>
          <w:lang w:val="lt-LT"/>
        </w:rPr>
        <w:t>Einamaisiais kalendoriniais metais nuo balandžio 1 dienos iki balandžio 8 dienos ir nuo rugpjūčio 23 dienos iki rugpjūčio 30 dienos Lietuvos Respublikos finansų</w:t>
      </w:r>
      <w:r w:rsidRPr="00CF20B5">
        <w:rPr>
          <w:rFonts w:ascii="Times New Roman" w:hAnsi="Times New Roman"/>
          <w:sz w:val="22"/>
          <w:szCs w:val="22"/>
          <w:lang w:val="lt-LT"/>
        </w:rPr>
        <w:t xml:space="preserve"> ministerija įvertina</w:t>
      </w:r>
      <w:r w:rsidRPr="00CF20B5">
        <w:rPr>
          <w:rFonts w:ascii="Times New Roman" w:hAnsi="Times New Roman"/>
          <w:spacing w:val="-2"/>
          <w:sz w:val="22"/>
          <w:szCs w:val="22"/>
          <w:lang w:val="lt-LT"/>
        </w:rPr>
        <w:t xml:space="preserve"> Lietuvos ūkio statistinį metinį prieaugį, vadovaudamasi skaičiavimų metu žinomais Lietuvos statistikos departamento duomenimis apie paskutinius keturis metų ketvirčius ir prieš juos buvusius keturis metų ketvirčius. Vertinimo rezultatai skelbiami Lietuvos Respublikos finansų ministerijos pranešime. Apskaičiuojant paskutinių penkerių kalendorinių metų statistinio Europos Sąjungos bendrojo vidaus produkto vidutinį metinį prieaugį procentais,</w:t>
      </w:r>
      <w:r w:rsidRPr="00CF20B5">
        <w:rPr>
          <w:rFonts w:ascii="Times New Roman" w:hAnsi="Times New Roman"/>
          <w:sz w:val="22"/>
          <w:szCs w:val="22"/>
          <w:lang w:val="lt-LT"/>
        </w:rPr>
        <w:t xml:space="preserve"> vadovaujamasi skaičiavimų metu žinomais Europos Sąjungos statistikos agentūros (Eurostato) duomenimis apie metinį bendrąjį vidaus produktą eurais to meto kainomis;</w:t>
      </w:r>
    </w:p>
    <w:p w:rsidR="00A249BD" w:rsidRPr="00CF20B5" w:rsidRDefault="00A249BD" w:rsidP="00CF20B5">
      <w:pPr>
        <w:suppressAutoHyphens/>
        <w:ind w:right="-57" w:firstLine="709"/>
        <w:jc w:val="both"/>
        <w:rPr>
          <w:rFonts w:ascii="Times New Roman" w:hAnsi="Times New Roman"/>
          <w:spacing w:val="-2"/>
          <w:sz w:val="22"/>
          <w:szCs w:val="22"/>
          <w:lang w:val="lt-LT"/>
        </w:rPr>
      </w:pPr>
      <w:r w:rsidRPr="00CF20B5">
        <w:rPr>
          <w:rFonts w:ascii="Times New Roman" w:hAnsi="Times New Roman"/>
          <w:spacing w:val="-2"/>
          <w:sz w:val="22"/>
          <w:szCs w:val="22"/>
          <w:lang w:val="lt-LT"/>
        </w:rPr>
        <w:t xml:space="preserve">2) </w:t>
      </w:r>
      <w:r w:rsidRPr="00CF20B5">
        <w:rPr>
          <w:rFonts w:ascii="Times New Roman" w:hAnsi="Times New Roman"/>
          <w:sz w:val="22"/>
          <w:szCs w:val="22"/>
          <w:lang w:val="lt-LT"/>
        </w:rPr>
        <w:t xml:space="preserve">jeigu </w:t>
      </w:r>
      <w:r w:rsidRPr="00CF20B5">
        <w:rPr>
          <w:rFonts w:ascii="Times New Roman" w:hAnsi="Times New Roman"/>
          <w:spacing w:val="-2"/>
          <w:sz w:val="22"/>
          <w:szCs w:val="22"/>
          <w:lang w:val="lt-LT"/>
        </w:rPr>
        <w:t xml:space="preserve">suplanuoti valstybės biudžeto asignavimai ir pajamos užtikrins valdžios sektoriaus balanso rodiklio pagerėjimą, sudarantį ne mažiau kaip 1,0 procentinio punkto bendrojo vidaus produkto to meto kainomis; </w:t>
      </w:r>
    </w:p>
    <w:p w:rsidR="00A249BD" w:rsidRPr="00CF20B5" w:rsidRDefault="00A249BD" w:rsidP="00CF20B5">
      <w:pPr>
        <w:suppressAutoHyphens/>
        <w:ind w:right="-57" w:firstLine="709"/>
        <w:jc w:val="both"/>
        <w:rPr>
          <w:rFonts w:ascii="Times New Roman" w:hAnsi="Times New Roman"/>
          <w:spacing w:val="-2"/>
          <w:sz w:val="22"/>
          <w:szCs w:val="22"/>
          <w:lang w:val="lt-LT"/>
        </w:rPr>
      </w:pPr>
      <w:r w:rsidRPr="00CF20B5">
        <w:rPr>
          <w:rFonts w:ascii="Times New Roman" w:hAnsi="Times New Roman"/>
          <w:spacing w:val="-2"/>
          <w:sz w:val="22"/>
          <w:szCs w:val="22"/>
          <w:lang w:val="lt-LT"/>
        </w:rPr>
        <w:t>3) jeigu paskutinių ketverių pasibaigusių kalendorinių metų statistinių valdžios sektoriaus balanso rodiklių ir Lietuvos Respublikos finansų ministerijos prognozuojamo einamųjų kalendorinių metų valdžios sektoriaus balanso rodiklio aritmetinis vidurkis yra perteklius (grynasis skolinimas), sudarantis ne mažiau kaip 0,1 procento bendrojo vidaus produkto to meto kainomis.</w:t>
      </w:r>
    </w:p>
    <w:p w:rsidR="00A249BD" w:rsidRPr="00CF20B5" w:rsidRDefault="00A249BD" w:rsidP="00CF20B5">
      <w:pPr>
        <w:suppressAutoHyphens/>
        <w:ind w:right="-57" w:firstLine="709"/>
        <w:jc w:val="both"/>
        <w:rPr>
          <w:rFonts w:ascii="Times New Roman" w:hAnsi="Times New Roman"/>
          <w:spacing w:val="-2"/>
          <w:sz w:val="22"/>
          <w:szCs w:val="22"/>
          <w:lang w:val="lt-LT"/>
        </w:rPr>
      </w:pPr>
      <w:r w:rsidRPr="00CF20B5">
        <w:rPr>
          <w:rFonts w:ascii="Times New Roman" w:hAnsi="Times New Roman"/>
          <w:spacing w:val="-2"/>
          <w:sz w:val="22"/>
          <w:szCs w:val="22"/>
          <w:lang w:val="lt-LT"/>
        </w:rPr>
        <w:t>4. Įgyvendinant šio straipsnio 1 ir 2 dalių nuostatas:</w:t>
      </w:r>
    </w:p>
    <w:p w:rsidR="00A249BD" w:rsidRPr="00CF20B5" w:rsidRDefault="00A249BD" w:rsidP="00CF20B5">
      <w:pPr>
        <w:suppressAutoHyphens/>
        <w:ind w:right="-57" w:firstLine="709"/>
        <w:jc w:val="both"/>
        <w:rPr>
          <w:rFonts w:ascii="Times New Roman" w:hAnsi="Times New Roman"/>
          <w:spacing w:val="-2"/>
          <w:sz w:val="22"/>
          <w:szCs w:val="22"/>
          <w:lang w:val="lt-LT"/>
        </w:rPr>
      </w:pPr>
      <w:r w:rsidRPr="00CF20B5">
        <w:rPr>
          <w:rFonts w:ascii="Times New Roman" w:hAnsi="Times New Roman"/>
          <w:spacing w:val="-2"/>
          <w:sz w:val="22"/>
          <w:szCs w:val="22"/>
          <w:lang w:val="lt-LT"/>
        </w:rPr>
        <w:t>1) einamųjų metų valstybės biudžeto viršplaninėmis pajamomis mažinamas patvirtinto valstybės biudžeto deficitas;</w:t>
      </w:r>
    </w:p>
    <w:p w:rsidR="00A249BD" w:rsidRPr="00CF20B5" w:rsidRDefault="00A249BD" w:rsidP="00CF20B5">
      <w:pPr>
        <w:suppressAutoHyphens/>
        <w:ind w:right="-57" w:firstLine="709"/>
        <w:jc w:val="both"/>
        <w:rPr>
          <w:rFonts w:ascii="Times New Roman" w:hAnsi="Times New Roman"/>
          <w:spacing w:val="-2"/>
          <w:sz w:val="22"/>
          <w:szCs w:val="22"/>
          <w:lang w:val="lt-LT"/>
        </w:rPr>
      </w:pPr>
      <w:r w:rsidRPr="00CF20B5">
        <w:rPr>
          <w:rFonts w:ascii="Times New Roman" w:hAnsi="Times New Roman"/>
          <w:spacing w:val="-2"/>
          <w:sz w:val="22"/>
          <w:szCs w:val="22"/>
          <w:lang w:val="lt-LT"/>
        </w:rPr>
        <w:t>2) Lietuvos Respublikos Vyriausybė, teikdama Lietuvos Respublikos Seimui atitinkamų metų valstybės biudžeto ir savivaldybių biudžetų finansinių rodiklių patvirtinimo įstatymo projektą arba jo pakeitimo įstatymo projektą, pateikia išvadas dėl finansinių rodiklių atitikties paskutinėms galiojančioms Europos Sąjungos Ministrų Tarybos rekomendacijoms ir nuomonei dėl Lietuvos vidutinio laikotarpio ekonominės programos ir galimų papildomų priemonių, būtinų visiškai atsižvelgti į Europos Sąjungos Ministrų Tarybos rekomendacijas ir nuomonę. Lietuvos Respublikos Seimas, priimdamas atitinkamų metų valstybės biudžeto ir savivaldybių biudžetų finansinių rodiklių patvirtinimo įstatymą arba jo pakeitimo įstatymą, atsižvelgia į paskutines galiojančias Europos Sąjungos Ministrų Tarybos rekomendacijas ir nuomonę dėl Lietuvos vidutinio laikotarpio ekonominės programos.</w:t>
      </w:r>
    </w:p>
    <w:p w:rsidR="00CF20B5" w:rsidRPr="00CF20B5" w:rsidRDefault="00CF20B5" w:rsidP="00CF20B5">
      <w:pPr>
        <w:ind w:right="-57"/>
        <w:jc w:val="both"/>
        <w:rPr>
          <w:rFonts w:ascii="Times New Roman" w:hAnsi="Times New Roman"/>
          <w:i/>
          <w:sz w:val="20"/>
          <w:lang w:val="lt-LT"/>
        </w:rPr>
      </w:pPr>
      <w:r w:rsidRPr="00CF20B5">
        <w:rPr>
          <w:rFonts w:ascii="Times New Roman" w:hAnsi="Times New Roman"/>
          <w:i/>
          <w:sz w:val="20"/>
          <w:lang w:val="lt-LT"/>
        </w:rPr>
        <w:t>Straipsnio pakeitimai;</w:t>
      </w:r>
    </w:p>
    <w:p w:rsidR="00CF20B5" w:rsidRPr="00CF20B5" w:rsidRDefault="00CF20B5" w:rsidP="00CF20B5">
      <w:pPr>
        <w:autoSpaceDE w:val="0"/>
        <w:autoSpaceDN w:val="0"/>
        <w:adjustRightInd w:val="0"/>
        <w:jc w:val="both"/>
        <w:rPr>
          <w:rFonts w:ascii="Times New Roman" w:hAnsi="Times New Roman"/>
          <w:i/>
          <w:sz w:val="20"/>
          <w:lang w:val="lt-LT"/>
        </w:rPr>
      </w:pPr>
      <w:r w:rsidRPr="00CF20B5">
        <w:rPr>
          <w:rFonts w:ascii="Times New Roman" w:hAnsi="Times New Roman"/>
          <w:i/>
          <w:sz w:val="20"/>
          <w:lang w:val="lt-LT"/>
        </w:rPr>
        <w:t xml:space="preserve">Nr. </w:t>
      </w:r>
      <w:hyperlink r:id="rId13" w:history="1">
        <w:r w:rsidRPr="00C05E41">
          <w:rPr>
            <w:rStyle w:val="Hyperlink"/>
            <w:rFonts w:ascii="Times New Roman" w:hAnsi="Times New Roman"/>
            <w:i/>
            <w:sz w:val="20"/>
            <w:lang w:val="lt-LT"/>
          </w:rPr>
          <w:t>XI-1115</w:t>
        </w:r>
      </w:hyperlink>
      <w:r w:rsidRPr="00CF20B5">
        <w:rPr>
          <w:rFonts w:ascii="Times New Roman" w:hAnsi="Times New Roman"/>
          <w:i/>
          <w:sz w:val="20"/>
          <w:lang w:val="lt-LT"/>
        </w:rPr>
        <w:t>, 2010-11-12, Žin., 2010, Nr. 139-7099 (2010-11-27)</w:t>
      </w:r>
    </w:p>
    <w:p w:rsidR="00A249BD" w:rsidRPr="00CF20B5" w:rsidRDefault="00A249BD" w:rsidP="00CF20B5">
      <w:pPr>
        <w:suppressAutoHyphens/>
        <w:ind w:right="-57" w:firstLine="709"/>
        <w:jc w:val="both"/>
        <w:rPr>
          <w:rFonts w:ascii="Times New Roman" w:hAnsi="Times New Roman"/>
          <w:spacing w:val="-2"/>
          <w:sz w:val="22"/>
          <w:szCs w:val="22"/>
          <w:lang w:val="lt-LT"/>
        </w:rPr>
      </w:pPr>
    </w:p>
    <w:p w:rsidR="00A249BD" w:rsidRPr="00CF20B5" w:rsidRDefault="00A249BD" w:rsidP="00CF20B5">
      <w:pPr>
        <w:pStyle w:val="NormalWeb"/>
        <w:spacing w:before="0" w:beforeAutospacing="0" w:after="0" w:afterAutospacing="0"/>
        <w:ind w:right="-57" w:firstLine="720"/>
        <w:jc w:val="both"/>
        <w:rPr>
          <w:b/>
          <w:color w:val="333333"/>
          <w:sz w:val="22"/>
          <w:szCs w:val="22"/>
        </w:rPr>
      </w:pPr>
      <w:bookmarkStart w:id="11" w:name="straipsnis4"/>
      <w:r w:rsidRPr="00CF20B5">
        <w:rPr>
          <w:b/>
          <w:spacing w:val="-2"/>
          <w:sz w:val="22"/>
          <w:szCs w:val="22"/>
        </w:rPr>
        <w:t xml:space="preserve">4 straipsnis. </w:t>
      </w:r>
      <w:r w:rsidRPr="00CF20B5">
        <w:rPr>
          <w:b/>
          <w:color w:val="333333"/>
          <w:sz w:val="22"/>
          <w:szCs w:val="22"/>
        </w:rPr>
        <w:t>Šio įstatymo įsigaliojimas ir taikymas</w:t>
      </w:r>
    </w:p>
    <w:bookmarkEnd w:id="11"/>
    <w:p w:rsidR="00A249BD" w:rsidRPr="00CF20B5" w:rsidRDefault="00A249BD" w:rsidP="00CF20B5">
      <w:pPr>
        <w:pStyle w:val="NormalWeb"/>
        <w:spacing w:before="0" w:beforeAutospacing="0" w:after="0" w:afterAutospacing="0"/>
        <w:ind w:right="-57" w:firstLine="720"/>
        <w:jc w:val="both"/>
        <w:rPr>
          <w:color w:val="333333"/>
          <w:sz w:val="22"/>
          <w:szCs w:val="22"/>
        </w:rPr>
      </w:pPr>
      <w:r w:rsidRPr="00CF20B5">
        <w:rPr>
          <w:color w:val="333333"/>
          <w:sz w:val="22"/>
          <w:szCs w:val="22"/>
        </w:rPr>
        <w:t xml:space="preserve">1. Šis įstatymas, išskyrus šio straipsnio 2 dalį, įsigalioja nuo 2008 m. sausio 1 d. </w:t>
      </w:r>
    </w:p>
    <w:p w:rsidR="00A249BD" w:rsidRPr="00CF20B5" w:rsidRDefault="00A249BD" w:rsidP="00CF20B5">
      <w:pPr>
        <w:pStyle w:val="NormalWeb"/>
        <w:spacing w:before="0" w:beforeAutospacing="0" w:after="0" w:afterAutospacing="0"/>
        <w:ind w:right="-57" w:firstLine="720"/>
        <w:jc w:val="both"/>
        <w:rPr>
          <w:color w:val="333333"/>
          <w:sz w:val="22"/>
          <w:szCs w:val="22"/>
        </w:rPr>
      </w:pPr>
      <w:r w:rsidRPr="00CF20B5">
        <w:rPr>
          <w:color w:val="333333"/>
          <w:sz w:val="22"/>
          <w:szCs w:val="22"/>
        </w:rPr>
        <w:t>2. 2008 m. valdžios sektoriaus deficitas negali būti didesnis kaip 0,5 procento bendrojo vidaus produkto.</w:t>
      </w:r>
    </w:p>
    <w:p w:rsidR="00A249BD" w:rsidRPr="00CF20B5" w:rsidRDefault="00A249BD" w:rsidP="00CF20B5">
      <w:pPr>
        <w:pStyle w:val="NormalWeb"/>
        <w:spacing w:before="0" w:beforeAutospacing="0" w:after="0" w:afterAutospacing="0"/>
        <w:ind w:right="-57" w:firstLine="720"/>
        <w:jc w:val="both"/>
        <w:rPr>
          <w:color w:val="333333"/>
          <w:sz w:val="22"/>
          <w:szCs w:val="22"/>
        </w:rPr>
      </w:pPr>
    </w:p>
    <w:p w:rsidR="00A249BD" w:rsidRPr="00CF20B5" w:rsidRDefault="00A249BD" w:rsidP="00CF20B5">
      <w:pPr>
        <w:ind w:right="-57" w:firstLine="720"/>
        <w:jc w:val="both"/>
        <w:outlineLvl w:val="0"/>
        <w:rPr>
          <w:rFonts w:ascii="Times New Roman" w:hAnsi="Times New Roman"/>
          <w:i/>
          <w:iCs/>
          <w:sz w:val="22"/>
          <w:szCs w:val="22"/>
          <w:lang w:val="lt-LT"/>
        </w:rPr>
      </w:pPr>
      <w:r w:rsidRPr="00CF20B5">
        <w:rPr>
          <w:rFonts w:ascii="Times New Roman" w:hAnsi="Times New Roman"/>
          <w:i/>
          <w:iCs/>
          <w:sz w:val="22"/>
          <w:szCs w:val="22"/>
          <w:lang w:val="lt-LT"/>
        </w:rPr>
        <w:t>Skelbiu šį Lietuvos Respublikos Seimo priimtą įstatymą.</w:t>
      </w:r>
    </w:p>
    <w:p w:rsidR="00A249BD" w:rsidRPr="00CF20B5" w:rsidRDefault="00A249BD" w:rsidP="00CF20B5">
      <w:pPr>
        <w:ind w:left="-57" w:right="-57" w:firstLine="720"/>
        <w:jc w:val="both"/>
        <w:outlineLvl w:val="0"/>
        <w:rPr>
          <w:rFonts w:ascii="Times New Roman" w:hAnsi="Times New Roman"/>
          <w:i/>
          <w:iCs/>
          <w:sz w:val="22"/>
          <w:szCs w:val="22"/>
          <w:lang w:val="lt-LT"/>
        </w:rPr>
      </w:pPr>
    </w:p>
    <w:p w:rsidR="00A249BD" w:rsidRPr="00CF20B5" w:rsidRDefault="00A249BD" w:rsidP="00CF20B5">
      <w:pPr>
        <w:ind w:left="-57" w:right="-57" w:firstLine="720"/>
        <w:jc w:val="both"/>
        <w:outlineLvl w:val="0"/>
        <w:rPr>
          <w:rFonts w:ascii="Times New Roman" w:hAnsi="Times New Roman"/>
          <w:i/>
          <w:iCs/>
          <w:sz w:val="22"/>
          <w:szCs w:val="22"/>
          <w:lang w:val="lt-LT"/>
        </w:rPr>
      </w:pPr>
    </w:p>
    <w:p w:rsidR="00A249BD" w:rsidRPr="00CF20B5" w:rsidRDefault="00A249BD" w:rsidP="00CF20B5">
      <w:pPr>
        <w:tabs>
          <w:tab w:val="right" w:pos="8730"/>
        </w:tabs>
        <w:spacing w:before="480" w:after="720"/>
        <w:rPr>
          <w:rFonts w:ascii="Times New Roman" w:hAnsi="Times New Roman"/>
          <w:sz w:val="22"/>
          <w:szCs w:val="22"/>
          <w:lang w:val="lt-LT"/>
        </w:rPr>
      </w:pPr>
      <w:r w:rsidRPr="00CF20B5">
        <w:rPr>
          <w:rStyle w:val="Pareigos"/>
          <w:rFonts w:ascii="Times New Roman" w:hAnsi="Times New Roman"/>
          <w:sz w:val="22"/>
          <w:szCs w:val="22"/>
          <w:lang w:val="lt-LT"/>
        </w:rPr>
        <w:fldChar w:fldCharType="begin" w:fldLock="1">
          <w:ffData>
            <w:name w:val="pareigos"/>
            <w:enabled/>
            <w:calcOnExit w:val="0"/>
            <w:textInput>
              <w:default w:val="RESPUBLIKOS PREZIDENTAS"/>
              <w:format w:val="UPPERCASE"/>
            </w:textInput>
          </w:ffData>
        </w:fldChar>
      </w:r>
      <w:bookmarkStart w:id="12" w:name="pareigos"/>
      <w:r w:rsidRPr="00CF20B5">
        <w:rPr>
          <w:rStyle w:val="Pareigos"/>
          <w:rFonts w:ascii="Times New Roman" w:hAnsi="Times New Roman"/>
          <w:sz w:val="22"/>
          <w:szCs w:val="22"/>
          <w:lang w:val="lt-LT"/>
        </w:rPr>
        <w:instrText xml:space="preserve"> FORMTEXT </w:instrText>
      </w:r>
      <w:r w:rsidRPr="00CF20B5">
        <w:rPr>
          <w:rFonts w:ascii="Times New Roman" w:hAnsi="Times New Roman"/>
          <w:caps/>
          <w:sz w:val="22"/>
          <w:szCs w:val="22"/>
          <w:lang w:val="lt-LT"/>
        </w:rPr>
      </w:r>
      <w:r w:rsidRPr="00CF20B5">
        <w:rPr>
          <w:rStyle w:val="Pareigos"/>
          <w:rFonts w:ascii="Times New Roman" w:hAnsi="Times New Roman"/>
          <w:sz w:val="22"/>
          <w:szCs w:val="22"/>
          <w:lang w:val="lt-LT"/>
        </w:rPr>
        <w:fldChar w:fldCharType="separate"/>
      </w:r>
      <w:r w:rsidRPr="00CF20B5">
        <w:rPr>
          <w:rStyle w:val="Pareigos"/>
          <w:rFonts w:ascii="Times New Roman" w:hAnsi="Times New Roman"/>
          <w:noProof/>
          <w:sz w:val="22"/>
          <w:szCs w:val="22"/>
          <w:lang w:val="lt-LT"/>
        </w:rPr>
        <w:t>RESPUBLIKOS PREZIDENTAS</w:t>
      </w:r>
      <w:r w:rsidRPr="00CF20B5">
        <w:rPr>
          <w:rStyle w:val="Pareigos"/>
          <w:rFonts w:ascii="Times New Roman" w:hAnsi="Times New Roman"/>
          <w:sz w:val="22"/>
          <w:szCs w:val="22"/>
          <w:lang w:val="lt-LT"/>
        </w:rPr>
        <w:fldChar w:fldCharType="end"/>
      </w:r>
      <w:bookmarkEnd w:id="12"/>
      <w:r w:rsidRPr="00CF20B5">
        <w:rPr>
          <w:rStyle w:val="Pareigos"/>
          <w:rFonts w:ascii="Times New Roman" w:hAnsi="Times New Roman"/>
          <w:sz w:val="22"/>
          <w:szCs w:val="22"/>
          <w:lang w:val="lt-LT"/>
        </w:rPr>
        <w:tab/>
      </w:r>
      <w:r w:rsidRPr="00CF20B5">
        <w:rPr>
          <w:rFonts w:ascii="Times New Roman" w:hAnsi="Times New Roman"/>
          <w:sz w:val="22"/>
          <w:szCs w:val="22"/>
          <w:lang w:val="lt-LT"/>
        </w:rPr>
        <w:fldChar w:fldCharType="begin" w:fldLock="1">
          <w:ffData>
            <w:name w:val="parasas"/>
            <w:enabled/>
            <w:calcOnExit w:val="0"/>
            <w:textInput>
              <w:default w:val="VALDAS ADAMKUS"/>
              <w:format w:val="UPPERCASE"/>
            </w:textInput>
          </w:ffData>
        </w:fldChar>
      </w:r>
      <w:bookmarkStart w:id="13" w:name="parasas"/>
      <w:r w:rsidRPr="00CF20B5">
        <w:rPr>
          <w:rFonts w:ascii="Times New Roman" w:hAnsi="Times New Roman"/>
          <w:sz w:val="22"/>
          <w:szCs w:val="22"/>
          <w:lang w:val="lt-LT"/>
        </w:rPr>
        <w:instrText xml:space="preserve"> FORMTEXT </w:instrText>
      </w:r>
      <w:r w:rsidRPr="00CF20B5">
        <w:rPr>
          <w:rFonts w:ascii="Times New Roman" w:hAnsi="Times New Roman"/>
          <w:sz w:val="22"/>
          <w:szCs w:val="22"/>
          <w:lang w:val="lt-LT"/>
        </w:rPr>
      </w:r>
      <w:r w:rsidRPr="00CF20B5">
        <w:rPr>
          <w:rFonts w:ascii="Times New Roman" w:hAnsi="Times New Roman"/>
          <w:sz w:val="22"/>
          <w:szCs w:val="22"/>
          <w:lang w:val="lt-LT"/>
        </w:rPr>
        <w:fldChar w:fldCharType="separate"/>
      </w:r>
      <w:r w:rsidRPr="00CF20B5">
        <w:rPr>
          <w:rFonts w:ascii="Times New Roman" w:hAnsi="Times New Roman"/>
          <w:noProof/>
          <w:sz w:val="22"/>
          <w:szCs w:val="22"/>
          <w:lang w:val="lt-LT"/>
        </w:rPr>
        <w:t>VALDAS ADAMKUS</w:t>
      </w:r>
      <w:r w:rsidRPr="00CF20B5">
        <w:rPr>
          <w:rFonts w:ascii="Times New Roman" w:hAnsi="Times New Roman"/>
          <w:sz w:val="22"/>
          <w:szCs w:val="22"/>
          <w:lang w:val="lt-LT"/>
        </w:rPr>
        <w:fldChar w:fldCharType="end"/>
      </w:r>
      <w:bookmarkEnd w:id="13"/>
    </w:p>
    <w:p w:rsidR="00A249BD" w:rsidRPr="00CF20B5" w:rsidRDefault="00A249BD" w:rsidP="00CF20B5">
      <w:pPr>
        <w:ind w:left="-57" w:right="-57"/>
        <w:jc w:val="both"/>
        <w:rPr>
          <w:rFonts w:ascii="Times New Roman" w:hAnsi="Times New Roman"/>
          <w:bCs/>
          <w:sz w:val="22"/>
          <w:szCs w:val="22"/>
          <w:lang w:val="lt-LT"/>
        </w:rPr>
      </w:pPr>
      <w:r w:rsidRPr="00CF20B5">
        <w:rPr>
          <w:rFonts w:ascii="Times New Roman" w:hAnsi="Times New Roman"/>
          <w:b/>
          <w:sz w:val="22"/>
          <w:szCs w:val="22"/>
          <w:lang w:val="lt-LT"/>
        </w:rPr>
        <w:tab/>
      </w:r>
      <w:r w:rsidRPr="00CF20B5">
        <w:rPr>
          <w:rFonts w:ascii="Times New Roman" w:hAnsi="Times New Roman"/>
          <w:b/>
          <w:sz w:val="22"/>
          <w:szCs w:val="22"/>
          <w:lang w:val="lt-LT"/>
        </w:rPr>
        <w:tab/>
      </w:r>
      <w:r w:rsidRPr="00CF20B5">
        <w:rPr>
          <w:rFonts w:ascii="Times New Roman" w:hAnsi="Times New Roman"/>
          <w:b/>
          <w:sz w:val="22"/>
          <w:szCs w:val="22"/>
          <w:lang w:val="lt-LT"/>
        </w:rPr>
        <w:tab/>
      </w:r>
      <w:r w:rsidRPr="00CF20B5">
        <w:rPr>
          <w:rFonts w:ascii="Times New Roman" w:hAnsi="Times New Roman"/>
          <w:b/>
          <w:sz w:val="22"/>
          <w:szCs w:val="22"/>
          <w:lang w:val="lt-LT"/>
        </w:rPr>
        <w:tab/>
      </w:r>
      <w:r w:rsidRPr="00CF20B5">
        <w:rPr>
          <w:rFonts w:ascii="Times New Roman" w:hAnsi="Times New Roman"/>
          <w:b/>
          <w:sz w:val="22"/>
          <w:szCs w:val="22"/>
          <w:lang w:val="lt-LT"/>
        </w:rPr>
        <w:tab/>
      </w:r>
      <w:r w:rsidRPr="00CF20B5">
        <w:rPr>
          <w:rFonts w:ascii="Times New Roman" w:hAnsi="Times New Roman"/>
          <w:b/>
          <w:sz w:val="22"/>
          <w:szCs w:val="22"/>
          <w:lang w:val="lt-LT"/>
        </w:rPr>
        <w:tab/>
        <w:t xml:space="preserve"> </w:t>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t xml:space="preserve">Lietuvos Respublikos </w:t>
      </w:r>
    </w:p>
    <w:p w:rsidR="00A249BD" w:rsidRPr="00CF20B5" w:rsidRDefault="00A249BD" w:rsidP="00CF20B5">
      <w:pPr>
        <w:ind w:right="-57"/>
        <w:jc w:val="both"/>
        <w:rPr>
          <w:rFonts w:ascii="Times New Roman" w:hAnsi="Times New Roman"/>
          <w:bCs/>
          <w:sz w:val="22"/>
          <w:szCs w:val="22"/>
          <w:lang w:val="lt-LT"/>
        </w:rPr>
      </w:pPr>
      <w:r w:rsidRPr="00CF20B5">
        <w:rPr>
          <w:rFonts w:ascii="Times New Roman" w:hAnsi="Times New Roman"/>
          <w:bCs/>
          <w:sz w:val="22"/>
          <w:szCs w:val="22"/>
          <w:lang w:val="lt-LT"/>
        </w:rPr>
        <w:t xml:space="preserve"> </w:t>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t xml:space="preserve">fiskalinės drausmės </w:t>
      </w:r>
    </w:p>
    <w:p w:rsidR="00A249BD" w:rsidRPr="00CF20B5" w:rsidRDefault="00A249BD" w:rsidP="00CF20B5">
      <w:pPr>
        <w:ind w:left="-57" w:right="-57" w:firstLine="57"/>
        <w:jc w:val="both"/>
        <w:rPr>
          <w:rFonts w:ascii="Times New Roman" w:hAnsi="Times New Roman"/>
          <w:b/>
          <w:sz w:val="22"/>
          <w:szCs w:val="22"/>
          <w:lang w:val="lt-LT"/>
        </w:rPr>
      </w:pPr>
      <w:r w:rsidRPr="00CF20B5">
        <w:rPr>
          <w:rFonts w:ascii="Times New Roman" w:hAnsi="Times New Roman"/>
          <w:bCs/>
          <w:sz w:val="22"/>
          <w:szCs w:val="22"/>
          <w:lang w:val="lt-LT"/>
        </w:rPr>
        <w:t xml:space="preserve"> </w:t>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t>įstatymo</w:t>
      </w:r>
    </w:p>
    <w:p w:rsidR="00A249BD" w:rsidRPr="00CF20B5" w:rsidRDefault="00A249BD" w:rsidP="00CF20B5">
      <w:pPr>
        <w:ind w:left="-57" w:right="-57"/>
        <w:jc w:val="both"/>
        <w:rPr>
          <w:rFonts w:ascii="Times New Roman" w:hAnsi="Times New Roman"/>
          <w:bCs/>
          <w:sz w:val="22"/>
          <w:szCs w:val="22"/>
          <w:lang w:val="lt-LT"/>
        </w:rPr>
      </w:pPr>
      <w:bookmarkStart w:id="14" w:name="priedas1"/>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t xml:space="preserve">  </w:t>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r>
      <w:r w:rsidRPr="00CF20B5">
        <w:rPr>
          <w:rFonts w:ascii="Times New Roman" w:hAnsi="Times New Roman"/>
          <w:bCs/>
          <w:sz w:val="22"/>
          <w:szCs w:val="22"/>
          <w:lang w:val="lt-LT"/>
        </w:rPr>
        <w:tab/>
        <w:t>priedas</w:t>
      </w:r>
    </w:p>
    <w:bookmarkEnd w:id="14"/>
    <w:p w:rsidR="00A249BD" w:rsidRPr="00CF20B5" w:rsidRDefault="00A249BD" w:rsidP="00CF20B5">
      <w:pPr>
        <w:ind w:left="-57" w:right="-57"/>
        <w:jc w:val="center"/>
        <w:rPr>
          <w:rFonts w:ascii="Times New Roman" w:hAnsi="Times New Roman"/>
          <w:b/>
          <w:sz w:val="22"/>
          <w:szCs w:val="22"/>
          <w:lang w:val="lt-LT"/>
        </w:rPr>
      </w:pPr>
    </w:p>
    <w:p w:rsidR="00A249BD" w:rsidRPr="00CF20B5" w:rsidRDefault="00A249BD" w:rsidP="00CF20B5">
      <w:pPr>
        <w:ind w:left="-57" w:right="-57"/>
        <w:jc w:val="center"/>
        <w:outlineLvl w:val="0"/>
        <w:rPr>
          <w:rFonts w:ascii="Times New Roman" w:hAnsi="Times New Roman"/>
          <w:b/>
          <w:sz w:val="22"/>
          <w:szCs w:val="22"/>
          <w:lang w:val="lt-LT"/>
        </w:rPr>
      </w:pPr>
      <w:r w:rsidRPr="00CF20B5">
        <w:rPr>
          <w:rFonts w:ascii="Times New Roman" w:hAnsi="Times New Roman"/>
          <w:b/>
          <w:sz w:val="22"/>
          <w:szCs w:val="22"/>
          <w:lang w:val="lt-LT"/>
        </w:rPr>
        <w:t>ĮGYVENDINAMI EUROPOS SĄJUNGOS TEISĖS AKTAI</w:t>
      </w:r>
    </w:p>
    <w:p w:rsidR="00A249BD" w:rsidRPr="00CF20B5" w:rsidRDefault="00A249BD" w:rsidP="00CF20B5">
      <w:pPr>
        <w:ind w:left="-57" w:right="-57"/>
        <w:jc w:val="both"/>
        <w:rPr>
          <w:rFonts w:ascii="Times New Roman" w:hAnsi="Times New Roman"/>
          <w:sz w:val="22"/>
          <w:szCs w:val="22"/>
          <w:lang w:val="lt-LT"/>
        </w:rPr>
      </w:pPr>
    </w:p>
    <w:p w:rsidR="00A249BD" w:rsidRPr="00CF20B5" w:rsidRDefault="00A249BD" w:rsidP="00CF20B5">
      <w:pPr>
        <w:pStyle w:val="BodyTextIndent"/>
        <w:spacing w:line="240" w:lineRule="auto"/>
        <w:rPr>
          <w:sz w:val="22"/>
          <w:szCs w:val="22"/>
        </w:rPr>
      </w:pPr>
      <w:r w:rsidRPr="00CF20B5">
        <w:rPr>
          <w:sz w:val="22"/>
          <w:szCs w:val="22"/>
        </w:rPr>
        <w:t>1. 1997 m. liepos 7 d. Tarybos reglamentas (EB) Nr. 1466/97 dėl biudžeto būklės priežiūros stiprinimo ir ekonominės politikos priežiūros bei koordinavimo (OL 2004 m. specialusis leidimas, 10 skyrius, 1 tomas, p. 84) su paskutiniais pakeitimais, padarytais 2005 m. birželio 27 d. Tarybos reglamentu (EB) Nr. 1055/2005 (OL 2005 L 174, p. 1).</w:t>
      </w:r>
    </w:p>
    <w:p w:rsidR="00A249BD" w:rsidRPr="00CF20B5" w:rsidRDefault="00A249BD" w:rsidP="00CF20B5">
      <w:pPr>
        <w:ind w:right="-57" w:firstLine="709"/>
        <w:jc w:val="both"/>
        <w:rPr>
          <w:rFonts w:ascii="Times New Roman" w:hAnsi="Times New Roman"/>
          <w:sz w:val="22"/>
          <w:szCs w:val="22"/>
          <w:lang w:val="lt-LT"/>
        </w:rPr>
      </w:pPr>
      <w:r w:rsidRPr="00CF20B5">
        <w:rPr>
          <w:rFonts w:ascii="Times New Roman" w:hAnsi="Times New Roman"/>
          <w:sz w:val="22"/>
          <w:szCs w:val="22"/>
          <w:lang w:val="lt-LT"/>
        </w:rPr>
        <w:t>2. 1997 m. liepos 7 d. Tarybos reglamentas (EB) Nr. 1467/97 dėl perviršinio deficito procedūros įgyvendinimo paspartinimo ir paaiškinimo (OL 2004 m. specialusis leidimas, 10 skyrius, 1 tomas, p. 89) su paskutiniais pakeitimais, padarytais 2005 m. birželio 27 d. Tarybos reglamentu (EB) Nr. 1056/2005 (OL 2005 L 174, p. 5).</w:t>
      </w:r>
    </w:p>
    <w:p w:rsidR="00A249BD" w:rsidRPr="00CF20B5" w:rsidRDefault="00A249BD" w:rsidP="00CF20B5">
      <w:pPr>
        <w:ind w:left="-57" w:right="-57"/>
        <w:jc w:val="center"/>
        <w:rPr>
          <w:rFonts w:ascii="Times New Roman" w:hAnsi="Times New Roman"/>
          <w:b/>
          <w:sz w:val="22"/>
          <w:szCs w:val="22"/>
          <w:lang w:val="lt-LT"/>
        </w:rPr>
      </w:pPr>
    </w:p>
    <w:p w:rsidR="00A249BD" w:rsidRPr="00CF20B5" w:rsidRDefault="00CF20B5" w:rsidP="00CF20B5">
      <w:pPr>
        <w:jc w:val="center"/>
        <w:rPr>
          <w:rFonts w:ascii="Times New Roman" w:hAnsi="Times New Roman"/>
          <w:sz w:val="22"/>
          <w:szCs w:val="22"/>
          <w:lang w:val="lt-LT"/>
        </w:rPr>
      </w:pPr>
      <w:r w:rsidRPr="00CF20B5">
        <w:rPr>
          <w:rFonts w:ascii="Times New Roman" w:hAnsi="Times New Roman"/>
          <w:sz w:val="22"/>
          <w:szCs w:val="22"/>
          <w:lang w:val="lt-LT"/>
        </w:rPr>
        <w:t>________________</w:t>
      </w:r>
    </w:p>
    <w:p w:rsidR="00CF20B5" w:rsidRPr="00CF20B5" w:rsidRDefault="00CF20B5" w:rsidP="00CF20B5">
      <w:pPr>
        <w:jc w:val="both"/>
        <w:rPr>
          <w:rFonts w:ascii="Times New Roman" w:hAnsi="Times New Roman"/>
          <w:b/>
          <w:sz w:val="20"/>
          <w:lang w:val="lt-LT"/>
        </w:rPr>
      </w:pPr>
    </w:p>
    <w:p w:rsidR="00CF20B5" w:rsidRPr="00CF20B5" w:rsidRDefault="00CF20B5" w:rsidP="00CF20B5">
      <w:pPr>
        <w:autoSpaceDE w:val="0"/>
        <w:autoSpaceDN w:val="0"/>
        <w:adjustRightInd w:val="0"/>
        <w:jc w:val="both"/>
        <w:rPr>
          <w:rFonts w:ascii="Times New Roman" w:hAnsi="Times New Roman"/>
          <w:b/>
          <w:sz w:val="20"/>
          <w:lang w:val="lt-LT"/>
        </w:rPr>
      </w:pPr>
      <w:r w:rsidRPr="00CF20B5">
        <w:rPr>
          <w:rFonts w:ascii="Times New Roman" w:hAnsi="Times New Roman"/>
          <w:b/>
          <w:sz w:val="20"/>
          <w:lang w:val="lt-LT"/>
        </w:rPr>
        <w:t>Pakeitimai:</w:t>
      </w:r>
    </w:p>
    <w:p w:rsidR="00CF20B5" w:rsidRPr="00CF20B5" w:rsidRDefault="00CF20B5" w:rsidP="00CF20B5">
      <w:pPr>
        <w:autoSpaceDE w:val="0"/>
        <w:autoSpaceDN w:val="0"/>
        <w:adjustRightInd w:val="0"/>
        <w:jc w:val="both"/>
        <w:rPr>
          <w:rFonts w:ascii="Times New Roman" w:hAnsi="Times New Roman"/>
          <w:sz w:val="20"/>
          <w:lang w:val="lt-LT"/>
        </w:rPr>
      </w:pPr>
    </w:p>
    <w:p w:rsidR="00CF20B5" w:rsidRPr="00CF20B5" w:rsidRDefault="00CF20B5" w:rsidP="00CF20B5">
      <w:pPr>
        <w:autoSpaceDE w:val="0"/>
        <w:autoSpaceDN w:val="0"/>
        <w:adjustRightInd w:val="0"/>
        <w:jc w:val="both"/>
        <w:rPr>
          <w:rFonts w:ascii="Times New Roman" w:hAnsi="Times New Roman"/>
          <w:sz w:val="20"/>
          <w:lang w:val="lt-LT"/>
        </w:rPr>
      </w:pPr>
      <w:r w:rsidRPr="00CF20B5">
        <w:rPr>
          <w:rFonts w:ascii="Times New Roman" w:hAnsi="Times New Roman"/>
          <w:sz w:val="20"/>
          <w:lang w:val="lt-LT"/>
        </w:rPr>
        <w:t>1.</w:t>
      </w:r>
    </w:p>
    <w:p w:rsidR="00CF20B5" w:rsidRPr="00CF20B5" w:rsidRDefault="00CF20B5" w:rsidP="00CF20B5">
      <w:pPr>
        <w:autoSpaceDE w:val="0"/>
        <w:autoSpaceDN w:val="0"/>
        <w:adjustRightInd w:val="0"/>
        <w:jc w:val="both"/>
        <w:rPr>
          <w:rFonts w:ascii="Times New Roman" w:hAnsi="Times New Roman"/>
          <w:sz w:val="20"/>
          <w:lang w:val="lt-LT"/>
        </w:rPr>
      </w:pPr>
      <w:r w:rsidRPr="00CF20B5">
        <w:rPr>
          <w:rFonts w:ascii="Times New Roman" w:hAnsi="Times New Roman"/>
          <w:sz w:val="20"/>
          <w:lang w:val="lt-LT"/>
        </w:rPr>
        <w:t>Lietuvos Respublikos Seimas, Įstatymas</w:t>
      </w:r>
    </w:p>
    <w:p w:rsidR="00CF20B5" w:rsidRPr="00CF20B5" w:rsidRDefault="00CF20B5" w:rsidP="00CF20B5">
      <w:pPr>
        <w:autoSpaceDE w:val="0"/>
        <w:autoSpaceDN w:val="0"/>
        <w:adjustRightInd w:val="0"/>
        <w:jc w:val="both"/>
        <w:rPr>
          <w:rFonts w:ascii="Times New Roman" w:hAnsi="Times New Roman"/>
          <w:sz w:val="20"/>
          <w:lang w:val="lt-LT"/>
        </w:rPr>
      </w:pPr>
      <w:r w:rsidRPr="00CF20B5">
        <w:rPr>
          <w:rFonts w:ascii="Times New Roman" w:hAnsi="Times New Roman"/>
          <w:sz w:val="20"/>
          <w:lang w:val="lt-LT"/>
        </w:rPr>
        <w:t xml:space="preserve">Nr. </w:t>
      </w:r>
      <w:hyperlink r:id="rId14" w:history="1">
        <w:r w:rsidRPr="00C05E41">
          <w:rPr>
            <w:rStyle w:val="Hyperlink"/>
            <w:rFonts w:ascii="Times New Roman" w:hAnsi="Times New Roman"/>
            <w:sz w:val="20"/>
            <w:lang w:val="lt-LT"/>
          </w:rPr>
          <w:t>XI-1115</w:t>
        </w:r>
      </w:hyperlink>
      <w:r w:rsidRPr="00CF20B5">
        <w:rPr>
          <w:rFonts w:ascii="Times New Roman" w:hAnsi="Times New Roman"/>
          <w:sz w:val="20"/>
          <w:lang w:val="lt-LT"/>
        </w:rPr>
        <w:t>, 2010-11-12, Žin., 2010, Nr. 139-7099 (2010-11-27)</w:t>
      </w:r>
    </w:p>
    <w:p w:rsidR="00CF20B5" w:rsidRPr="00CF20B5" w:rsidRDefault="00CF20B5" w:rsidP="00CF20B5">
      <w:pPr>
        <w:autoSpaceDE w:val="0"/>
        <w:autoSpaceDN w:val="0"/>
        <w:adjustRightInd w:val="0"/>
        <w:jc w:val="both"/>
        <w:rPr>
          <w:rFonts w:ascii="Times New Roman" w:hAnsi="Times New Roman"/>
          <w:sz w:val="20"/>
          <w:lang w:val="lt-LT"/>
        </w:rPr>
      </w:pPr>
      <w:r w:rsidRPr="00CF20B5">
        <w:rPr>
          <w:rFonts w:ascii="Times New Roman" w:hAnsi="Times New Roman"/>
          <w:sz w:val="20"/>
          <w:lang w:val="lt-LT"/>
        </w:rPr>
        <w:t>FISKALINĖS DRAUSMĖS ĮSTATYMO 2 IR 3 STRAIPSNIŲ PAKEITIMO ĮSTATYMAS</w:t>
      </w:r>
    </w:p>
    <w:p w:rsidR="00CF20B5" w:rsidRPr="00CF20B5" w:rsidRDefault="00CF20B5" w:rsidP="00CF20B5">
      <w:pPr>
        <w:autoSpaceDE w:val="0"/>
        <w:autoSpaceDN w:val="0"/>
        <w:adjustRightInd w:val="0"/>
        <w:jc w:val="both"/>
        <w:rPr>
          <w:rFonts w:ascii="Times New Roman" w:hAnsi="Times New Roman"/>
          <w:sz w:val="20"/>
          <w:lang w:val="lt-LT"/>
        </w:rPr>
      </w:pPr>
    </w:p>
    <w:p w:rsidR="00CF20B5" w:rsidRPr="00CF20B5" w:rsidRDefault="00CF20B5" w:rsidP="00CF20B5">
      <w:pPr>
        <w:autoSpaceDE w:val="0"/>
        <w:autoSpaceDN w:val="0"/>
        <w:adjustRightInd w:val="0"/>
        <w:jc w:val="both"/>
        <w:rPr>
          <w:rFonts w:ascii="Times New Roman" w:hAnsi="Times New Roman"/>
          <w:sz w:val="20"/>
          <w:lang w:val="lt-LT"/>
        </w:rPr>
      </w:pPr>
      <w:r w:rsidRPr="00CF20B5">
        <w:rPr>
          <w:rFonts w:ascii="Times New Roman" w:hAnsi="Times New Roman"/>
          <w:sz w:val="20"/>
          <w:lang w:val="lt-LT"/>
        </w:rPr>
        <w:t>*** Pabaiga ***</w:t>
      </w:r>
    </w:p>
    <w:p w:rsidR="00CF20B5" w:rsidRPr="00CF20B5" w:rsidRDefault="00CF20B5" w:rsidP="00CF20B5">
      <w:pPr>
        <w:autoSpaceDE w:val="0"/>
        <w:autoSpaceDN w:val="0"/>
        <w:adjustRightInd w:val="0"/>
        <w:jc w:val="both"/>
        <w:rPr>
          <w:rFonts w:ascii="Times New Roman" w:hAnsi="Times New Roman"/>
          <w:sz w:val="20"/>
          <w:lang w:val="lt-LT"/>
        </w:rPr>
      </w:pPr>
    </w:p>
    <w:p w:rsidR="00CF20B5" w:rsidRPr="00CF20B5" w:rsidRDefault="00CF20B5" w:rsidP="00CF20B5">
      <w:pPr>
        <w:autoSpaceDE w:val="0"/>
        <w:autoSpaceDN w:val="0"/>
        <w:adjustRightInd w:val="0"/>
        <w:jc w:val="both"/>
        <w:rPr>
          <w:rFonts w:ascii="Times New Roman" w:hAnsi="Times New Roman"/>
          <w:sz w:val="20"/>
          <w:lang w:val="lt-LT"/>
        </w:rPr>
      </w:pPr>
    </w:p>
    <w:p w:rsidR="00CF20B5" w:rsidRPr="00CF20B5" w:rsidRDefault="00CF20B5" w:rsidP="00CF20B5">
      <w:pPr>
        <w:autoSpaceDE w:val="0"/>
        <w:autoSpaceDN w:val="0"/>
        <w:adjustRightInd w:val="0"/>
        <w:jc w:val="both"/>
        <w:rPr>
          <w:rFonts w:ascii="Times New Roman" w:hAnsi="Times New Roman"/>
          <w:sz w:val="20"/>
          <w:lang w:val="lt-LT"/>
        </w:rPr>
      </w:pPr>
      <w:r w:rsidRPr="00CF20B5">
        <w:rPr>
          <w:rFonts w:ascii="Times New Roman" w:hAnsi="Times New Roman"/>
          <w:sz w:val="20"/>
          <w:lang w:val="lt-LT"/>
        </w:rPr>
        <w:t>Redagavo Aušrinė Trapinskienė (2010-11-29)</w:t>
      </w:r>
    </w:p>
    <w:p w:rsidR="00CF20B5" w:rsidRPr="00CF20B5" w:rsidRDefault="00CF20B5" w:rsidP="00CF20B5">
      <w:pPr>
        <w:jc w:val="both"/>
        <w:rPr>
          <w:rFonts w:ascii="Times New Roman" w:hAnsi="Times New Roman"/>
          <w:sz w:val="20"/>
          <w:lang w:val="lt-LT"/>
        </w:rPr>
      </w:pPr>
      <w:r w:rsidRPr="00CF20B5">
        <w:rPr>
          <w:rFonts w:ascii="Times New Roman" w:hAnsi="Times New Roman"/>
          <w:sz w:val="20"/>
          <w:lang w:val="lt-LT"/>
        </w:rPr>
        <w:t xml:space="preserve">                  autrap@lrs.lt</w:t>
      </w:r>
    </w:p>
    <w:p w:rsidR="00CF20B5" w:rsidRPr="00CF20B5" w:rsidRDefault="00CF20B5" w:rsidP="00CF20B5">
      <w:pPr>
        <w:rPr>
          <w:rFonts w:ascii="Times New Roman" w:hAnsi="Times New Roman"/>
          <w:sz w:val="22"/>
          <w:szCs w:val="22"/>
          <w:lang w:val="lt-LT"/>
        </w:rPr>
      </w:pPr>
    </w:p>
    <w:p w:rsidR="00CF20B5" w:rsidRPr="00CF20B5" w:rsidRDefault="00CF20B5" w:rsidP="00CF20B5">
      <w:pPr>
        <w:rPr>
          <w:rFonts w:ascii="Times New Roman" w:hAnsi="Times New Roman"/>
          <w:sz w:val="22"/>
          <w:szCs w:val="22"/>
          <w:lang w:val="lt-LT"/>
        </w:rPr>
      </w:pPr>
    </w:p>
    <w:p w:rsidR="00CF20B5" w:rsidRPr="00CF20B5" w:rsidRDefault="00CF20B5" w:rsidP="00CF20B5">
      <w:pPr>
        <w:rPr>
          <w:rFonts w:ascii="Times New Roman" w:hAnsi="Times New Roman"/>
          <w:sz w:val="22"/>
          <w:szCs w:val="22"/>
          <w:lang w:val="lt-LT"/>
        </w:rPr>
      </w:pPr>
    </w:p>
    <w:p w:rsidR="00CF20B5" w:rsidRPr="00CF20B5" w:rsidRDefault="00CF20B5" w:rsidP="00CF20B5">
      <w:pPr>
        <w:rPr>
          <w:rFonts w:ascii="Times New Roman" w:hAnsi="Times New Roman"/>
          <w:sz w:val="22"/>
          <w:szCs w:val="22"/>
          <w:lang w:val="lt-LT"/>
        </w:rPr>
      </w:pPr>
    </w:p>
    <w:p w:rsidR="00A249BD" w:rsidRPr="00CF20B5" w:rsidRDefault="00A249BD" w:rsidP="00CF20B5">
      <w:pPr>
        <w:tabs>
          <w:tab w:val="right" w:pos="9639"/>
        </w:tabs>
        <w:spacing w:before="360"/>
        <w:rPr>
          <w:rFonts w:ascii="Times New Roman" w:hAnsi="Times New Roman"/>
          <w:sz w:val="22"/>
          <w:szCs w:val="22"/>
          <w:lang w:val="lt-LT"/>
        </w:rPr>
        <w:sectPr w:rsidR="00A249BD" w:rsidRPr="00CF20B5">
          <w:type w:val="continuous"/>
          <w:pgSz w:w="11907" w:h="16840" w:code="9"/>
          <w:pgMar w:top="1440" w:right="1152" w:bottom="1152" w:left="2016" w:header="706" w:footer="706" w:gutter="0"/>
          <w:cols w:space="1296"/>
          <w:formProt w:val="0"/>
          <w:titlePg/>
        </w:sectPr>
      </w:pPr>
    </w:p>
    <w:p w:rsidR="00CF20B5" w:rsidRPr="00405F96" w:rsidRDefault="00CF20B5" w:rsidP="00CF20B5">
      <w:pPr>
        <w:autoSpaceDE w:val="0"/>
        <w:autoSpaceDN w:val="0"/>
        <w:adjustRightInd w:val="0"/>
        <w:rPr>
          <w:rFonts w:ascii="Times New Roman" w:hAnsi="Times New Roman"/>
          <w:lang w:val="lt-LT"/>
        </w:rPr>
      </w:pPr>
    </w:p>
    <w:sectPr w:rsidR="00CF20B5" w:rsidRPr="00405F96" w:rsidSect="00CF20B5">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5" w:rsidRDefault="001158C5">
      <w:r>
        <w:separator/>
      </w:r>
    </w:p>
  </w:endnote>
  <w:endnote w:type="continuationSeparator" w:id="0">
    <w:p w:rsidR="001158C5" w:rsidRDefault="0011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1" w:rsidRDefault="00C05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5E41" w:rsidRDefault="00C05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5" w:rsidRDefault="001158C5">
      <w:r>
        <w:separator/>
      </w:r>
    </w:p>
  </w:footnote>
  <w:footnote w:type="continuationSeparator" w:id="0">
    <w:p w:rsidR="001158C5" w:rsidRDefault="0011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1" w:rsidRDefault="00C05E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5E41" w:rsidRDefault="00C05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1" w:rsidRDefault="00C05E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1BB">
      <w:rPr>
        <w:rStyle w:val="PageNumber"/>
        <w:noProof/>
      </w:rPr>
      <w:t>3</w:t>
    </w:r>
    <w:r>
      <w:rPr>
        <w:rStyle w:val="PageNumber"/>
      </w:rPr>
      <w:fldChar w:fldCharType="end"/>
    </w:r>
  </w:p>
  <w:p w:rsidR="00C05E41" w:rsidRDefault="00C05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11F8"/>
    <w:multiLevelType w:val="hybridMultilevel"/>
    <w:tmpl w:val="17A8D20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BD"/>
    <w:rsid w:val="001158C5"/>
    <w:rsid w:val="00405F96"/>
    <w:rsid w:val="005C1331"/>
    <w:rsid w:val="00605994"/>
    <w:rsid w:val="00A249BD"/>
    <w:rsid w:val="00AB71BB"/>
    <w:rsid w:val="00C05E41"/>
    <w:rsid w:val="00C24E6F"/>
    <w:rsid w:val="00CF20B5"/>
    <w:rsid w:val="00E0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ind w:left="-57" w:right="-57"/>
      <w:jc w:val="center"/>
      <w:outlineLvl w:val="0"/>
    </w:pPr>
    <w:rPr>
      <w:rFonts w:ascii="Times New Roman" w:hAnsi="Times New Roman"/>
      <w:b/>
      <w:cap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szCs w:val="24"/>
      <w:lang w:val="lt-LT" w:eastAsia="lt-LT"/>
    </w:rPr>
  </w:style>
  <w:style w:type="paragraph" w:customStyle="1" w:styleId="Komentarotema">
    <w:name w:val="Komentaro tema"/>
    <w:basedOn w:val="CommentText"/>
    <w:next w:val="CommentText"/>
    <w:semiHidden/>
    <w:rPr>
      <w:b/>
      <w:bCs/>
      <w:lang w:val="lt-LT"/>
    </w:rPr>
  </w:style>
  <w:style w:type="paragraph" w:styleId="BodyText3">
    <w:name w:val="Body Text 3"/>
    <w:basedOn w:val="Normal"/>
    <w:pPr>
      <w:jc w:val="both"/>
    </w:pPr>
    <w:rPr>
      <w:rFonts w:ascii="Times New Roman" w:hAnsi="Times New Roman"/>
      <w:sz w:val="20"/>
      <w:lang w:val="en-GB"/>
    </w:rPr>
  </w:style>
  <w:style w:type="character" w:styleId="Strong">
    <w:name w:val="Strong"/>
    <w:basedOn w:val="DefaultParagraphFont"/>
    <w:qFormat/>
    <w:rPr>
      <w:b/>
      <w:bCs/>
    </w:rPr>
  </w:style>
  <w:style w:type="paragraph" w:styleId="CommentText">
    <w:name w:val="annotation text"/>
    <w:basedOn w:val="Normal"/>
    <w:semiHidden/>
    <w:rPr>
      <w:sz w:val="20"/>
    </w:rPr>
  </w:style>
  <w:style w:type="paragraph" w:styleId="BodyTextIndent">
    <w:name w:val="Body Text Indent"/>
    <w:basedOn w:val="Normal"/>
    <w:pPr>
      <w:spacing w:line="360" w:lineRule="auto"/>
      <w:ind w:right="-57" w:firstLine="709"/>
      <w:jc w:val="both"/>
    </w:pPr>
    <w:rPr>
      <w:rFonts w:ascii="Times New Roman" w:hAnsi="Times New Roman"/>
      <w:szCs w:val="24"/>
      <w:lang w:val="lt-LT"/>
    </w:rPr>
  </w:style>
  <w:style w:type="character" w:styleId="Hyperlink">
    <w:name w:val="Hyperlink"/>
    <w:basedOn w:val="DefaultParagraphFont"/>
    <w:rsid w:val="00CF20B5"/>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ind w:left="-57" w:right="-57"/>
      <w:jc w:val="center"/>
      <w:outlineLvl w:val="0"/>
    </w:pPr>
    <w:rPr>
      <w:rFonts w:ascii="Times New Roman" w:hAnsi="Times New Roman"/>
      <w:b/>
      <w:cap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szCs w:val="24"/>
      <w:lang w:val="lt-LT" w:eastAsia="lt-LT"/>
    </w:rPr>
  </w:style>
  <w:style w:type="paragraph" w:customStyle="1" w:styleId="Komentarotema">
    <w:name w:val="Komentaro tema"/>
    <w:basedOn w:val="CommentText"/>
    <w:next w:val="CommentText"/>
    <w:semiHidden/>
    <w:rPr>
      <w:b/>
      <w:bCs/>
      <w:lang w:val="lt-LT"/>
    </w:rPr>
  </w:style>
  <w:style w:type="paragraph" w:styleId="BodyText3">
    <w:name w:val="Body Text 3"/>
    <w:basedOn w:val="Normal"/>
    <w:pPr>
      <w:jc w:val="both"/>
    </w:pPr>
    <w:rPr>
      <w:rFonts w:ascii="Times New Roman" w:hAnsi="Times New Roman"/>
      <w:sz w:val="20"/>
      <w:lang w:val="en-GB"/>
    </w:rPr>
  </w:style>
  <w:style w:type="character" w:styleId="Strong">
    <w:name w:val="Strong"/>
    <w:basedOn w:val="DefaultParagraphFont"/>
    <w:qFormat/>
    <w:rPr>
      <w:b/>
      <w:bCs/>
    </w:rPr>
  </w:style>
  <w:style w:type="paragraph" w:styleId="CommentText">
    <w:name w:val="annotation text"/>
    <w:basedOn w:val="Normal"/>
    <w:semiHidden/>
    <w:rPr>
      <w:sz w:val="20"/>
    </w:rPr>
  </w:style>
  <w:style w:type="paragraph" w:styleId="BodyTextIndent">
    <w:name w:val="Body Text Indent"/>
    <w:basedOn w:val="Normal"/>
    <w:pPr>
      <w:spacing w:line="360" w:lineRule="auto"/>
      <w:ind w:right="-57" w:firstLine="709"/>
      <w:jc w:val="both"/>
    </w:pPr>
    <w:rPr>
      <w:rFonts w:ascii="Times New Roman" w:hAnsi="Times New Roman"/>
      <w:szCs w:val="24"/>
      <w:lang w:val="lt-LT"/>
    </w:rPr>
  </w:style>
  <w:style w:type="character" w:styleId="Hyperlink">
    <w:name w:val="Hyperlink"/>
    <w:basedOn w:val="DefaultParagraphFont"/>
    <w:rsid w:val="00CF20B5"/>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8935" TargetMode="External"/><Relationship Id="rId13" Type="http://schemas.openxmlformats.org/officeDocument/2006/relationships/hyperlink" Target="http://www3.lrs.lt/cgi-bin/preps2?a=386455&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386455&amp;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rs.lt/cgi-bin/preps2?a=38645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1286</Words>
  <Characters>8456</Characters>
  <Application>Microsoft Office Word</Application>
  <DocSecurity>4</DocSecurity>
  <Lines>352</Lines>
  <Paragraphs>145</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9597</CharactersWithSpaces>
  <SharedDoc>false</SharedDoc>
  <HLinks>
    <vt:vector size="24" baseType="variant">
      <vt:variant>
        <vt:i4>1310810</vt:i4>
      </vt:variant>
      <vt:variant>
        <vt:i4>33</vt:i4>
      </vt:variant>
      <vt:variant>
        <vt:i4>0</vt:i4>
      </vt:variant>
      <vt:variant>
        <vt:i4>5</vt:i4>
      </vt:variant>
      <vt:variant>
        <vt:lpwstr>http://www3.lrs.lt/cgi-bin/preps2?a=386455&amp;b=</vt:lpwstr>
      </vt:variant>
      <vt:variant>
        <vt:lpwstr/>
      </vt:variant>
      <vt:variant>
        <vt:i4>1310810</vt:i4>
      </vt:variant>
      <vt:variant>
        <vt:i4>24</vt:i4>
      </vt:variant>
      <vt:variant>
        <vt:i4>0</vt:i4>
      </vt:variant>
      <vt:variant>
        <vt:i4>5</vt:i4>
      </vt:variant>
      <vt:variant>
        <vt:lpwstr>http://www3.lrs.lt/cgi-bin/preps2?a=386455&amp;b=</vt:lpwstr>
      </vt:variant>
      <vt:variant>
        <vt:lpwstr/>
      </vt:variant>
      <vt:variant>
        <vt:i4>1310810</vt:i4>
      </vt:variant>
      <vt:variant>
        <vt:i4>21</vt:i4>
      </vt:variant>
      <vt:variant>
        <vt:i4>0</vt:i4>
      </vt:variant>
      <vt:variant>
        <vt:i4>5</vt:i4>
      </vt:variant>
      <vt:variant>
        <vt:lpwstr>http://www3.lrs.lt/cgi-bin/preps2?a=386455&amp;b=</vt:lpwstr>
      </vt:variant>
      <vt:variant>
        <vt:lpwstr/>
      </vt:variant>
      <vt:variant>
        <vt:i4>1835080</vt:i4>
      </vt:variant>
      <vt:variant>
        <vt:i4>0</vt:i4>
      </vt:variant>
      <vt:variant>
        <vt:i4>0</vt:i4>
      </vt:variant>
      <vt:variant>
        <vt:i4>5</vt:i4>
      </vt:variant>
      <vt:variant>
        <vt:lpwstr>http://www3.lrs.lt/pls/inter/dokpaieska.showdoc_l?p_id=308935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2007-11-08T11:23:00Z</cp:lastPrinted>
  <dcterms:created xsi:type="dcterms:W3CDTF">2015-06-05T14:46:00Z</dcterms:created>
  <dcterms:modified xsi:type="dcterms:W3CDTF">2015-06-05T14:46:00Z</dcterms:modified>
</cp:coreProperties>
</file>