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42e33ba7e924a9b81002729e63fdbca"/>
        <w:lock w:val="sdtLocked"/>
        <w:richText/>
      </w:sdtPr>
      <w:sdtContent>
        <w:p>
          <w:pPr>
            <w:rPr>
              <w:rFonts w:ascii="Times New Roman" w:hAnsi="Times New Roman"/>
              <w:b/>
              <w:i/>
            </w:rPr>
          </w:pPr>
          <w:r>
            <w:rPr>
              <w:rFonts w:ascii="Times New Roman" w:hAnsi="Times New Roman"/>
              <w:b/>
              <w:i/>
            </w:rPr>
            <w:t>Įstatymas netenka galios 2022-01-01:</w:t>
          </w:r>
        </w:p>
        <w:p>
          <w:pPr>
            <w:jc w:val="both"/>
            <w:rPr>
              <w:rFonts w:ascii="Times New Roman" w:hAnsi="Times New Roman"/>
              <w:i/>
            </w:rPr>
          </w:pPr>
          <w:r>
            <w:rPr>
              <w:rFonts w:ascii="Times New Roman" w:hAnsi="Times New Roman"/>
              <w:sz w:val="20"/>
              <w:i/>
            </w:rPr>
            <w:t>
                    Lietuvos Respublikos Seimas, Įstatymas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65571150540411ec862fdcbc8b3e3e05">
            <w:r w:rsidRPr="00532B9F">
              <w:rPr>
                <w:rFonts w:ascii="Times New Roman" w:eastAsia="MS Mincho" w:hAnsi="Times New Roman"/>
                <w:sz w:val="20"/>
                <w:i/>
                <w:iCs/>
                <w:color w:val="0000FF" w:themeColor="hyperlink"/>
                <w:u w:val="single"/>
              </w:rPr>
              <w:t>XIV-696</w:t>
            </w:r>
          </w:fldSimple>
          <w:r>
            <w:rPr>
              <w:rFonts w:ascii="Times New Roman" w:eastAsia="MS Mincho" w:hAnsi="Times New Roman"/>
              <w:sz w:val="20"/>
              <w:iCs/>
              <w:i/>
            </w:rPr>
            <w:t>,
2021-11-23,
paskelbta TAR 2021-12-03, i. k. 2021-25123                </w:t>
          </w:r>
        </w:p>
        <w:p>
          <w:pPr>
            <w:jc w:val="both"/>
            <w:rPr>
              <w:rFonts w:ascii="Times New Roman" w:hAnsi="Times New Roman"/>
              <w:i/>
            </w:rPr>
          </w:pPr>
          <w:r>
            <w:rPr>
              <w:rFonts w:ascii="Times New Roman" w:hAnsi="Times New Roman"/>
              <w:sz w:val="20"/>
              <w:i/>
            </w:rPr>
            <w:t>Lietuvos Respublikos kultūros rėmimo fondo įstatymo Nr. X-1260 pripažinimo netekusiu galios įstatymas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2020-11-04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8F098889C62F">
            <w:r w:rsidRPr="00532B9F">
              <w:rPr>
                <w:rFonts w:ascii="Times New Roman" w:eastAsia="MS Mincho" w:hAnsi="Times New Roman"/>
                <w:sz w:val="20"/>
                <w:i/>
                <w:iCs/>
                <w:color w:val="0000FF" w:themeColor="hyperlink"/>
                <w:u w:val="single"/>
              </w:rPr>
              <w:t>81-3320</w:t>
            </w:r>
          </w:fldSimple>
          <w:r>
            <w:rPr>
              <w:rFonts w:ascii="Times New Roman" w:eastAsia="MS Mincho" w:hAnsi="Times New Roman"/>
              <w:sz w:val="20"/>
              <w:i/>
              <w:iCs/>
            </w:rPr>
            <w:t>, i. k. 1071010ISTA00X-1260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2013-01-01:</w:t>
          </w:r>
        </w:p>
        <w:p>
          <w:pPr>
            <w:rPr>
              <w:rFonts w:ascii="Times New Roman" w:hAnsi="Times New Roman"/>
              <w:sz w:val="20"/>
              <w:i/>
            </w:rPr>
          </w:pPr>
          <w:r>
            <w:rPr>
              <w:rFonts w:ascii="Times New Roman" w:hAnsi="Times New Roman"/>
              <w:sz w:val="20"/>
              <w:i/>
            </w:rPr>
            <w:t xml:space="preserve">Nr. </w:t>
          </w:r>
          <w:fldSimple w:instr="HYPERLINK https://www.e-tar.lt/portal/legalAct.html?documentId=TAR.CD9EAF2499D8">
            <w:r w:rsidRPr="00532B9F">
              <w:rPr>
                <w:rFonts w:ascii="Times New Roman" w:eastAsia="MS Mincho" w:hAnsi="Times New Roman"/>
                <w:sz w:val="20"/>
                <w:i/>
                <w:iCs/>
                <w:color w:val="0000FF" w:themeColor="hyperlink"/>
                <w:u w:val="single"/>
              </w:rPr>
              <w:t>XI-2219</w:t>
            </w:r>
          </w:fldSimple>
          <w:r>
            <w:rPr>
              <w:rFonts w:ascii="Times New Roman" w:eastAsia="MS Mincho" w:hAnsi="Times New Roman"/>
              <w:sz w:val="20"/>
              <w:i/>
              <w:iCs/>
            </w:rPr>
            <w:t>,
2012-09-18,
Žin. 2012,
Nr.
111-5632 (2012-09-26), i. k. 1121010ISTA0XI-2219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KULTŪROS RĖMIMO FONDO</w:t>
          </w:r>
        </w:p>
        <w:p>
          <w:pPr>
            <w:keepLines/>
            <w:widowControl w:val="0"/>
            <w:suppressAutoHyphens/>
            <w:jc w:val="center"/>
            <w:rPr>
              <w:b/>
              <w:bCs/>
              <w:caps/>
              <w:color w:val="000000"/>
              <w:spacing w:val="60"/>
            </w:rPr>
          </w:pPr>
          <w:r>
            <w:rPr>
              <w:b/>
              <w:bCs/>
              <w:caps/>
              <w:color w:val="000000"/>
              <w:spacing w:val="60"/>
            </w:rPr>
            <w:t>ĮSTATYMAS</w:t>
          </w:r>
        </w:p>
        <w:p>
          <w:pPr>
            <w:keepLines/>
            <w:widowControl w:val="0"/>
            <w:suppressAutoHyphens/>
            <w:jc w:val="center"/>
            <w:rPr>
              <w:b/>
              <w:bCs/>
              <w:caps/>
              <w:color w:val="000000"/>
              <w:spacing w:val="60"/>
            </w:rPr>
          </w:pPr>
        </w:p>
        <w:p>
          <w:pPr>
            <w:keepLines/>
            <w:widowControl w:val="0"/>
            <w:suppressAutoHyphens/>
            <w:jc w:val="center"/>
            <w:rPr>
              <w:color w:val="000000"/>
            </w:rPr>
          </w:pPr>
          <w:r>
            <w:rPr>
              <w:color w:val="000000"/>
            </w:rPr>
            <w:t>2007 m. liepos 4 d. Nr. X-1260</w:t>
          </w:r>
        </w:p>
        <w:p>
          <w:pPr>
            <w:keepLines/>
            <w:widowControl w:val="0"/>
            <w:suppressAutoHyphens/>
            <w:jc w:val="center"/>
            <w:rPr>
              <w:color w:val="000000"/>
            </w:rPr>
          </w:pPr>
          <w:r>
            <w:rPr>
              <w:color w:val="000000"/>
            </w:rPr>
            <w:t>Vilnius</w:t>
          </w:r>
        </w:p>
        <w:p>
          <w:pPr>
            <w:ind w:firstLine="567"/>
            <w:jc w:val="both"/>
          </w:pPr>
        </w:p>
        <w:p>
          <w:pPr>
            <w:ind w:firstLine="567"/>
            <w:jc w:val="both"/>
          </w:pPr>
        </w:p>
        <w:sdt>
          <w:sdtPr>
            <w:alias w:val="1 str."/>
            <w:tag w:val="part_bffe001ad8a54d4da0ea0edb55109cf9"/>
            <w:lock w:val="sdtLocked"/>
            <w:richText/>
          </w:sdtPr>
          <w:sdtContent>
            <w:p>
              <w:pPr>
                <w:ind w:firstLine="567"/>
                <w:jc w:val="both"/>
                <w:rPr>
                  <w:b/>
                  <w:lang w:eastAsia="lt-LT"/>
                </w:rPr>
              </w:pPr>
              <w:sdt>
                <w:sdtPr>
                  <w:alias w:val="Numeris"/>
                  <w:tag w:val="nr_bffe001ad8a54d4da0ea0edb55109cf9"/>
                  <w:lock w:val="sdtLocked"/>
                  <w:richText/>
                </w:sdtPr>
                <w:sdtContent>
                  <w:r>
                    <w:rPr>
                      <w:b/>
                      <w:lang w:eastAsia="lt-LT"/>
                    </w:rPr>
                    <w:t>1</w:t>
                  </w:r>
                </w:sdtContent>
              </w:sdt>
              <w:r>
                <w:rPr>
                  <w:b/>
                  <w:lang w:eastAsia="lt-LT"/>
                </w:rPr>
                <w:t xml:space="preserve"> straipsnis. </w:t>
              </w:r>
              <w:sdt>
                <w:sdtPr>
                  <w:alias w:val="Pavadinimas"/>
                  <w:tag w:val="title_bffe001ad8a54d4da0ea0edb55109cf9"/>
                  <w:lock w:val="sdtLocked"/>
                  <w:richText/>
                </w:sdtPr>
                <w:sdtContent>
                  <w:r>
                    <w:rPr>
                      <w:b/>
                      <w:lang w:eastAsia="lt-LT"/>
                    </w:rPr>
                    <w:t xml:space="preserve">Įstatymo paskirtis </w:t>
                  </w:r>
                </w:sdtContent>
              </w:sdt>
            </w:p>
            <w:sdt>
              <w:sdtPr>
                <w:alias w:val="1 str. 1 d."/>
                <w:tag w:val="part_979800d8060446f7b938151aa300aa18"/>
                <w:lock w:val="sdtLocked"/>
                <w:richText/>
              </w:sdtPr>
              <w:sdtContent>
                <w:p>
                  <w:pPr>
                    <w:ind w:firstLine="567"/>
                    <w:jc w:val="both"/>
                  </w:pPr>
                  <w:r>
                    <w:rPr>
                      <w:szCs w:val="24"/>
                    </w:rPr>
                    <w:t xml:space="preserve">Šis įstatymas reglamentuoja Kultūros rėmimo fondo (toliau – Fondas), kurio lėšos skiriamos kultūrai ir menui remti, </w:t>
                  </w:r>
                  <w:r>
                    <w:rPr>
                      <w:bCs/>
                      <w:szCs w:val="24"/>
                    </w:rPr>
                    <w:t xml:space="preserve">statusą, </w:t>
                  </w:r>
                  <w:r>
                    <w:rPr>
                      <w:szCs w:val="24"/>
                    </w:rPr>
                    <w:t>lėšų šaltinius</w:t>
                  </w:r>
                  <w:r>
                    <w:rPr>
                      <w:bCs/>
                      <w:szCs w:val="24"/>
                    </w:rPr>
                    <w:t>,</w:t>
                  </w:r>
                  <w:r>
                    <w:rPr>
                      <w:szCs w:val="24"/>
                    </w:rPr>
                    <w:t xml:space="preserve"> lėšų </w:t>
                  </w:r>
                  <w:r>
                    <w:rPr>
                      <w:bCs/>
                      <w:szCs w:val="24"/>
                    </w:rPr>
                    <w:t>naudojimo pagrindus, Fondo veiklos garantijas ir Fondo likvidavimą</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3f46084d911e8ae2bfd1913d66d57">
                <w:r w:rsidRPr="00532B9F">
                  <w:rPr>
                    <w:rFonts w:ascii="Times New Roman" w:eastAsia="MS Mincho" w:hAnsi="Times New Roman"/>
                    <w:sz w:val="20"/>
                    <w:i/>
                    <w:iCs/>
                    <w:color w:val="0000FF" w:themeColor="hyperlink"/>
                    <w:u w:val="single"/>
                  </w:rPr>
                  <w:t>XIII-1458</w:t>
                </w:r>
              </w:fldSimple>
              <w:r>
                <w:rPr>
                  <w:rFonts w:ascii="Times New Roman" w:eastAsia="MS Mincho" w:hAnsi="Times New Roman"/>
                  <w:sz w:val="20"/>
                  <w:i/>
                  <w:iCs/>
                </w:rPr>
                <w:t>,
2018-06-30,
paskelbta TAR 2018-07-11, i. k. 2018-11771            </w:t>
              </w:r>
            </w:p>
            <w:p/>
          </w:sdtContent>
        </w:sdt>
        <w:sdt>
          <w:sdtPr>
            <w:alias w:val="2 str."/>
            <w:tag w:val="part_0f0d8a9c9c8d46f8a140be6d58c7bf58"/>
            <w:lock w:val="sdtLocked"/>
            <w:richText/>
          </w:sdtPr>
          <w:sdtContent>
            <w:p>
              <w:pPr>
                <w:keepLines/>
                <w:widowControl w:val="0"/>
                <w:suppressAutoHyphens/>
                <w:ind w:firstLine="567"/>
                <w:rPr>
                  <w:b/>
                  <w:bCs/>
                  <w:color w:val="000000"/>
                </w:rPr>
              </w:pPr>
              <w:sdt>
                <w:sdtPr>
                  <w:alias w:val="Numeris"/>
                  <w:tag w:val="nr_0f0d8a9c9c8d46f8a140be6d58c7bf58"/>
                  <w:lock w:val="sdtLocked"/>
                  <w:richText/>
                </w:sdtPr>
                <w:sdtContent>
                  <w:r>
                    <w:rPr>
                      <w:b/>
                      <w:bCs/>
                      <w:color w:val="000000"/>
                    </w:rPr>
                    <w:t>2</w:t>
                  </w:r>
                </w:sdtContent>
              </w:sdt>
              <w:r>
                <w:rPr>
                  <w:b/>
                  <w:bCs/>
                  <w:color w:val="000000"/>
                </w:rPr>
                <w:t xml:space="preserve"> straipsnis. </w:t>
              </w:r>
              <w:sdt>
                <w:sdtPr>
                  <w:alias w:val="Pavadinimas"/>
                  <w:tag w:val="title_0f0d8a9c9c8d46f8a140be6d58c7bf58"/>
                  <w:lock w:val="sdtLocked"/>
                  <w:richText/>
                </w:sdtPr>
                <w:sdtContent>
                  <w:r>
                    <w:rPr>
                      <w:b/>
                      <w:bCs/>
                      <w:color w:val="000000"/>
                    </w:rPr>
                    <w:t>Kultūros rėmimo fondo statusas</w:t>
                  </w:r>
                </w:sdtContent>
              </w:sdt>
            </w:p>
            <w:sdt>
              <w:sdtPr>
                <w:alias w:val="2 str. 1 d."/>
                <w:tag w:val="part_539371438cf54ad98d185d0083f505ac"/>
                <w:lock w:val="sdtLocked"/>
                <w:richText/>
              </w:sdtPr>
              <w:sdtContent>
                <w:p>
                  <w:pPr>
                    <w:widowControl w:val="0"/>
                    <w:suppressAutoHyphens/>
                    <w:ind w:firstLine="567"/>
                    <w:jc w:val="both"/>
                    <w:rPr>
                      <w:color w:val="000000"/>
                    </w:rPr>
                  </w:pPr>
                  <w:sdt>
                    <w:sdtPr>
                      <w:alias w:val="Numeris"/>
                      <w:tag w:val="nr_539371438cf54ad98d185d0083f505ac"/>
                      <w:lock w:val="sdtLocked"/>
                      <w:richText/>
                    </w:sdtPr>
                    <w:sdtContent>
                      <w:r>
                        <w:rPr>
                          <w:color w:val="000000"/>
                        </w:rPr>
                        <w:t>1</w:t>
                      </w:r>
                    </w:sdtContent>
                  </w:sdt>
                  <w:r>
                    <w:rPr>
                      <w:color w:val="000000"/>
                    </w:rPr>
                    <w:t xml:space="preserve">. </w:t>
                  </w:r>
                  <w:r>
                    <w:rPr>
                      <w:i/>
                      <w:color w:val="000000"/>
                      <w:sz w:val="20"/>
                    </w:rPr>
                    <w:t>Neteko galios nuo 2019-01-01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3f46084d911e8ae2bfd1913d66d57">
                    <w:r w:rsidRPr="00532B9F">
                      <w:rPr>
                        <w:rFonts w:ascii="Times New Roman" w:eastAsia="MS Mincho" w:hAnsi="Times New Roman"/>
                        <w:sz w:val="20"/>
                        <w:i/>
                        <w:iCs/>
                        <w:color w:val="0000FF" w:themeColor="hyperlink"/>
                        <w:u w:val="single"/>
                      </w:rPr>
                      <w:t>XIII-1458</w:t>
                    </w:r>
                  </w:fldSimple>
                  <w:r>
                    <w:rPr>
                      <w:rFonts w:ascii="Times New Roman" w:eastAsia="MS Mincho" w:hAnsi="Times New Roman"/>
                      <w:sz w:val="20"/>
                      <w:i/>
                      <w:iCs/>
                    </w:rPr>
                    <w:t>,
2018-06-30,
paskelbta TAR 2018-07-11, i. k. 2018-11771            </w:t>
                  </w:r>
                </w:p>
                <w:p/>
              </w:sdtContent>
            </w:sdt>
            <w:sdt>
              <w:sdtPr>
                <w:alias w:val="2 str. 2 d."/>
                <w:tag w:val="part_01f8350f46e64da7bc88481e73af87cc"/>
                <w:lock w:val="sdtLocked"/>
                <w:richText/>
              </w:sdtPr>
              <w:sdtContent>
                <w:p>
                  <w:pPr>
                    <w:widowControl w:val="0"/>
                    <w:suppressAutoHyphens/>
                    <w:ind w:firstLine="567"/>
                    <w:jc w:val="both"/>
                    <w:rPr>
                      <w:color w:val="000000"/>
                    </w:rPr>
                  </w:pPr>
                  <w:sdt>
                    <w:sdtPr>
                      <w:alias w:val="Numeris"/>
                      <w:tag w:val="nr_01f8350f46e64da7bc88481e73af87cc"/>
                      <w:lock w:val="sdtLocked"/>
                      <w:richText/>
                    </w:sdtPr>
                    <w:sdtContent>
                      <w:r>
                        <w:rPr>
                          <w:color w:val="000000"/>
                        </w:rPr>
                        <w:t>2</w:t>
                      </w:r>
                    </w:sdtContent>
                  </w:sdt>
                  <w:r>
                    <w:rPr>
                      <w:color w:val="000000"/>
                    </w:rPr>
                    <w:t>. Fondas nėra juridinis asmuo.</w:t>
                  </w:r>
                </w:p>
              </w:sdtContent>
            </w:sdt>
            <w:sdt>
              <w:sdtPr>
                <w:alias w:val="2 str. 3 d."/>
                <w:tag w:val="part_eb103d969a2b4768a7cd2c940589aa27"/>
                <w:lock w:val="sdtLocked"/>
                <w:richText/>
              </w:sdtPr>
              <w:sdtContent>
                <w:p>
                  <w:pPr>
                    <w:widowControl w:val="0"/>
                    <w:suppressAutoHyphens/>
                    <w:ind w:firstLine="567"/>
                    <w:jc w:val="both"/>
                    <w:rPr>
                      <w:color w:val="000000"/>
                    </w:rPr>
                  </w:pPr>
                  <w:sdt>
                    <w:sdtPr>
                      <w:alias w:val="Numeris"/>
                      <w:tag w:val="nr_eb103d969a2b4768a7cd2c940589aa27"/>
                      <w:lock w:val="sdtLocked"/>
                      <w:richText/>
                    </w:sdtPr>
                    <w:sdtContent>
                      <w:r>
                        <w:rPr>
                          <w:color w:val="000000"/>
                        </w:rPr>
                        <w:t>3</w:t>
                      </w:r>
                    </w:sdtContent>
                  </w:sdt>
                  <w:r>
                    <w:rPr>
                      <w:color w:val="000000"/>
                    </w:rPr>
                    <w:t>. Fondą administruoja Lietuvos kultūros taryba.</w:t>
                  </w:r>
                </w:p>
              </w:sdtContent>
            </w:sdt>
            <w:sdt>
              <w:sdtPr>
                <w:alias w:val="2 str. 4 d."/>
                <w:tag w:val="part_01edeec8bd5c4b68a2f5f64a022a47c0"/>
                <w:lock w:val="sdtLocked"/>
                <w:richText/>
              </w:sdtPr>
              <w:sdtContent>
                <w:p>
                  <w:pPr>
                    <w:widowControl w:val="0"/>
                    <w:suppressAutoHyphens/>
                    <w:ind w:firstLine="567"/>
                    <w:jc w:val="both"/>
                    <w:rPr>
                      <w:color w:val="000000"/>
                    </w:rPr>
                  </w:pPr>
                  <w:sdt>
                    <w:sdtPr>
                      <w:alias w:val="Numeris"/>
                      <w:tag w:val="nr_01edeec8bd5c4b68a2f5f64a022a47c0"/>
                      <w:lock w:val="sdtLocked"/>
                      <w:richText/>
                    </w:sdtPr>
                    <w:sdtContent>
                      <w:r>
                        <w:rPr>
                          <w:color w:val="000000"/>
                        </w:rPr>
                        <w:t>4</w:t>
                      </w:r>
                    </w:sdtContent>
                  </w:sdt>
                  <w:r>
                    <w:rPr>
                      <w:color w:val="000000"/>
                    </w:rPr>
                    <w:t>. Fondo lėšos laikomos atskiroje Lietuvos kultūros tarybos sąskaitoje ir įtraukiamos į apskaitą pagal atskirą programą.</w:t>
                  </w:r>
                </w:p>
                <w:p>
                  <w:pPr>
                    <w:ind w:firstLine="567"/>
                    <w:jc w:val="both"/>
                  </w:pPr>
                </w:p>
              </w:sdtContent>
            </w:sdt>
          </w:sdtContent>
        </w:sdt>
        <w:sdt>
          <w:sdtPr>
            <w:alias w:val="3 str."/>
            <w:tag w:val="part_3d93b3df9c28478d92b5be01ed1c264e"/>
            <w:lock w:val="sdtLocked"/>
            <w:richText/>
          </w:sdtPr>
          <w:sdtContent>
            <w:p>
              <w:pPr>
                <w:keepLines/>
                <w:widowControl w:val="0"/>
                <w:suppressAutoHyphens/>
                <w:ind w:firstLine="567"/>
                <w:rPr>
                  <w:b/>
                  <w:bCs/>
                  <w:color w:val="000000"/>
                </w:rPr>
              </w:pPr>
              <w:sdt>
                <w:sdtPr>
                  <w:alias w:val="Numeris"/>
                  <w:tag w:val="nr_3d93b3df9c28478d92b5be01ed1c264e"/>
                  <w:lock w:val="sdtLocked"/>
                  <w:richText/>
                </w:sdtPr>
                <w:sdtContent>
                  <w:r>
                    <w:rPr>
                      <w:b/>
                      <w:bCs/>
                      <w:color w:val="000000"/>
                    </w:rPr>
                    <w:t>3</w:t>
                  </w:r>
                </w:sdtContent>
              </w:sdt>
              <w:r>
                <w:rPr>
                  <w:b/>
                  <w:bCs/>
                  <w:color w:val="000000"/>
                </w:rPr>
                <w:t xml:space="preserve"> straipsnis. </w:t>
              </w:r>
              <w:sdt>
                <w:sdtPr>
                  <w:alias w:val="Pavadinimas"/>
                  <w:tag w:val="title_3d93b3df9c28478d92b5be01ed1c264e"/>
                  <w:lock w:val="sdtLocked"/>
                  <w:richText/>
                </w:sdtPr>
                <w:sdtContent>
                  <w:r>
                    <w:rPr>
                      <w:b/>
                      <w:bCs/>
                      <w:color w:val="000000"/>
                    </w:rPr>
                    <w:t>Fondo lėšų šaltiniai</w:t>
                  </w:r>
                </w:sdtContent>
              </w:sdt>
            </w:p>
            <w:sdt>
              <w:sdtPr>
                <w:alias w:val="3 str. 1 d."/>
                <w:tag w:val="part_0a404e558758458997bdff1c165b90bd"/>
                <w:lock w:val="sdtLocked"/>
                <w:richText/>
              </w:sdtPr>
              <w:sdtContent>
                <w:p>
                  <w:pPr>
                    <w:widowControl w:val="0"/>
                    <w:suppressAutoHyphens/>
                    <w:ind w:firstLine="567"/>
                    <w:jc w:val="both"/>
                    <w:rPr>
                      <w:color w:val="000000"/>
                    </w:rPr>
                  </w:pPr>
                  <w:sdt>
                    <w:sdtPr>
                      <w:alias w:val="Numeris"/>
                      <w:tag w:val="nr_0a404e558758458997bdff1c165b90bd"/>
                      <w:lock w:val="sdtLocked"/>
                      <w:richText/>
                    </w:sdtPr>
                    <w:sdtContent>
                      <w:r>
                        <w:rPr>
                          <w:color w:val="000000"/>
                        </w:rPr>
                        <w:t>1</w:t>
                      </w:r>
                    </w:sdtContent>
                  </w:sdt>
                  <w:r>
                    <w:rPr>
                      <w:color w:val="000000"/>
                    </w:rPr>
                    <w:t>. Fondo lėšas sudaro:</w:t>
                  </w:r>
                </w:p>
                <w:sdt>
                  <w:sdtPr>
                    <w:alias w:val="3 str. 1 d. 1 p."/>
                    <w:tag w:val="part_97310c693e5d4f60b06561ca5d7254c4"/>
                    <w:lock w:val="sdtLocked"/>
                    <w:richText/>
                  </w:sdtPr>
                  <w:sdtContent>
                    <w:p>
                      <w:pPr>
                        <w:widowControl w:val="0"/>
                        <w:suppressAutoHyphens/>
                        <w:ind w:firstLine="567"/>
                        <w:jc w:val="both"/>
                        <w:rPr>
                          <w:color w:val="000000"/>
                        </w:rPr>
                      </w:pPr>
                      <w:sdt>
                        <w:sdtPr>
                          <w:alias w:val="Numeris"/>
                          <w:tag w:val="nr_97310c693e5d4f60b06561ca5d7254c4"/>
                          <w:lock w:val="sdtLocked"/>
                          <w:richText/>
                        </w:sdtPr>
                        <w:sdtContent>
                          <w:r>
                            <w:rPr>
                              <w:color w:val="000000"/>
                            </w:rPr>
                            <w:t>1</w:t>
                          </w:r>
                        </w:sdtContent>
                      </w:sdt>
                      <w:r>
                        <w:rPr>
                          <w:color w:val="000000"/>
                        </w:rPr>
                        <w:t>) 3 procentai akcizo pajamų, gautų už parduotus alkoholinius gėrimus ir apdorotą tabaką;</w:t>
                      </w:r>
                    </w:p>
                    <w:p>
                      <w:pPr>
                        <w:widowControl w:val="0"/>
                        <w:suppressAutoHyphens/>
                        <w:jc w:val="both"/>
                      </w:pPr>
                      <w:r>
                        <w:rPr>
                          <w:b/>
                          <w:i/>
                          <w:sz w:val="20"/>
                        </w:rPr>
                        <w:t>TAR pastaba</w:t>
                      </w:r>
                      <w:r>
                        <w:rPr>
                          <w:i/>
                          <w:sz w:val="20"/>
                        </w:rPr>
                        <w:t xml:space="preserve">. Pripažinti, </w:t>
                      </w:r>
                      <w:r>
                        <w:rPr>
                          <w:i/>
                          <w:sz w:val="20"/>
                          <w:lang w:eastAsia="lt-LT"/>
                        </w:rPr>
                        <w:t xml:space="preserve">kad Lietuvos Respublikos kultūros rėmimo fondo įstatymo (2012 m. rugsėjo 18 d. redakcija; Žin., 2012, Nr. </w:t>
                      </w:r>
                      <w:hyperlink r:id="rId15" w:tgtFrame="_blank" w:history="1">
                        <w:r>
                          <w:rPr>
                            <w:i/>
                            <w:color w:val="0000FF" w:themeColor="hyperlink"/>
                            <w:sz w:val="20"/>
                            <w:u w:val="single"/>
                            <w:lang w:eastAsia="lt-LT"/>
                          </w:rPr>
                          <w:t>111-5632</w:t>
                        </w:r>
                      </w:hyperlink>
                      <w:r>
                        <w:rPr>
                          <w:i/>
                          <w:sz w:val="20"/>
                          <w:lang w:eastAsia="lt-LT"/>
                        </w:rPr>
                        <w:t xml:space="preserve">) 3 straipsnio 1 dalies 1 punktas tiek, kiek jame nustatytas konkretus (3 procentai) akcizo pajamų, gautų už parduotus alkoholinius gėrimus ir apdorotą tabaką, dydis, sudarantis Kultūros rėmimo fondo lėšas, </w:t>
                      </w:r>
                      <w:r>
                        <w:rPr>
                          <w:i/>
                          <w:iCs/>
                          <w:sz w:val="20"/>
                          <w:lang w:eastAsia="lt-LT"/>
                        </w:rPr>
                        <w:t xml:space="preserve">prieštarauja Lietuvos Respublikos Konstitucijos </w:t>
                      </w:r>
                      <w:r>
                        <w:rPr>
                          <w:i/>
                          <w:sz w:val="20"/>
                          <w:lang w:eastAsia="lt-LT"/>
                        </w:rPr>
                        <w:t>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 str. 1 d. 2 p."/>
                    <w:tag w:val="part_87682ce051ee44c585ee0d6da8696518"/>
                    <w:lock w:val="sdtLocked"/>
                    <w:richText/>
                  </w:sdtPr>
                  <w:sdtContent>
                    <w:p>
                      <w:pPr>
                        <w:widowControl w:val="0"/>
                        <w:suppressAutoHyphens/>
                        <w:ind w:firstLine="567"/>
                        <w:jc w:val="both"/>
                        <w:rPr>
                          <w:color w:val="000000"/>
                        </w:rPr>
                      </w:pPr>
                      <w:sdt>
                        <w:sdtPr>
                          <w:alias w:val="Numeris"/>
                          <w:tag w:val="nr_87682ce051ee44c585ee0d6da8696518"/>
                          <w:lock w:val="sdtLocked"/>
                          <w:richText/>
                        </w:sdtPr>
                        <w:sdtContent>
                          <w:r>
                            <w:rPr>
                              <w:color w:val="000000"/>
                            </w:rPr>
                            <w:t>2</w:t>
                          </w:r>
                        </w:sdtContent>
                      </w:sdt>
                      <w:r>
                        <w:rPr>
                          <w:color w:val="000000"/>
                        </w:rPr>
                        <w:t>) 10 procentų lėšų, gautų iš loterijų ir azartinių lošimų mokesčio;</w:t>
                      </w:r>
                    </w:p>
                    <w:p>
                      <w:pPr>
                        <w:widowControl w:val="0"/>
                        <w:suppressAutoHyphens/>
                        <w:jc w:val="both"/>
                        <w:rPr>
                          <w:color w:val="000000"/>
                        </w:rPr>
                      </w:pPr>
                      <w:r>
                        <w:rPr>
                          <w:b/>
                          <w:i/>
                          <w:sz w:val="20"/>
                        </w:rPr>
                        <w:t>TAR pastaba</w:t>
                      </w:r>
                      <w:r>
                        <w:rPr>
                          <w:i/>
                          <w:sz w:val="20"/>
                        </w:rPr>
                        <w:t>. Pripažinti,</w:t>
                      </w:r>
                      <w:r>
                        <w:rPr>
                          <w:i/>
                          <w:sz w:val="20"/>
                          <w:lang w:eastAsia="lt-LT"/>
                        </w:rPr>
                        <w:t xml:space="preserve"> kad Lietuvos Respublikos kultūros rėmimo fondo įstatymo (2012 m. rugsėjo 18 d. redakcija; Žin., 2012, Nr. </w:t>
                      </w:r>
                      <w:hyperlink r:id="rId16" w:tgtFrame="_blank" w:history="1">
                        <w:r>
                          <w:rPr>
                            <w:i/>
                            <w:color w:val="0000FF" w:themeColor="hyperlink"/>
                            <w:sz w:val="20"/>
                            <w:u w:val="single"/>
                            <w:lang w:eastAsia="lt-LT"/>
                          </w:rPr>
                          <w:t>111-5632</w:t>
                        </w:r>
                      </w:hyperlink>
                      <w:r>
                        <w:rPr>
                          <w:i/>
                          <w:sz w:val="20"/>
                          <w:lang w:eastAsia="lt-LT"/>
                        </w:rPr>
                        <w:t>) 3 straipsnio 1 dalies 2 punktas tiek, kiek jame nustatytas konkretus (10 procentų) praėjusių metų faktinių įplaukų iš loterijų ir azartinių lošimų mokesčio dydis, sudarantis Kultūros rėmimo fondo lėšas</w:t>
                      </w:r>
                      <w:r>
                        <w:rPr>
                          <w:i/>
                          <w:iCs/>
                          <w:sz w:val="20"/>
                          <w:lang w:eastAsia="lt-LT"/>
                        </w:rPr>
                        <w:t xml:space="preserve">, prieštarauja Lietuvos Respublikos Konstitucijos </w:t>
                      </w:r>
                      <w:r>
                        <w:rPr>
                          <w:i/>
                          <w:sz w:val="20"/>
                          <w:lang w:eastAsia="lt-LT"/>
                        </w:rPr>
                        <w:t>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 str. 1 d. 3 p."/>
                    <w:tag w:val="part_2f490c82ccd34b788cd7b78f89e4518d"/>
                    <w:lock w:val="sdtLocked"/>
                    <w:richText/>
                  </w:sdtPr>
                  <w:sdtContent>
                    <w:p>
                      <w:pPr>
                        <w:widowControl w:val="0"/>
                        <w:suppressAutoHyphens/>
                        <w:ind w:firstLine="567"/>
                        <w:jc w:val="both"/>
                        <w:rPr>
                          <w:color w:val="000000"/>
                        </w:rPr>
                      </w:pPr>
                      <w:sdt>
                        <w:sdtPr>
                          <w:alias w:val="Numeris"/>
                          <w:tag w:val="nr_2f490c82ccd34b788cd7b78f89e4518d"/>
                          <w:lock w:val="sdtLocked"/>
                          <w:richText/>
                        </w:sdtPr>
                        <w:sdtContent>
                          <w:r>
                            <w:rPr>
                              <w:color w:val="000000"/>
                            </w:rPr>
                            <w:t>3</w:t>
                          </w:r>
                        </w:sdtContent>
                      </w:sdt>
                      <w:r>
                        <w:rPr>
                          <w:color w:val="000000"/>
                        </w:rPr>
                        <w:t>) kitos teisėtai įgytos lėšos.</w:t>
                      </w:r>
                    </w:p>
                  </w:sdtContent>
                </w:sdt>
              </w:sdtContent>
            </w:sdt>
            <w:sdt>
              <w:sdtPr>
                <w:alias w:val="3 str. 2 d."/>
                <w:tag w:val="part_e840db7b296c4119aac8295a3f87d93c"/>
                <w:lock w:val="sdtLocked"/>
                <w:richText/>
              </w:sdtPr>
              <w:sdtContent>
                <w:p>
                  <w:pPr>
                    <w:widowControl w:val="0"/>
                    <w:suppressAutoHyphens/>
                    <w:ind w:firstLine="567"/>
                    <w:jc w:val="both"/>
                    <w:rPr>
                      <w:color w:val="000000"/>
                    </w:rPr>
                  </w:pPr>
                  <w:sdt>
                    <w:sdtPr>
                      <w:alias w:val="Numeris"/>
                      <w:tag w:val="nr_e840db7b296c4119aac8295a3f87d93c"/>
                      <w:lock w:val="sdtLocked"/>
                      <w:richText/>
                    </w:sdtPr>
                    <w:sdtContent>
                      <w:r>
                        <w:rPr>
                          <w:color w:val="000000"/>
                        </w:rPr>
                        <w:t>2</w:t>
                      </w:r>
                    </w:sdtContent>
                  </w:sdt>
                  <w:r>
                    <w:rPr>
                      <w:color w:val="000000"/>
                    </w:rPr>
                    <w:t>. Planuojant kiekvienų metų valstybės biudžeto asignavimus, Fondui numatoma:</w:t>
                  </w:r>
                </w:p>
                <w:sdt>
                  <w:sdtPr>
                    <w:alias w:val="3 str. 2 d. 1 p."/>
                    <w:tag w:val="part_5160fb5858c34fd9bbc07bc31f7b07aa"/>
                    <w:lock w:val="sdtLocked"/>
                    <w:richText/>
                  </w:sdtPr>
                  <w:sdtContent>
                    <w:p>
                      <w:pPr>
                        <w:widowControl w:val="0"/>
                        <w:suppressAutoHyphens/>
                        <w:ind w:firstLine="567"/>
                        <w:jc w:val="both"/>
                        <w:rPr>
                          <w:color w:val="000000"/>
                        </w:rPr>
                      </w:pPr>
                      <w:sdt>
                        <w:sdtPr>
                          <w:alias w:val="Numeris"/>
                          <w:tag w:val="nr_5160fb5858c34fd9bbc07bc31f7b07aa"/>
                          <w:lock w:val="sdtLocked"/>
                          <w:richText/>
                        </w:sdtPr>
                        <w:sdtContent>
                          <w:r>
                            <w:rPr>
                              <w:color w:val="000000"/>
                            </w:rPr>
                            <w:t>1</w:t>
                          </w:r>
                        </w:sdtContent>
                      </w:sdt>
                      <w:r>
                        <w:rPr>
                          <w:color w:val="000000"/>
                        </w:rPr>
                        <w:t>) 3 procentai praėjusių metų faktinių įplaukų iš akcizo pajamų už parduotus alkoholinius gėrimus ir apdorotą tabaką;</w:t>
                      </w:r>
                    </w:p>
                    <w:p>
                      <w:pPr>
                        <w:widowControl w:val="0"/>
                        <w:suppressAutoHyphens/>
                        <w:jc w:val="both"/>
                        <w:rPr>
                          <w:color w:val="000000"/>
                        </w:rPr>
                      </w:pPr>
                      <w:r>
                        <w:rPr>
                          <w:b/>
                          <w:i/>
                          <w:sz w:val="20"/>
                        </w:rPr>
                        <w:t>TAR pastaba</w:t>
                      </w:r>
                      <w:r>
                        <w:rPr>
                          <w:i/>
                          <w:sz w:val="20"/>
                        </w:rPr>
                        <w:t xml:space="preserve">. Pripažinti, </w:t>
                      </w:r>
                      <w:r>
                        <w:rPr>
                          <w:i/>
                          <w:sz w:val="20"/>
                          <w:lang w:eastAsia="lt-LT"/>
                        </w:rPr>
                        <w:t xml:space="preserve">kad Lietuvos Respublikos kultūros rėmimo fondo įstatymo (2012 m. rugsėjo 18 d. redakcija; Žin., 2012, Nr. </w:t>
                      </w:r>
                      <w:hyperlink r:id="rId17" w:tgtFrame="_blank" w:history="1">
                        <w:r>
                          <w:rPr>
                            <w:i/>
                            <w:color w:val="0000FF" w:themeColor="hyperlink"/>
                            <w:sz w:val="20"/>
                            <w:u w:val="single"/>
                            <w:lang w:eastAsia="lt-LT"/>
                          </w:rPr>
                          <w:t>111-5632</w:t>
                        </w:r>
                      </w:hyperlink>
                      <w:r>
                        <w:rPr>
                          <w:i/>
                          <w:sz w:val="20"/>
                          <w:lang w:eastAsia="lt-LT"/>
                        </w:rPr>
                        <w:t>) 3 straipsnio 2 dalies 1 punktas tiek, kiek jame nustatytas konkretus (3 procentai) praėjusių metų faktinių įplaukų iš akcizo pajamų už parduotus alkoholinius gėrimus ir apdorotą tabaką dydis, numatomas Kultūros rėmimo fondui planuojant kiekvienų metų valstybės biudžeto asignavimus</w:t>
                      </w:r>
                      <w:r>
                        <w:rPr>
                          <w:i/>
                          <w:iCs/>
                          <w:sz w:val="20"/>
                          <w:lang w:eastAsia="lt-LT"/>
                        </w:rPr>
                        <w:t xml:space="preserve">, prieštarauja Lietuvos Respublikos Konstitucijos </w:t>
                      </w:r>
                      <w:r>
                        <w:rPr>
                          <w:i/>
                          <w:sz w:val="20"/>
                          <w:lang w:eastAsia="lt-LT"/>
                        </w:rPr>
                        <w:t>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 str. 2 d. 2 p."/>
                    <w:tag w:val="part_66642780ee164263b99a0df32878cb78"/>
                    <w:lock w:val="sdtLocked"/>
                    <w:richText/>
                  </w:sdtPr>
                  <w:sdtContent>
                    <w:p>
                      <w:pPr>
                        <w:widowControl w:val="0"/>
                        <w:suppressAutoHyphens/>
                        <w:ind w:firstLine="567"/>
                        <w:jc w:val="both"/>
                        <w:rPr>
                          <w:color w:val="000000"/>
                        </w:rPr>
                      </w:pPr>
                      <w:sdt>
                        <w:sdtPr>
                          <w:alias w:val="Numeris"/>
                          <w:tag w:val="nr_66642780ee164263b99a0df32878cb78"/>
                          <w:lock w:val="sdtLocked"/>
                          <w:richText/>
                        </w:sdtPr>
                        <w:sdtContent>
                          <w:r>
                            <w:rPr>
                              <w:color w:val="000000"/>
                            </w:rPr>
                            <w:t>2</w:t>
                          </w:r>
                        </w:sdtContent>
                      </w:sdt>
                      <w:r>
                        <w:rPr>
                          <w:color w:val="000000"/>
                        </w:rPr>
                        <w:t>) 10 procentų praėjusių metų faktinių įplaukų iš loterijų ir azartinių lošimų mokesčio.</w:t>
                      </w:r>
                    </w:p>
                    <w:p>
                      <w:pPr>
                        <w:jc w:val="both"/>
                      </w:pPr>
                      <w:r>
                        <w:rPr>
                          <w:b/>
                          <w:i/>
                          <w:sz w:val="20"/>
                        </w:rPr>
                        <w:t>TAR pastaba</w:t>
                      </w:r>
                      <w:r>
                        <w:rPr>
                          <w:i/>
                          <w:sz w:val="20"/>
                        </w:rPr>
                        <w:t>. Pripažinti,</w:t>
                      </w:r>
                      <w:r>
                        <w:rPr>
                          <w:i/>
                          <w:sz w:val="20"/>
                          <w:lang w:eastAsia="lt-LT"/>
                        </w:rPr>
                        <w:t xml:space="preserve"> kad Lietuvos Respublikos kultūros rėmimo fondo įstatymo (2012 m. rugsėjo 18 d. redakcija; Žin., 2012, Nr. </w:t>
                      </w:r>
                      <w:hyperlink r:id="rId18" w:tgtFrame="_blank" w:history="1">
                        <w:r>
                          <w:rPr>
                            <w:i/>
                            <w:color w:val="0000FF" w:themeColor="hyperlink"/>
                            <w:sz w:val="20"/>
                            <w:u w:val="single"/>
                            <w:lang w:eastAsia="lt-LT"/>
                          </w:rPr>
                          <w:t>111-5632</w:t>
                        </w:r>
                      </w:hyperlink>
                      <w:r>
                        <w:rPr>
                          <w:i/>
                          <w:sz w:val="20"/>
                          <w:lang w:eastAsia="lt-LT"/>
                        </w:rPr>
                        <w:t xml:space="preserve">) 3 straipsnio 2 dalies 2 punktas tiek, kiek jame nustatytas konkretus (10 procentų) praėjusių metų faktinių įplaukų iš loterijų ir azartinių lošimų mokesčio dydis, numatomas Kultūros rėmimo fondui planuojant kiekvienų metų valstybės biudžeto asignavimus, </w:t>
                      </w:r>
                      <w:r>
                        <w:rPr>
                          <w:i/>
                          <w:iCs/>
                          <w:sz w:val="20"/>
                          <w:lang w:eastAsia="lt-LT"/>
                        </w:rPr>
                        <w:t xml:space="preserve">prieštarauja Lietuvos Respublikos Konstitucijos </w:t>
                      </w:r>
                      <w:r>
                        <w:rPr>
                          <w:i/>
                          <w:sz w:val="20"/>
                          <w:lang w:eastAsia="lt-LT"/>
                        </w:rPr>
                        <w:t>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Content>
            </w:sdt>
          </w:sdtContent>
        </w:sdt>
        <w:sdt>
          <w:sdtPr>
            <w:alias w:val="4 str."/>
            <w:tag w:val="part_41e7930083714b7ebc1b2514ae43b424"/>
            <w:lock w:val="sdtLocked"/>
            <w:richText/>
          </w:sdtPr>
          <w:sdtContent>
            <w:p>
              <w:pPr>
                <w:keepLines/>
                <w:widowControl w:val="0"/>
                <w:suppressAutoHyphens/>
                <w:ind w:firstLine="567"/>
                <w:rPr>
                  <w:b/>
                  <w:bCs/>
                  <w:color w:val="000000"/>
                </w:rPr>
              </w:pPr>
              <w:sdt>
                <w:sdtPr>
                  <w:alias w:val="Numeris"/>
                  <w:tag w:val="nr_41e7930083714b7ebc1b2514ae43b424"/>
                  <w:lock w:val="sdtLocked"/>
                  <w:richText/>
                </w:sdtPr>
                <w:sdtContent>
                  <w:r>
                    <w:rPr>
                      <w:b/>
                      <w:bCs/>
                      <w:color w:val="000000"/>
                    </w:rPr>
                    <w:t>4</w:t>
                  </w:r>
                </w:sdtContent>
              </w:sdt>
              <w:r>
                <w:rPr>
                  <w:b/>
                  <w:bCs/>
                  <w:color w:val="000000"/>
                </w:rPr>
                <w:t xml:space="preserve"> straipsnis. </w:t>
              </w:r>
              <w:sdt>
                <w:sdtPr>
                  <w:alias w:val="Pavadinimas"/>
                  <w:tag w:val="title_41e7930083714b7ebc1b2514ae43b424"/>
                  <w:lock w:val="sdtLocked"/>
                  <w:richText/>
                </w:sdtPr>
                <w:sdtContent>
                  <w:r>
                    <w:rPr>
                      <w:b/>
                      <w:bCs/>
                      <w:color w:val="000000"/>
                    </w:rPr>
                    <w:t>Fondo lėšų naudojimas</w:t>
                  </w:r>
                </w:sdtContent>
              </w:sdt>
            </w:p>
            <w:sdt>
              <w:sdtPr>
                <w:alias w:val="4 str. 1 d."/>
                <w:tag w:val="part_7b7118ec0eda4e15a6d65300a8837f1d"/>
                <w:lock w:val="sdtLocked"/>
                <w:richText/>
              </w:sdtPr>
              <w:sdtContent>
                <w:p>
                  <w:pPr>
                    <w:ind w:firstLine="567"/>
                    <w:jc w:val="both"/>
                    <w:rPr>
                      <w:color w:val="000000"/>
                    </w:rPr>
                  </w:pPr>
                  <w:sdt>
                    <w:sdtPr>
                      <w:alias w:val="Numeris"/>
                      <w:tag w:val="nr_7b7118ec0eda4e15a6d65300a8837f1d"/>
                      <w:lock w:val="sdtLocked"/>
                      <w:richText/>
                    </w:sdtPr>
                    <w:sdtContent>
                      <w:r>
                        <w:rPr>
                          <w:szCs w:val="24"/>
                          <w:lang w:eastAsia="lt-LT"/>
                        </w:rPr>
                        <w:t>1</w:t>
                      </w:r>
                    </w:sdtContent>
                  </w:sdt>
                  <w:r>
                    <w:rPr>
                      <w:szCs w:val="24"/>
                      <w:lang w:eastAsia="lt-LT"/>
                    </w:rPr>
                    <w:t xml:space="preserve">. Fondo lėšos naudojamos kultūros ir meno projektams, programoms ir kitoms priemonėms, atrinktoms viešojo konkurso būdu, finansuoti. </w:t>
                  </w:r>
                  <w:r>
                    <w:rPr>
                      <w:szCs w:val="24"/>
                    </w:rPr>
                    <w:t xml:space="preserve">Fondo lėšos negali būti naudojamos jo administravimo išlaidoms. </w:t>
                  </w:r>
                  <w:r>
                    <w:rPr>
                      <w:szCs w:val="24"/>
                      <w:lang w:eastAsia="lt-LT"/>
                    </w:rPr>
                    <w:t>Ekspertų paslaugoms ir tyrimų išlaidoms apmokėti skiriama ne daugiau kaip 4 procentai atitinkamų metų Fondo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21dcb0642511e4ab32a37dfc9a0878">
                    <w:r w:rsidRPr="00532B9F">
                      <w:rPr>
                        <w:rFonts w:ascii="Times New Roman" w:eastAsia="MS Mincho" w:hAnsi="Times New Roman"/>
                        <w:sz w:val="20"/>
                        <w:i/>
                        <w:iCs/>
                        <w:color w:val="0000FF" w:themeColor="hyperlink"/>
                        <w:u w:val="single"/>
                      </w:rPr>
                      <w:t>XII-1277</w:t>
                    </w:r>
                  </w:fldSimple>
                  <w:r>
                    <w:rPr>
                      <w:rFonts w:ascii="Times New Roman" w:eastAsia="MS Mincho" w:hAnsi="Times New Roman"/>
                      <w:sz w:val="20"/>
                      <w:i/>
                      <w:iCs/>
                    </w:rPr>
                    <w:t>,
2014-10-21,
paskelbta TAR 2014-11-04, i. k. 2014-15748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3f46084d911e8ae2bfd1913d66d57">
                    <w:r w:rsidRPr="00532B9F">
                      <w:rPr>
                        <w:rFonts w:ascii="Times New Roman" w:eastAsia="MS Mincho" w:hAnsi="Times New Roman"/>
                        <w:sz w:val="20"/>
                        <w:i/>
                        <w:iCs/>
                        <w:color w:val="0000FF" w:themeColor="hyperlink"/>
                        <w:u w:val="single"/>
                      </w:rPr>
                      <w:t>XIII-1458</w:t>
                    </w:r>
                  </w:fldSimple>
                  <w:r>
                    <w:rPr>
                      <w:rFonts w:ascii="Times New Roman" w:eastAsia="MS Mincho" w:hAnsi="Times New Roman"/>
                      <w:sz w:val="20"/>
                      <w:i/>
                      <w:iCs/>
                    </w:rPr>
                    <w:t>,
2018-06-30,
paskelbta TAR 2018-07-11, i. k. 2018-11771            </w:t>
                  </w:r>
                </w:p>
                <w:p/>
              </w:sdtContent>
            </w:sdt>
            <w:sdt>
              <w:sdtPr>
                <w:alias w:val="4 str. 2 d."/>
                <w:tag w:val="part_7a91a1a08e4542599219fbcfe48311a6"/>
                <w:lock w:val="sdtLocked"/>
                <w:richText/>
              </w:sdtPr>
              <w:sdtContent>
                <w:p>
                  <w:pPr>
                    <w:widowControl w:val="0"/>
                    <w:suppressAutoHyphens/>
                    <w:ind w:firstLine="567"/>
                    <w:jc w:val="both"/>
                    <w:rPr>
                      <w:color w:val="000000"/>
                    </w:rPr>
                  </w:pPr>
                  <w:sdt>
                    <w:sdtPr>
                      <w:alias w:val="Numeris"/>
                      <w:tag w:val="nr_7a91a1a08e4542599219fbcfe48311a6"/>
                      <w:lock w:val="sdtLocked"/>
                      <w:richText/>
                    </w:sdtPr>
                    <w:sdtContent>
                      <w:r>
                        <w:rPr>
                          <w:color w:val="000000"/>
                        </w:rPr>
                        <w:t>2</w:t>
                      </w:r>
                    </w:sdtContent>
                  </w:sdt>
                  <w:r>
                    <w:rPr>
                      <w:color w:val="000000"/>
                    </w:rPr>
                    <w:t>. Lietuvos kultūros taryba kultūros ministro nustatyta tvarka priima sprendimus dėl Fondo lėšų skyrimo.</w:t>
                  </w:r>
                </w:p>
              </w:sdtContent>
            </w:sdt>
            <w:sdt>
              <w:sdtPr>
                <w:alias w:val="4 str. 3 d."/>
                <w:tag w:val="part_84ea485fbcd748c19efb900a94f84876"/>
                <w:lock w:val="sdtLocked"/>
                <w:richText/>
              </w:sdtPr>
              <w:sdtContent>
                <w:p>
                  <w:pPr>
                    <w:ind w:firstLine="567"/>
                    <w:jc w:val="both"/>
                  </w:pPr>
                  <w:sdt>
                    <w:sdtPr>
                      <w:alias w:val="Numeris"/>
                      <w:tag w:val="nr_84ea485fbcd748c19efb900a94f84876"/>
                      <w:lock w:val="sdtLocked"/>
                      <w:richText/>
                    </w:sdtPr>
                    <w:sdtContent>
                      <w:r>
                        <w:rPr>
                          <w:szCs w:val="24"/>
                          <w:lang w:eastAsia="lt-LT"/>
                        </w:rPr>
                        <w:t>3</w:t>
                      </w:r>
                    </w:sdtContent>
                  </w:sdt>
                  <w:r>
                    <w:rPr>
                      <w:szCs w:val="24"/>
                      <w:lang w:eastAsia="lt-LT"/>
                    </w:rPr>
                    <w:t xml:space="preserve">. </w:t>
                  </w:r>
                  <w:r>
                    <w:rPr>
                      <w:color w:val="000000"/>
                      <w:szCs w:val="24"/>
                      <w:lang w:eastAsia="lt-LT"/>
                    </w:rPr>
                    <w:t>Kultūros ministras tvirtina Fondo lėšomis finansuojamų projektų teikimo gaires. Šiose gairėse nustatoma Fondo rėmimo sritys ir jų prioritetai, rėmimo ir vertinimo kriterijai, projektų teikimo, lėšų skyrimo ir atsiskaitymo už panaudotas lėšas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3f46084d911e8ae2bfd1913d66d57">
                    <w:r w:rsidRPr="00532B9F">
                      <w:rPr>
                        <w:rFonts w:ascii="Times New Roman" w:eastAsia="MS Mincho" w:hAnsi="Times New Roman"/>
                        <w:sz w:val="20"/>
                        <w:i/>
                        <w:iCs/>
                        <w:color w:val="0000FF" w:themeColor="hyperlink"/>
                        <w:u w:val="single"/>
                      </w:rPr>
                      <w:t>XIII-1458</w:t>
                    </w:r>
                  </w:fldSimple>
                  <w:r>
                    <w:rPr>
                      <w:rFonts w:ascii="Times New Roman" w:eastAsia="MS Mincho" w:hAnsi="Times New Roman"/>
                      <w:sz w:val="20"/>
                      <w:i/>
                      <w:iCs/>
                    </w:rPr>
                    <w:t>,
2018-06-30,
paskelbta TAR 2018-07-11, i. k. 2018-11771            </w:t>
                  </w:r>
                </w:p>
                <w:p/>
              </w:sdtContent>
            </w:sdt>
          </w:sdtContent>
        </w:sdt>
        <w:sdt>
          <w:sdtPr>
            <w:alias w:val="5 str."/>
            <w:tag w:val="part_6247d89bafd34078b17ab2aab4d1c587"/>
            <w:lock w:val="sdtLocked"/>
            <w:richText/>
          </w:sdtPr>
          <w:sdtContent>
            <w:p>
              <w:pPr>
                <w:keepLines/>
                <w:widowControl w:val="0"/>
                <w:suppressAutoHyphens/>
                <w:ind w:firstLine="567"/>
                <w:rPr>
                  <w:b/>
                  <w:bCs/>
                  <w:color w:val="000000"/>
                </w:rPr>
              </w:pPr>
              <w:sdt>
                <w:sdtPr>
                  <w:alias w:val="Numeris"/>
                  <w:tag w:val="nr_6247d89bafd34078b17ab2aab4d1c587"/>
                  <w:lock w:val="sdtLocked"/>
                  <w:richText/>
                </w:sdtPr>
                <w:sdtContent>
                  <w:r>
                    <w:rPr>
                      <w:b/>
                      <w:bCs/>
                      <w:color w:val="000000"/>
                    </w:rPr>
                    <w:t>5</w:t>
                  </w:r>
                </w:sdtContent>
              </w:sdt>
              <w:r>
                <w:rPr>
                  <w:b/>
                  <w:bCs/>
                  <w:color w:val="000000"/>
                </w:rPr>
                <w:t xml:space="preserve"> straipsnis. </w:t>
              </w:r>
              <w:sdt>
                <w:sdtPr>
                  <w:alias w:val="Pavadinimas"/>
                  <w:tag w:val="title_6247d89bafd34078b17ab2aab4d1c587"/>
                  <w:lock w:val="sdtLocked"/>
                  <w:richText/>
                </w:sdtPr>
                <w:sdtContent>
                  <w:r>
                    <w:rPr>
                      <w:b/>
                      <w:bCs/>
                      <w:color w:val="000000"/>
                    </w:rPr>
                    <w:t>Fondo veiklos garantijos</w:t>
                  </w:r>
                </w:sdtContent>
              </w:sdt>
            </w:p>
            <w:sdt>
              <w:sdtPr>
                <w:alias w:val="5 str. 1 d."/>
                <w:tag w:val="part_b85e799ff0264c0c9021029e991ccad0"/>
                <w:lock w:val="sdtLocked"/>
                <w:richText/>
              </w:sdtPr>
              <w:sdtContent>
                <w:p>
                  <w:pPr>
                    <w:widowControl w:val="0"/>
                    <w:suppressAutoHyphens/>
                    <w:ind w:firstLine="567"/>
                    <w:jc w:val="both"/>
                    <w:rPr>
                      <w:color w:val="000000"/>
                    </w:rPr>
                  </w:pPr>
                  <w:sdt>
                    <w:sdtPr>
                      <w:alias w:val="Numeris"/>
                      <w:tag w:val="nr_b85e799ff0264c0c9021029e991ccad0"/>
                      <w:lock w:val="sdtLocked"/>
                      <w:richText/>
                    </w:sdtPr>
                    <w:sdtContent>
                      <w:r>
                        <w:rPr>
                          <w:color w:val="000000"/>
                        </w:rPr>
                        <w:t>1</w:t>
                      </w:r>
                    </w:sdtContent>
                  </w:sdt>
                  <w:r>
                    <w:rPr>
                      <w:color w:val="000000"/>
                    </w:rPr>
                    <w:t>. Fondo lėšos negali būti perduodamos į valstybės biudžetą arba naudojamos kitoms valstybės reikmėms finansuoti.</w:t>
                  </w:r>
                </w:p>
              </w:sdtContent>
            </w:sdt>
            <w:sdt>
              <w:sdtPr>
                <w:alias w:val="5 str. 2 d."/>
                <w:tag w:val="part_fc2f46d95d5b4189a7ebf559d5019ed4"/>
                <w:lock w:val="sdtLocked"/>
                <w:richText/>
              </w:sdtPr>
              <w:sdtContent>
                <w:p>
                  <w:pPr>
                    <w:ind w:firstLine="567"/>
                    <w:jc w:val="both"/>
                    <w:rPr>
                      <w:szCs w:val="24"/>
                      <w:lang w:eastAsia="lt-LT"/>
                    </w:rPr>
                  </w:pPr>
                  <w:sdt>
                    <w:sdtPr>
                      <w:alias w:val="Numeris"/>
                      <w:tag w:val="nr_fc2f46d95d5b4189a7ebf559d5019ed4"/>
                      <w:lock w:val="sdtLocked"/>
                      <w:richText/>
                    </w:sdtPr>
                    <w:sdtContent>
                      <w:r>
                        <w:rPr>
                          <w:szCs w:val="24"/>
                          <w:lang w:eastAsia="lt-LT"/>
                        </w:rPr>
                        <w:t>2</w:t>
                      </w:r>
                    </w:sdtContent>
                  </w:sdt>
                  <w:r>
                    <w:rPr>
                      <w:szCs w:val="24"/>
                      <w:lang w:eastAsia="lt-LT"/>
                    </w:rPr>
                    <w:t xml:space="preserve">. Per kalendorinius metus nepanaudotos Fondo lėšos lieka Fondo sąskaitoje ir naudojamos kitais metais. </w:t>
                  </w:r>
                </w:p>
                <w:p>
                  <w:pPr>
                    <w:jc w:val="both"/>
                  </w:pPr>
                  <w:r>
                    <w:rPr>
                      <w:b/>
                      <w:i/>
                      <w:sz w:val="20"/>
                    </w:rPr>
                    <w:t>TAR pastaba</w:t>
                  </w:r>
                  <w:r>
                    <w:rPr>
                      <w:i/>
                      <w:sz w:val="20"/>
                    </w:rPr>
                    <w:t>. Pripažinti,</w:t>
                  </w:r>
                  <w:r>
                    <w:rPr>
                      <w:i/>
                      <w:sz w:val="20"/>
                      <w:lang w:eastAsia="lt-LT"/>
                    </w:rPr>
                    <w:t xml:space="preserve"> kad Lietuvos Respublikos kultūros rėmimo fondo įstatymo (2012 m. rugsėjo 18 d. redakcija; Žin., 2012, Nr. </w:t>
                  </w:r>
                  <w:hyperlink r:id="rId19" w:tgtFrame="_blank" w:history="1">
                    <w:r>
                      <w:rPr>
                        <w:i/>
                        <w:color w:val="0000FF" w:themeColor="hyperlink"/>
                        <w:sz w:val="20"/>
                        <w:u w:val="single"/>
                        <w:lang w:eastAsia="lt-LT"/>
                      </w:rPr>
                      <w:t>111-5632</w:t>
                    </w:r>
                  </w:hyperlink>
                  <w:r>
                    <w:rPr>
                      <w:i/>
                      <w:sz w:val="20"/>
                      <w:lang w:eastAsia="lt-LT"/>
                    </w:rPr>
                    <w:t xml:space="preserve">) 5 straipsnis (su 2014 m. spalio 21 d. pakeitimu; </w:t>
                  </w:r>
                  <w:r>
                    <w:rPr>
                      <w:i/>
                      <w:iCs/>
                      <w:sz w:val="20"/>
                      <w:lang w:eastAsia="lt-LT"/>
                    </w:rPr>
                    <w:t>TAR, 2014-11-04, Nr. 15748</w:t>
                  </w:r>
                  <w:r>
                    <w:rPr>
                      <w:i/>
                      <w:sz w:val="20"/>
                      <w:lang w:eastAsia="lt-LT"/>
                    </w:rPr>
                    <w:t xml:space="preserve">) </w:t>
                  </w:r>
                  <w:r>
                    <w:rPr>
                      <w:i/>
                      <w:iCs/>
                      <w:sz w:val="20"/>
                      <w:lang w:eastAsia="lt-LT"/>
                    </w:rPr>
                    <w:t xml:space="preserve">tiek, kiek pagal jį </w:t>
                  </w:r>
                  <w:r>
                    <w:rPr>
                      <w:i/>
                      <w:sz w:val="20"/>
                      <w:lang w:eastAsia="lt-LT"/>
                    </w:rPr>
                    <w:t>draudžiama perduoti Kultūros rėmimo fondo lėšas į valstybės biudžetą ir</w:t>
                  </w:r>
                  <w:r>
                    <w:rPr>
                      <w:i/>
                      <w:iCs/>
                      <w:sz w:val="20"/>
                      <w:lang w:eastAsia="lt-LT"/>
                    </w:rPr>
                    <w:t xml:space="preserve"> </w:t>
                  </w:r>
                  <w:r>
                    <w:rPr>
                      <w:i/>
                      <w:sz w:val="20"/>
                      <w:lang w:eastAsia="lt-LT"/>
                    </w:rPr>
                    <w:t xml:space="preserve">per kalendorinius metus nepanaudotos šio fondo lėšos lieka jo sąskaitoje ir naudojamos kitais metais, </w:t>
                  </w:r>
                  <w:r>
                    <w:rPr>
                      <w:i/>
                      <w:iCs/>
                      <w:sz w:val="20"/>
                      <w:lang w:eastAsia="lt-LT"/>
                    </w:rPr>
                    <w:t xml:space="preserve">prieštarauja Lietuvos Respublikos Konstitucijos </w:t>
                  </w:r>
                  <w:r>
                    <w:rPr>
                      <w:i/>
                      <w:sz w:val="20"/>
                      <w:lang w:eastAsia="lt-LT"/>
                    </w:rPr>
                    <w:t>129 straipsniui, 131 straipsnio 2 dalies nuostatai, kad negalima mažinti įstatymų numatytų išlaidų, kol tie įstatymai nepakeisti.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6 str."/>
            <w:tag w:val="part_e80c18ddeb284cc980ba3b05b7e99bec"/>
            <w:lock w:val="sdtLocked"/>
            <w:richText/>
          </w:sdtPr>
          <w:sdtContent>
            <w:p>
              <w:pPr>
                <w:keepLines/>
                <w:widowControl w:val="0"/>
                <w:suppressAutoHyphens/>
                <w:ind w:firstLine="567"/>
                <w:rPr>
                  <w:b/>
                  <w:bCs/>
                  <w:color w:val="000000"/>
                </w:rPr>
              </w:pPr>
              <w:sdt>
                <w:sdtPr>
                  <w:alias w:val="Numeris"/>
                  <w:tag w:val="nr_e80c18ddeb284cc980ba3b05b7e99bec"/>
                  <w:lock w:val="sdtLocked"/>
                  <w:richText/>
                </w:sdtPr>
                <w:sdtContent>
                  <w:r>
                    <w:rPr>
                      <w:b/>
                      <w:bCs/>
                      <w:color w:val="000000"/>
                    </w:rPr>
                    <w:t>6</w:t>
                  </w:r>
                </w:sdtContent>
              </w:sdt>
              <w:r>
                <w:rPr>
                  <w:b/>
                  <w:bCs/>
                  <w:color w:val="000000"/>
                </w:rPr>
                <w:t xml:space="preserve"> straipsnis. </w:t>
              </w:r>
              <w:sdt>
                <w:sdtPr>
                  <w:alias w:val="Pavadinimas"/>
                  <w:tag w:val="title_e80c18ddeb284cc980ba3b05b7e99bec"/>
                  <w:lock w:val="sdtLocked"/>
                  <w:richText/>
                </w:sdtPr>
                <w:sdtContent>
                  <w:r>
                    <w:rPr>
                      <w:b/>
                      <w:bCs/>
                      <w:color w:val="000000"/>
                    </w:rPr>
                    <w:t>Fondo likvidavimas</w:t>
                  </w:r>
                </w:sdtContent>
              </w:sdt>
            </w:p>
            <w:sdt>
              <w:sdtPr>
                <w:alias w:val="6 str. 1 d."/>
                <w:tag w:val="part_135605cb32c64d92a8665c970109beb7"/>
                <w:lock w:val="sdtLocked"/>
                <w:richText/>
              </w:sdtPr>
              <w:sdtContent>
                <w:p>
                  <w:pPr>
                    <w:widowControl w:val="0"/>
                    <w:suppressAutoHyphens/>
                    <w:ind w:firstLine="567"/>
                    <w:jc w:val="both"/>
                    <w:rPr>
                      <w:color w:val="000000"/>
                    </w:rPr>
                  </w:pPr>
                  <w:sdt>
                    <w:sdtPr>
                      <w:alias w:val="Numeris"/>
                      <w:tag w:val="nr_135605cb32c64d92a8665c970109beb7"/>
                      <w:lock w:val="sdtLocked"/>
                      <w:richText/>
                    </w:sdtPr>
                    <w:sdtContent>
                      <w:r>
                        <w:rPr>
                          <w:color w:val="000000"/>
                        </w:rPr>
                        <w:t>1</w:t>
                      </w:r>
                    </w:sdtContent>
                  </w:sdt>
                  <w:r>
                    <w:rPr>
                      <w:color w:val="000000"/>
                    </w:rPr>
                    <w:t>. Fondas likviduojamas Lietuvos Respublikos įstatymų nustatyta tvarka.</w:t>
                  </w:r>
                </w:p>
              </w:sdtContent>
            </w:sdt>
            <w:sdt>
              <w:sdtPr>
                <w:alias w:val="6 str. 2 d."/>
                <w:tag w:val="part_895ee291a52f4e2490e11466c02db814"/>
                <w:lock w:val="sdtLocked"/>
                <w:richText/>
              </w:sdtPr>
              <w:sdtContent>
                <w:p>
                  <w:pPr>
                    <w:widowControl w:val="0"/>
                    <w:suppressAutoHyphens/>
                    <w:ind w:firstLine="567"/>
                    <w:jc w:val="both"/>
                  </w:pPr>
                  <w:sdt>
                    <w:sdtPr>
                      <w:alias w:val="Numeris"/>
                      <w:tag w:val="nr_895ee291a52f4e2490e11466c02db814"/>
                      <w:lock w:val="sdtLocked"/>
                      <w:richText/>
                    </w:sdtPr>
                    <w:sdtContent>
                      <w:r>
                        <w:rPr>
                          <w:color w:val="000000"/>
                        </w:rPr>
                        <w:t>2</w:t>
                      </w:r>
                    </w:sdtContent>
                  </w:sdt>
                  <w:r>
                    <w:rPr>
                      <w:color w:val="000000"/>
                    </w:rPr>
                    <w:t>. Fondą likvidavus, Fondo lėšos pervedamos į valstybės biudžetą.</w:t>
                  </w:r>
                </w:p>
              </w:sdtContent>
            </w:sdt>
          </w:sdtContent>
        </w:sdt>
        <w:sdt>
          <w:sdtPr>
            <w:alias w:val="signatura"/>
            <w:tag w:val="part_c7df3e32e1c847ef9fa77e1af5f867d4"/>
            <w:lock w:val="sdtLocked"/>
            <w:richText/>
          </w:sdtPr>
          <w:sdtContent>
            <w:p>
              <w:pPr>
                <w:ind w:firstLine="709"/>
                <w:jc w:val="both"/>
              </w:pPr>
            </w:p>
            <w:p>
              <w:pPr>
                <w:ind w:firstLine="567"/>
                <w:jc w:val="both"/>
                <w:rPr>
                  <w:i/>
                  <w:iCs/>
                  <w:color w:val="000000"/>
                </w:rPr>
              </w:pPr>
              <w:r>
                <w:rPr>
                  <w:i/>
                  <w:iCs/>
                  <w:color w:val="000000"/>
                </w:rPr>
                <w:t xml:space="preserve">Skelbiu šį Lietuvos Respublikos Seimo priimtą įstatymą. </w:t>
              </w:r>
            </w:p>
            <w:p>
              <w:pPr>
                <w:ind w:firstLine="709"/>
                <w:rPr>
                  <w:color w:val="000000"/>
                </w:rPr>
              </w:pPr>
            </w:p>
            <w:p>
              <w:pPr>
                <w:ind w:firstLine="709"/>
                <w:rPr>
                  <w:color w:val="000000"/>
                </w:rPr>
              </w:pPr>
            </w:p>
            <w:p>
              <w:pPr>
                <w:tabs>
                  <w:tab w:val="right" w:pos="9639"/>
                </w:tabs>
              </w:pPr>
            </w:p>
            <w:p>
              <w:pPr>
                <w:tabs>
                  <w:tab w:val="right" w:pos="9356"/>
                </w:tabs>
              </w:pPr>
              <w:r>
                <w:t>RESPUBLIKOS PREZIDENTAS</w:t>
                <w:tab/>
                <w:t>VALDAS ADAMKUS</w:t>
              </w:r>
            </w:p>
            <w:p>
              <w:pPr>
                <w:ind w:firstLine="709"/>
                <w:rPr>
                  <w:color w:val="000000"/>
                </w:rP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D9EAF2499D8">
            <w:r w:rsidRPr="00532B9F">
              <w:rPr>
                <w:rFonts w:ascii="Times New Roman" w:eastAsia="MS Mincho" w:hAnsi="Times New Roman"/>
                <w:sz w:val="20"/>
                <w:iCs/>
                <w:color w:val="0000FF" w:themeColor="hyperlink"/>
                <w:u w:val="single"/>
              </w:rPr>
              <w:t>XI-2219</w:t>
            </w:r>
          </w:fldSimple>
          <w:r>
            <w:rPr>
              <w:rFonts w:ascii="Times New Roman" w:eastAsia="MS Mincho" w:hAnsi="Times New Roman"/>
              <w:sz w:val="20"/>
              <w:iCs/>
            </w:rPr>
            <w:t>,
2012-09-18,
Žin., 2012, Nr.
111-5632 (2012-09-26), i. k. 1121010ISTA0XI-2219                </w:t>
          </w:r>
        </w:p>
        <w:p>
          <w:pPr>
            <w:jc w:val="both"/>
            <w:rPr>
              <w:rFonts w:ascii="Times New Roman" w:hAnsi="Times New Roman"/>
            </w:rPr>
          </w:pPr>
          <w:r>
            <w:rPr>
              <w:rFonts w:ascii="Times New Roman" w:hAnsi="Times New Roman"/>
              <w:sz w:val="20"/>
            </w:rPr>
            <w:t>Lietuvos Respublikos kultūros rėmimo fondo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21dcb0642511e4ab32a37dfc9a0878">
            <w:r w:rsidRPr="00532B9F">
              <w:rPr>
                <w:rFonts w:ascii="Times New Roman" w:eastAsia="MS Mincho" w:hAnsi="Times New Roman"/>
                <w:sz w:val="20"/>
                <w:iCs/>
                <w:color w:val="0000FF" w:themeColor="hyperlink"/>
                <w:u w:val="single"/>
              </w:rPr>
              <w:t>XII-1277</w:t>
            </w:r>
          </w:fldSimple>
          <w:r>
            <w:rPr>
              <w:rFonts w:ascii="Times New Roman" w:eastAsia="MS Mincho" w:hAnsi="Times New Roman"/>
              <w:sz w:val="20"/>
              <w:iCs/>
            </w:rPr>
            <w:t>,
2014-10-21,
paskelbta TAR 2014-11-04, i. k. 2014-15748                </w:t>
          </w:r>
        </w:p>
        <w:p>
          <w:pPr>
            <w:jc w:val="both"/>
            <w:rPr>
              <w:rFonts w:ascii="Times New Roman" w:hAnsi="Times New Roman"/>
            </w:rPr>
          </w:pPr>
          <w:r>
            <w:rPr>
              <w:rFonts w:ascii="Times New Roman" w:hAnsi="Times New Roman"/>
              <w:sz w:val="20"/>
            </w:rPr>
            <w:t>Lietuvos Respublikos kultūros rėmimo fondo įstatymo Nr. X-1260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c3f46084d911e8ae2bfd1913d66d57">
            <w:r w:rsidRPr="00532B9F">
              <w:rPr>
                <w:rFonts w:ascii="Times New Roman" w:eastAsia="MS Mincho" w:hAnsi="Times New Roman"/>
                <w:sz w:val="20"/>
                <w:iCs/>
                <w:color w:val="0000FF" w:themeColor="hyperlink"/>
                <w:u w:val="single"/>
              </w:rPr>
              <w:t>XIII-1458</w:t>
            </w:r>
          </w:fldSimple>
          <w:r>
            <w:rPr>
              <w:rFonts w:ascii="Times New Roman" w:eastAsia="MS Mincho" w:hAnsi="Times New Roman"/>
              <w:sz w:val="20"/>
              <w:iCs/>
            </w:rPr>
            <w:t>,
2018-06-30,
paskelbta TAR 2018-07-11, i. k. 2018-11771                </w:t>
          </w:r>
        </w:p>
        <w:p>
          <w:pPr>
            <w:jc w:val="both"/>
            <w:rPr>
              <w:rFonts w:ascii="Times New Roman" w:hAnsi="Times New Roman"/>
            </w:rPr>
          </w:pPr>
          <w:r>
            <w:rPr>
              <w:rFonts w:ascii="Times New Roman" w:hAnsi="Times New Roman"/>
              <w:sz w:val="20"/>
            </w:rPr>
            <w:t>Lietuvos Respublikos kultūros rėmimo fondo įstatymo Nr. X-1260 1,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65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482912">
      <w:bodyDiv w:val="1"/>
      <w:marLeft w:val="0"/>
      <w:marRight w:val="0"/>
      <w:marTop w:val="0"/>
      <w:marBottom w:val="0"/>
      <w:divBdr>
        <w:top w:val="none" w:sz="0" w:space="0" w:color="auto"/>
        <w:left w:val="none" w:sz="0" w:space="0" w:color="auto"/>
        <w:bottom w:val="none" w:sz="0" w:space="0" w:color="auto"/>
        <w:right w:val="none" w:sz="0" w:space="0" w:color="auto"/>
      </w:divBdr>
    </w:div>
    <w:div w:id="664165396">
      <w:bodyDiv w:val="1"/>
      <w:marLeft w:val="0"/>
      <w:marRight w:val="0"/>
      <w:marTop w:val="0"/>
      <w:marBottom w:val="0"/>
      <w:divBdr>
        <w:top w:val="none" w:sz="0" w:space="0" w:color="auto"/>
        <w:left w:val="none" w:sz="0" w:space="0" w:color="auto"/>
        <w:bottom w:val="none" w:sz="0" w:space="0" w:color="auto"/>
        <w:right w:val="none" w:sz="0" w:space="0" w:color="auto"/>
      </w:divBdr>
    </w:div>
    <w:div w:id="1988394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s://www.e-tar.lt/portal/lt/legalAct/TAR.CD9EAF2499D8"/>
  <Relationship Id="rId16" Type="http://schemas.openxmlformats.org/officeDocument/2006/relationships/hyperlink" TargetMode="External" Target="https://www.e-tar.lt/portal/lt/legalAct/TAR.CD9EAF2499D8"/>
  <Relationship Id="rId17" Type="http://schemas.openxmlformats.org/officeDocument/2006/relationships/hyperlink" TargetMode="External" Target="https://www.e-tar.lt/portal/lt/legalAct/TAR.CD9EAF2499D8"/>
  <Relationship Id="rId18" Type="http://schemas.openxmlformats.org/officeDocument/2006/relationships/hyperlink" TargetMode="External" Target="https://www.e-tar.lt/portal/lt/legalAct/TAR.CD9EAF2499D8"/>
  <Relationship Id="rId19" Type="http://schemas.openxmlformats.org/officeDocument/2006/relationships/hyperlink" TargetMode="External" Target="https://www.e-tar.lt/portal/lt/legalAct/TAR.CD9EAF2499D8"/>
  <Relationship Id="rId2" Type="http://schemas.openxmlformats.org/officeDocument/2006/relationships/header" Target="header8.xml"/>
  <Relationship Id="rId20"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f0b403c4d74db1baa993d9921e3a73" PartId="d42e33ba7e924a9b81002729e63fdbca">
    <Part Type="straipsnis" Nr="1" Abbr="1 str." Title="Įstatymo paskirtis" DocPartId="043a590662f247cb91c5d402a64e0489" PartId="bffe001ad8a54d4da0ea0edb55109cf9">
      <Part Type="strDalis" Nr="1" Abbr="1 str. 1 d." DocPartId="694b81991fbf4d179566cf118d0a3e8e" PartId="979800d8060446f7b938151aa300aa18"/>
    </Part>
    <Part Type="straipsnis" Nr="2" Abbr="2 str." Title="Kultūros rėmimo fondo statusas" DocPartId="b7786dedfde64fd2aec9a170aa7ce8fe" PartId="0f0d8a9c9c8d46f8a140be6d58c7bf58">
      <Part Type="strDalis" Nr="1" Abbr="2 str. 1 d." DocPartId="cfb2086b87bc45f987b086435e1b6f9b" PartId="539371438cf54ad98d185d0083f505ac"/>
      <Part Type="strDalis" Nr="2" Abbr="2 str. 2 d." DocPartId="f3ac8e27aa6044fd8621cb2bbeb0bf8b" PartId="01f8350f46e64da7bc88481e73af87cc"/>
      <Part Type="strDalis" Nr="3" Abbr="2 str. 3 d." DocPartId="f39df52d2a80490b9418325b7375f9cb" PartId="eb103d969a2b4768a7cd2c940589aa27"/>
      <Part Type="strDalis" Nr="4" Abbr="2 str. 4 d." DocPartId="99b23568dcc6498c96af41a5a5fe1901" PartId="01edeec8bd5c4b68a2f5f64a022a47c0"/>
    </Part>
    <Part Type="straipsnis" Nr="3" Abbr="3 str." Title="Fondo lėšų šaltiniai" DocPartId="6a152af229b94b3b94e665799b3650f4" PartId="3d93b3df9c28478d92b5be01ed1c264e">
      <Part Type="strDalis" Nr="1" Abbr="3 str. 1 d." DocPartId="8e29761c67a74c41a70d72ec886b746f" PartId="0a404e558758458997bdff1c165b90bd">
        <Part Type="strPunktas" Nr="1" Abbr="3 str. 1 d. 1 p." DocPartId="67a26e918f754ff4a78a377987d9ada7" PartId="97310c693e5d4f60b06561ca5d7254c4"/>
        <Part Type="strPunktas" Nr="2" Abbr="3 str. 1 d. 2 p." DocPartId="46ce6a72eee946e38fe8d81ce3410a80" PartId="87682ce051ee44c585ee0d6da8696518"/>
        <Part Type="strPunktas" Nr="3" Abbr="3 str. 1 d. 3 p." DocPartId="f8efc4efa8954cbaad03eceb35aa876a" PartId="2f490c82ccd34b788cd7b78f89e4518d"/>
      </Part>
      <Part Type="strDalis" Nr="2" Abbr="3 str. 2 d." DocPartId="ca24e57b5bb9457a8334e5472df21d98" PartId="e840db7b296c4119aac8295a3f87d93c">
        <Part Type="strPunktas" Nr="1" Abbr="3 str. 2 d. 1 p." DocPartId="f906250d8ca144579388c45e430b07fb" PartId="5160fb5858c34fd9bbc07bc31f7b07aa"/>
        <Part Type="strPunktas" Nr="2" Abbr="3 str. 2 d. 2 p." DocPartId="05a8b4ef5ecc4ea38a9d99084229b7e7" PartId="66642780ee164263b99a0df32878cb78"/>
      </Part>
    </Part>
    <Part Type="straipsnis" Nr="4" Abbr="4 str." Title="Fondo lėšų naudojimas" DocPartId="0b501f227d4046bab8c00900a1f90d96" PartId="41e7930083714b7ebc1b2514ae43b424">
      <Part Type="strDalis" Nr="1" Abbr="4 str. 1 d." DocPartId="a2cd6a493bd14198866772582d6c0972" PartId="7b7118ec0eda4e15a6d65300a8837f1d"/>
      <Part Type="strDalis" Nr="2" Abbr="4 str. 2 d." DocPartId="136adc619ef242879a2ed78c8322c5ef" PartId="7a91a1a08e4542599219fbcfe48311a6"/>
      <Part Type="strDalis" Nr="3" Abbr="4 str. 3 d." DocPartId="a6a50651cacd4d46abb91a02ab6fd703" PartId="84ea485fbcd748c19efb900a94f84876"/>
    </Part>
    <Part Type="straipsnis" Nr="5" Abbr="5 str." Title="Fondo veiklos garantijos" DocPartId="cdc0c3f6ff1643d59c7bca01db769a95" PartId="6247d89bafd34078b17ab2aab4d1c587">
      <Part Type="strDalis" Nr="1" Abbr="5 str. 1 d." DocPartId="d3e6cd41672247e78f6932cfb1f0131e" PartId="b85e799ff0264c0c9021029e991ccad0"/>
      <Part Type="strDalis" Nr="2" Abbr="5 str. 2 d." DocPartId="7b2a04fcee684545a57803ecbfac9732" PartId="fc2f46d95d5b4189a7ebf559d5019ed4"/>
    </Part>
    <Part Type="straipsnis" Nr="6" Abbr="6 str." Title="Fondo likvidavimas" DocPartId="feaf24daef6e43508ab94292cbb99499" PartId="e80c18ddeb284cc980ba3b05b7e99bec">
      <Part Type="strDalis" Nr="1" Abbr="6 str. 1 d." DocPartId="3c44aea64f6b4a818654822b2ce52e12" PartId="135605cb32c64d92a8665c970109beb7"/>
      <Part Type="strDalis" Nr="2" Abbr="6 str. 2 d." DocPartId="9061551111bb4c028cec1351e82707f4" PartId="895ee291a52f4e2490e11466c02db814"/>
    </Part>
    <Part Type="signatura" DocPartId="cf51af40eb7b42f4ae3d7d00d600c147" PartId="c7df3e32e1c847ef9fa77e1af5f867d4"/>
  </Part>
</Parts>
</file>

<file path=customXml/itemProps1.xml><?xml version="1.0" encoding="utf-8"?>
<ds:datastoreItem xmlns:ds="http://schemas.openxmlformats.org/officeDocument/2006/customXml" ds:itemID="{A8EB75EC-52BA-4BB4-A540-8EB0F9400D72}">
  <ds:schemaRefs>
    <ds:schemaRef ds:uri="http://lrs.lt/TAIS/DocParts"/>
  </ds:schemaRefs>
</ds:datastoreItem>
</file>

<file path=docProps/app.xml><?xml version="1.0" encoding="utf-8"?>
<Properties xmlns="http://schemas.openxmlformats.org/officeDocument/2006/extended-properties">
  <Template>Normal.dotm</Template>
  <TotalTime>15</TotalTime>
  <Pages>2</Pages>
  <Words>4906</Words>
  <Characters>2797</Characters>
  <Application>Microsoft Office Word</Application>
  <DocSecurity>0</DocSecurity>
  <Lines>23</Lines>
  <Paragraphs>15</Paragraphs>
  <ScaleCrop>false</ScaleCrop>
  <Company/>
  <LinksUpToDate>false</LinksUpToDate>
  <CharactersWithSpaces>7688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2015-01-21T10:32:00Z</dcterms:created>
  <dc:creator>User</dc:creator>
  <lastModifiedBy>TRAPINSKIENĖ Aušrinė</lastModifiedBy>
  <dcterms:modified xsi:type="dcterms:W3CDTF">2020-11-06T07:50:00Z</dcterms:modified>
  <revision>9</revision>
</coreProperties>
</file>