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2019-05-01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9"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2"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3"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06ad1a1386c445f296e0b41d1443610e"/>
                <w:lock w:val="sdtLocked"/>
                <w:richText/>
              </w:sdtPr>
              <w:sdtContent>
                <w:p>
                  <w:pPr>
                    <w:ind w:firstLine="720"/>
                    <w:contextualSpacing/>
                    <w:rPr>
                      <w:b/>
                      <w:bCs/>
                      <w:color w:val="000000"/>
                      <w:sz w:val="22"/>
                      <w:szCs w:val="22"/>
                      <w:lang w:eastAsia="lt-LT"/>
                    </w:rPr>
                  </w:pPr>
                  <w:sdt>
                    <w:sdtPr>
                      <w:alias w:val="Numeris"/>
                      <w:tag w:val="nr_06ad1a1386c445f296e0b41d1443610e"/>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06ad1a1386c445f296e0b41d1443610e"/>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2 str. 6 d."/>
                    <w:tag w:val="part_2fc80af7793f4fc2abe49dbfcf736c39"/>
                    <w:lock w:val="sdtLocked"/>
                    <w:richText/>
                  </w:sdtPr>
                  <w:sdtContent>
                    <w:p>
                      <w:pPr>
                        <w:tabs>
                          <w:tab w:val="left" w:pos="993"/>
                        </w:tabs>
                        <w:ind w:firstLine="720"/>
                        <w:contextualSpacing/>
                        <w:jc w:val="both"/>
                        <w:rPr>
                          <w:sz w:val="22"/>
                          <w:szCs w:val="22"/>
                        </w:rPr>
                      </w:pPr>
                      <w:sdt>
                        <w:sdtPr>
                          <w:alias w:val="Numeris"/>
                          <w:tag w:val="nr_2fc80af7793f4fc2abe49dbfcf736c39"/>
                          <w:lock w:val="sdtLocked"/>
                          <w:richText/>
                        </w:sdtPr>
                        <w:sdtContent>
                          <w:r>
                            <w:rPr>
                              <w:sz w:val="22"/>
                              <w:szCs w:val="22"/>
                            </w:rPr>
                            <w:t>6</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sdtContent>
                </w:sdt>
                <w:sdt>
                  <w:sdtPr>
                    <w:alias w:val="2 str. 7 d."/>
                    <w:tag w:val="part_2b0ba3fee04a4815aaf07bb83e815c67"/>
                    <w:lock w:val="sdtLocked"/>
                    <w:richText/>
                  </w:sdtPr>
                  <w:sdtContent>
                    <w:p>
                      <w:pPr>
                        <w:tabs>
                          <w:tab w:val="left" w:pos="993"/>
                        </w:tabs>
                        <w:ind w:firstLine="720"/>
                        <w:contextualSpacing/>
                        <w:jc w:val="both"/>
                        <w:rPr>
                          <w:sz w:val="22"/>
                          <w:szCs w:val="22"/>
                        </w:rPr>
                      </w:pPr>
                      <w:sdt>
                        <w:sdtPr>
                          <w:alias w:val="Numeris"/>
                          <w:tag w:val="nr_2b0ba3fee04a4815aaf07bb83e815c67"/>
                          <w:lock w:val="sdtLocked"/>
                          <w:richText/>
                        </w:sdtPr>
                        <w:sdtContent>
                          <w:r>
                            <w:rPr>
                              <w:sz w:val="22"/>
                              <w:szCs w:val="22"/>
                            </w:rPr>
                            <w:t>7</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sdtContent>
                </w:sdt>
                <w:sdt>
                  <w:sdtPr>
                    <w:alias w:val="2 str. 8 d."/>
                    <w:tag w:val="part_1b0d631d3c704d5bb67e8d4470518ca0"/>
                    <w:lock w:val="sdtLocked"/>
                    <w:richText/>
                  </w:sdtPr>
                  <w:sdtContent>
                    <w:p>
                      <w:pPr>
                        <w:tabs>
                          <w:tab w:val="left" w:pos="993"/>
                        </w:tabs>
                        <w:ind w:firstLine="720"/>
                        <w:contextualSpacing/>
                        <w:jc w:val="both"/>
                        <w:rPr>
                          <w:sz w:val="22"/>
                          <w:szCs w:val="22"/>
                        </w:rPr>
                      </w:pPr>
                      <w:sdt>
                        <w:sdtPr>
                          <w:alias w:val="Numeris"/>
                          <w:tag w:val="nr_1b0d631d3c704d5bb67e8d4470518ca0"/>
                          <w:lock w:val="sdtLocked"/>
                          <w:richText/>
                        </w:sdtPr>
                        <w:sdtContent>
                          <w:r>
                            <w:rPr>
                              <w:sz w:val="22"/>
                              <w:szCs w:val="22"/>
                            </w:rPr>
                            <w:t>8</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sdtContent>
                </w:sdt>
                <w:sdt>
                  <w:sdtPr>
                    <w:alias w:val="2 str. 9 d."/>
                    <w:tag w:val="part_900f3f3aa74b4b1d82c9c793bc4d68f0"/>
                    <w:lock w:val="sdtLocked"/>
                    <w:richText/>
                  </w:sdtPr>
                  <w:sdtContent>
                    <w:p>
                      <w:pPr>
                        <w:tabs>
                          <w:tab w:val="left" w:pos="993"/>
                        </w:tabs>
                        <w:ind w:firstLine="720"/>
                        <w:contextualSpacing/>
                        <w:jc w:val="both"/>
                        <w:rPr>
                          <w:sz w:val="22"/>
                          <w:szCs w:val="22"/>
                        </w:rPr>
                      </w:pPr>
                      <w:sdt>
                        <w:sdtPr>
                          <w:alias w:val="Numeris"/>
                          <w:tag w:val="nr_900f3f3aa74b4b1d82c9c793bc4d68f0"/>
                          <w:lock w:val="sdtLocked"/>
                          <w:richText/>
                        </w:sdtPr>
                        <w:sdtContent>
                          <w:r>
                            <w:rPr>
                              <w:sz w:val="22"/>
                              <w:szCs w:val="22"/>
                            </w:rPr>
                            <w:t>9</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sdtContent>
                </w:sdt>
                <w:sdt>
                  <w:sdtPr>
                    <w:alias w:val="2 str. 10 d."/>
                    <w:tag w:val="part_fef1b8ba5f37433ca6d0a64795721b5c"/>
                    <w:lock w:val="sdtLocked"/>
                    <w:richText/>
                  </w:sdtPr>
                  <w:sdtContent>
                    <w:p>
                      <w:pPr>
                        <w:tabs>
                          <w:tab w:val="left" w:pos="1134"/>
                        </w:tabs>
                        <w:ind w:firstLine="720"/>
                        <w:contextualSpacing/>
                        <w:jc w:val="both"/>
                        <w:rPr>
                          <w:sz w:val="22"/>
                          <w:szCs w:val="22"/>
                        </w:rPr>
                      </w:pPr>
                      <w:sdt>
                        <w:sdtPr>
                          <w:alias w:val="Numeris"/>
                          <w:tag w:val="nr_fef1b8ba5f37433ca6d0a64795721b5c"/>
                          <w:lock w:val="sdtLocked"/>
                          <w:richText/>
                        </w:sdtPr>
                        <w:sdtContent>
                          <w:r>
                            <w:rPr>
                              <w:sz w:val="22"/>
                              <w:szCs w:val="22"/>
                            </w:rPr>
                            <w:t>10</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sdtContent>
                </w:sdt>
                <w:sdt>
                  <w:sdtPr>
                    <w:alias w:val="2 str. 11 d."/>
                    <w:tag w:val="part_eb77bf6c9c6c4bdc96b96d9ff53b676d"/>
                    <w:lock w:val="sdtLocked"/>
                    <w:richText/>
                  </w:sdtPr>
                  <w:sdtContent>
                    <w:p>
                      <w:pPr>
                        <w:tabs>
                          <w:tab w:val="left" w:pos="1134"/>
                        </w:tabs>
                        <w:ind w:firstLine="720"/>
                        <w:contextualSpacing/>
                        <w:jc w:val="both"/>
                        <w:rPr>
                          <w:sz w:val="22"/>
                          <w:szCs w:val="22"/>
                        </w:rPr>
                      </w:pPr>
                      <w:sdt>
                        <w:sdtPr>
                          <w:alias w:val="Numeris"/>
                          <w:tag w:val="nr_eb77bf6c9c6c4bdc96b96d9ff53b676d"/>
                          <w:lock w:val="sdtLocked"/>
                          <w:richText/>
                        </w:sdtPr>
                        <w:sdtContent>
                          <w:r>
                            <w:rPr>
                              <w:sz w:val="22"/>
                              <w:szCs w:val="22"/>
                            </w:rPr>
                            <w:t>11</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sdtContent>
                </w:sdt>
                <w:sdt>
                  <w:sdtPr>
                    <w:alias w:val="2 str. 12 d."/>
                    <w:tag w:val="part_cec9e4627a59427aae55ec687ab4e4a6"/>
                    <w:lock w:val="sdtLocked"/>
                    <w:richText/>
                  </w:sdtPr>
                  <w:sdtContent>
                    <w:p>
                      <w:pPr>
                        <w:tabs>
                          <w:tab w:val="left" w:pos="1134"/>
                        </w:tabs>
                        <w:ind w:firstLine="720"/>
                        <w:contextualSpacing/>
                        <w:jc w:val="both"/>
                        <w:rPr>
                          <w:sz w:val="22"/>
                          <w:szCs w:val="22"/>
                        </w:rPr>
                      </w:pPr>
                      <w:sdt>
                        <w:sdtPr>
                          <w:alias w:val="Numeris"/>
                          <w:tag w:val="nr_cec9e4627a59427aae55ec687ab4e4a6"/>
                          <w:lock w:val="sdtLocked"/>
                          <w:richText/>
                        </w:sdtPr>
                        <w:sdtContent>
                          <w:r>
                            <w:rPr>
                              <w:sz w:val="22"/>
                              <w:szCs w:val="22"/>
                            </w:rPr>
                            <w:t>12</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sdtContent>
                </w:sdt>
                <w:sdt>
                  <w:sdtPr>
                    <w:alias w:val="2 str. 13 d."/>
                    <w:tag w:val="part_e58ba2e2710f436ab23f7f09cdaa91db"/>
                    <w:lock w:val="sdtLocked"/>
                    <w:richText/>
                  </w:sdtPr>
                  <w:sdtContent>
                    <w:p>
                      <w:pPr>
                        <w:tabs>
                          <w:tab w:val="left" w:pos="1134"/>
                        </w:tabs>
                        <w:ind w:firstLine="720"/>
                        <w:contextualSpacing/>
                        <w:jc w:val="both"/>
                        <w:rPr>
                          <w:sz w:val="22"/>
                          <w:szCs w:val="22"/>
                        </w:rPr>
                      </w:pPr>
                      <w:sdt>
                        <w:sdtPr>
                          <w:alias w:val="Numeris"/>
                          <w:tag w:val="nr_e58ba2e2710f436ab23f7f09cdaa91db"/>
                          <w:lock w:val="sdtLocked"/>
                          <w:richText/>
                        </w:sdtPr>
                        <w:sdtContent>
                          <w:r>
                            <w:rPr>
                              <w:sz w:val="22"/>
                              <w:szCs w:val="22"/>
                            </w:rPr>
                            <w:t>13</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sdtContent>
                </w:sdt>
                <w:sdt>
                  <w:sdtPr>
                    <w:alias w:val="2 str. 14 d."/>
                    <w:tag w:val="part_44dd865e1ced4219b23d4f28fcdd9364"/>
                    <w:lock w:val="sdtLocked"/>
                    <w:richText/>
                  </w:sdtPr>
                  <w:sdtContent>
                    <w:p>
                      <w:pPr>
                        <w:tabs>
                          <w:tab w:val="left" w:pos="1134"/>
                        </w:tabs>
                        <w:ind w:firstLine="720"/>
                        <w:contextualSpacing/>
                        <w:jc w:val="both"/>
                        <w:rPr>
                          <w:sz w:val="22"/>
                          <w:szCs w:val="22"/>
                        </w:rPr>
                      </w:pPr>
                      <w:sdt>
                        <w:sdtPr>
                          <w:alias w:val="Numeris"/>
                          <w:tag w:val="nr_44dd865e1ced4219b23d4f28fcdd9364"/>
                          <w:lock w:val="sdtLocked"/>
                          <w:richText/>
                        </w:sdtPr>
                        <w:sdtContent>
                          <w:r>
                            <w:rPr>
                              <w:sz w:val="22"/>
                              <w:szCs w:val="22"/>
                            </w:rPr>
                            <w:t>14</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sdtContent>
                </w:sdt>
                <w:sdt>
                  <w:sdtPr>
                    <w:alias w:val="2 str. 15 d."/>
                    <w:tag w:val="part_cf79194b0ba14d2c9ce360d5977e20d8"/>
                    <w:lock w:val="sdtLocked"/>
                    <w:richText/>
                  </w:sdtPr>
                  <w:sdtContent>
                    <w:p>
                      <w:pPr>
                        <w:tabs>
                          <w:tab w:val="left" w:pos="1134"/>
                        </w:tabs>
                        <w:ind w:firstLine="720"/>
                        <w:contextualSpacing/>
                        <w:jc w:val="both"/>
                        <w:rPr>
                          <w:sz w:val="22"/>
                          <w:szCs w:val="22"/>
                        </w:rPr>
                      </w:pPr>
                      <w:sdt>
                        <w:sdtPr>
                          <w:alias w:val="Numeris"/>
                          <w:tag w:val="nr_cf79194b0ba14d2c9ce360d5977e20d8"/>
                          <w:lock w:val="sdtLocked"/>
                          <w:richText/>
                        </w:sdtPr>
                        <w:sdtContent>
                          <w:r>
                            <w:rPr>
                              <w:sz w:val="22"/>
                              <w:szCs w:val="22"/>
                            </w:rPr>
                            <w:t>15</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sdtContent>
                </w:sdt>
                <w:sdt>
                  <w:sdtPr>
                    <w:alias w:val="2 str. 16 d."/>
                    <w:tag w:val="part_f729304c102040b099d73d45e10c719f"/>
                    <w:lock w:val="sdtLocked"/>
                    <w:richText/>
                  </w:sdtPr>
                  <w:sdtContent>
                    <w:p>
                      <w:pPr>
                        <w:tabs>
                          <w:tab w:val="left" w:pos="1134"/>
                        </w:tabs>
                        <w:ind w:firstLine="720"/>
                        <w:contextualSpacing/>
                        <w:jc w:val="both"/>
                        <w:rPr>
                          <w:sz w:val="22"/>
                          <w:szCs w:val="22"/>
                        </w:rPr>
                      </w:pPr>
                      <w:sdt>
                        <w:sdtPr>
                          <w:alias w:val="Numeris"/>
                          <w:tag w:val="nr_f729304c102040b099d73d45e10c719f"/>
                          <w:lock w:val="sdtLocked"/>
                          <w:richText/>
                        </w:sdtPr>
                        <w:sdtContent>
                          <w:r>
                            <w:rPr>
                              <w:sz w:val="22"/>
                              <w:szCs w:val="22"/>
                            </w:rPr>
                            <w:t>16</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sdtContent>
                </w:sdt>
                <w:sdt>
                  <w:sdtPr>
                    <w:alias w:val="2 str. 17 d."/>
                    <w:tag w:val="part_57d25960493b48e2a23a2c38ade9d343"/>
                    <w:lock w:val="sdtLocked"/>
                    <w:richText/>
                  </w:sdtPr>
                  <w:sdtContent>
                    <w:p>
                      <w:pPr>
                        <w:tabs>
                          <w:tab w:val="left" w:pos="1134"/>
                        </w:tabs>
                        <w:ind w:firstLine="720"/>
                        <w:contextualSpacing/>
                        <w:jc w:val="both"/>
                        <w:rPr>
                          <w:sz w:val="22"/>
                          <w:szCs w:val="22"/>
                        </w:rPr>
                      </w:pPr>
                      <w:sdt>
                        <w:sdtPr>
                          <w:alias w:val="Numeris"/>
                          <w:tag w:val="nr_57d25960493b48e2a23a2c38ade9d343"/>
                          <w:lock w:val="sdtLocked"/>
                          <w:richText/>
                        </w:sdtPr>
                        <w:sdtContent>
                          <w:r>
                            <w:rPr>
                              <w:sz w:val="22"/>
                              <w:szCs w:val="22"/>
                            </w:rPr>
                            <w:t>17</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sdtContent>
                </w:sdt>
                <w:sdt>
                  <w:sdtPr>
                    <w:alias w:val="2 str. 18 d."/>
                    <w:tag w:val="part_4b21ba00e6704440a7f10dcd72045238"/>
                    <w:lock w:val="sdtLocked"/>
                    <w:richText/>
                  </w:sdtPr>
                  <w:sdtContent>
                    <w:p>
                      <w:pPr>
                        <w:tabs>
                          <w:tab w:val="left" w:pos="1134"/>
                        </w:tabs>
                        <w:ind w:firstLine="720"/>
                        <w:contextualSpacing/>
                        <w:jc w:val="both"/>
                        <w:rPr>
                          <w:sz w:val="22"/>
                          <w:szCs w:val="22"/>
                        </w:rPr>
                      </w:pPr>
                      <w:sdt>
                        <w:sdtPr>
                          <w:alias w:val="Numeris"/>
                          <w:tag w:val="nr_4b21ba00e6704440a7f10dcd72045238"/>
                          <w:lock w:val="sdtLocked"/>
                          <w:richText/>
                        </w:sdtPr>
                        <w:sdtContent>
                          <w:r>
                            <w:rPr>
                              <w:sz w:val="22"/>
                              <w:szCs w:val="22"/>
                            </w:rPr>
                            <w:t>18</w:t>
                          </w:r>
                        </w:sdtContent>
                      </w:sdt>
                      <w:r>
                        <w:rPr>
                          <w:sz w:val="22"/>
                          <w:szCs w:val="22"/>
                        </w:rPr>
                        <w:t xml:space="preserve">. </w:t>
                      </w:r>
                      <w:r>
                        <w:rPr>
                          <w:b/>
                          <w:sz w:val="22"/>
                          <w:szCs w:val="22"/>
                        </w:rPr>
                        <w:t xml:space="preserve">Viešoji transporto infrastruktūra </w:t>
                      </w:r>
                      <w:r>
                        <w:rPr>
                          <w:sz w:val="22"/>
                          <w:szCs w:val="22"/>
                        </w:rPr>
                        <w:t>– transporto infrastruktūra, nuosavybės teise priklausanti valstybei ar savivaldybėms ir skirta keleiviams, bagažui ir (arba) kroviniams</w:t>
                      </w:r>
                      <w:r>
                        <w:rPr>
                          <w:b/>
                          <w:sz w:val="22"/>
                          <w:szCs w:val="22"/>
                        </w:rPr>
                        <w:t xml:space="preserve"> </w:t>
                      </w:r>
                      <w:r>
                        <w:rPr>
                          <w:sz w:val="22"/>
                          <w:szCs w:val="22"/>
                        </w:rPr>
                        <w:t>vežti.</w:t>
                      </w:r>
                    </w:p>
                  </w:sdtContent>
                </w:sdt>
                <w:sdt>
                  <w:sdtPr>
                    <w:alias w:val="2 str. 19 d."/>
                    <w:tag w:val="part_6157539b89014e6dbc446a446a3c6fb0"/>
                    <w:lock w:val="sdtLocked"/>
                    <w:richText/>
                  </w:sdtPr>
                  <w:sdtContent>
                    <w:p>
                      <w:pPr>
                        <w:ind w:firstLine="720"/>
                        <w:jc w:val="both"/>
                      </w:pPr>
                      <w:sdt>
                        <w:sdtPr>
                          <w:alias w:val="Numeris"/>
                          <w:tag w:val="nr_6157539b89014e6dbc446a446a3c6fb0"/>
                          <w:lock w:val="sdtLocked"/>
                          <w:richText/>
                        </w:sdtPr>
                        <w:sdtContent>
                          <w:r>
                            <w:rPr>
                              <w:sz w:val="22"/>
                              <w:szCs w:val="22"/>
                            </w:rPr>
                            <w:t>19</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6"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7"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8"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da7bba15cb324d74a84e8e908eff57c0"/>
                        <w:lock w:val="sdtLocked"/>
                        <w:richText/>
                      </w:sdtPr>
                      <w:sdtContent>
                        <w:p>
                          <w:pPr>
                            <w:ind w:firstLine="720"/>
                            <w:jc w:val="both"/>
                            <w:rPr>
                              <w:color w:val="000000"/>
                              <w:sz w:val="22"/>
                            </w:rPr>
                          </w:pPr>
                          <w:sdt>
                            <w:sdtPr>
                              <w:alias w:val="Numeris"/>
                              <w:tag w:val="nr_da7bba15cb324d74a84e8e908eff57c0"/>
                              <w:lock w:val="sdtLocked"/>
                              <w:richText/>
                            </w:sdtPr>
                            <w:sdtContent>
                              <w:r>
                                <w:rPr>
                                  <w:color w:val="000000"/>
                                  <w:sz w:val="22"/>
                                </w:rPr>
                                <w:t>4</w:t>
                              </w:r>
                            </w:sdtContent>
                          </w:sdt>
                          <w:r>
                            <w:rPr>
                              <w:color w:val="000000"/>
                              <w:sz w:val="22"/>
                            </w:rPr>
                            <w:t>) nustato privalomus reikalavimus transporto veiklai vykdyti valstybės įmonėms, valstybės institucijoms bei asociacijoms, transporto infrastruktūros objektų valdytojams, transporto infrastruktūros objektų naudotojams;</w:t>
                          </w:r>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9"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878671a8252d451c808681dcc9b0c2fb"/>
                <w:lock w:val="sdtLocked"/>
                <w:richText/>
              </w:sdtPr>
              <w:sdtContent>
                <w:p>
                  <w:pPr>
                    <w:ind w:firstLine="720"/>
                    <w:jc w:val="both"/>
                    <w:rPr>
                      <w:b/>
                      <w:color w:val="000000"/>
                      <w:sz w:val="22"/>
                    </w:rPr>
                  </w:pPr>
                  <w:sdt>
                    <w:sdtPr>
                      <w:alias w:val="Numeris"/>
                      <w:tag w:val="nr_878671a8252d451c808681dcc9b0c2fb"/>
                      <w:lock w:val="sdtLocked"/>
                      <w:richText/>
                    </w:sdtPr>
                    <w:sdtContent>
                      <w:r>
                        <w:rPr>
                          <w:b/>
                          <w:color w:val="000000"/>
                          <w:sz w:val="22"/>
                        </w:rPr>
                        <w:t>6</w:t>
                      </w:r>
                    </w:sdtContent>
                  </w:sdt>
                  <w:r>
                    <w:rPr>
                      <w:b/>
                      <w:color w:val="000000"/>
                      <w:sz w:val="22"/>
                    </w:rPr>
                    <w:t xml:space="preserve"> straipsnis. </w:t>
                  </w:r>
                  <w:sdt>
                    <w:sdtPr>
                      <w:alias w:val="Pavadinimas"/>
                      <w:tag w:val="title_878671a8252d451c808681dcc9b0c2fb"/>
                      <w:lock w:val="sdtLocked"/>
                      <w:richText/>
                    </w:sdtPr>
                    <w:sdtContent>
                      <w:r>
                        <w:rPr>
                          <w:b/>
                          <w:color w:val="000000"/>
                          <w:sz w:val="22"/>
                        </w:rPr>
                        <w:t>Transporto objektų nuosavybė</w:t>
                      </w:r>
                    </w:sdtContent>
                  </w:sdt>
                </w:p>
                <w:sdt>
                  <w:sdtPr>
                    <w:alias w:val="6 str. 1 d."/>
                    <w:tag w:val="part_604091521aa9415ab067a2e5e4bfa632"/>
                    <w:lock w:val="sdtLocked"/>
                    <w:richText/>
                  </w:sdtPr>
                  <w:sdtContent>
                    <w:p>
                      <w:pPr>
                        <w:tabs>
                          <w:tab w:val="left" w:pos="360"/>
                        </w:tabs>
                        <w:ind w:firstLine="720"/>
                        <w:jc w:val="both"/>
                        <w:rPr>
                          <w:sz w:val="22"/>
                        </w:rPr>
                      </w:pPr>
                      <w:sdt>
                        <w:sdtPr>
                          <w:alias w:val="Numeris"/>
                          <w:tag w:val="nr_604091521aa9415ab067a2e5e4bfa632"/>
                          <w:lock w:val="sdtLocked"/>
                          <w:richText/>
                        </w:sdtPr>
                        <w:sdtContent>
                          <w:r>
                            <w:rPr>
                              <w:sz w:val="22"/>
                              <w:szCs w:val="22"/>
                            </w:rPr>
                            <w:t>1</w:t>
                          </w:r>
                        </w:sdtContent>
                      </w:sdt>
                      <w:r>
                        <w:rPr>
                          <w:sz w:val="22"/>
                          <w:szCs w:val="22"/>
                        </w:rPr>
                        <w:t>. Transporto objektai nuosavybės teise gali priklausyti Lietuvos valstybei, savivaldybėms, Lietuvos Respublikos ir užsienio fiziniams asmenims ir juridiniams asmenims.</w:t>
                      </w:r>
                    </w:p>
                  </w:sdtContent>
                </w:sdt>
                <w:sdt>
                  <w:sdtPr>
                    <w:alias w:val="6 str. 2 d."/>
                    <w:tag w:val="part_3e0379db1b6e45ba96338618fa26b298"/>
                    <w:lock w:val="sdtLocked"/>
                    <w:richText/>
                  </w:sdtPr>
                  <w:sdtContent>
                    <w:p>
                      <w:pPr>
                        <w:tabs>
                          <w:tab w:val="left" w:pos="0"/>
                          <w:tab w:val="left" w:pos="360"/>
                        </w:tabs>
                        <w:ind w:firstLine="720"/>
                        <w:jc w:val="both"/>
                        <w:rPr>
                          <w:color w:val="000000"/>
                          <w:sz w:val="22"/>
                        </w:rPr>
                      </w:pPr>
                      <w:sdt>
                        <w:sdtPr>
                          <w:alias w:val="Numeris"/>
                          <w:tag w:val="nr_3e0379db1b6e45ba96338618fa26b298"/>
                          <w:lock w:val="sdtLocked"/>
                          <w:richText/>
                        </w:sdtPr>
                        <w:sdtContent>
                          <w:r>
                            <w:rPr>
                              <w:color w:val="000000"/>
                              <w:sz w:val="22"/>
                            </w:rPr>
                            <w:t>2</w:t>
                          </w:r>
                        </w:sdtContent>
                      </w:sdt>
                      <w:r>
                        <w:rPr>
                          <w:color w:val="000000"/>
                          <w:sz w:val="22"/>
                        </w:rPr>
                        <w:t xml:space="preserve">. Viešojo naudojimo geležinkeliai, valstybinės reikšmės keliai, tarptautinių oro uostų infrastruktūra, skrydžių valdymo sistemos įrenginiai, valstybinės reikšmės vidaus vandenų keliai, valstybinių jūrų </w:t>
                      </w:r>
                      <w:r>
                        <w:rPr>
                          <w:sz w:val="22"/>
                        </w:rPr>
                        <w:t>uostų infrastruktūra</w:t>
                      </w:r>
                      <w:r>
                        <w:rPr>
                          <w:color w:val="000000"/>
                          <w:sz w:val="22"/>
                        </w:rPr>
                        <w:t xml:space="preserve"> yra Lietuvos valstybės nuosavybė.</w:t>
                      </w:r>
                    </w:p>
                  </w:sdtContent>
                </w:sdt>
                <w:sdt>
                  <w:sdtPr>
                    <w:alias w:val="6 str. 3 d."/>
                    <w:tag w:val="part_8162792dc9044fa982afe9dfc23ef012"/>
                    <w:lock w:val="sdtLocked"/>
                    <w:richText/>
                  </w:sdtPr>
                  <w:sdtContent>
                    <w:p>
                      <w:pPr>
                        <w:tabs>
                          <w:tab w:val="left" w:pos="0"/>
                          <w:tab w:val="left" w:pos="360"/>
                        </w:tabs>
                        <w:ind w:firstLine="720"/>
                        <w:jc w:val="both"/>
                        <w:rPr>
                          <w:color w:val="000000"/>
                          <w:sz w:val="22"/>
                        </w:rPr>
                      </w:pPr>
                      <w:sdt>
                        <w:sdtPr>
                          <w:alias w:val="Numeris"/>
                          <w:tag w:val="nr_8162792dc9044fa982afe9dfc23ef012"/>
                          <w:lock w:val="sdtLocked"/>
                          <w:richText/>
                        </w:sdtPr>
                        <w:sdtContent>
                          <w:r>
                            <w:rPr>
                              <w:color w:val="000000"/>
                              <w:sz w:val="22"/>
                            </w:rPr>
                            <w:t>3</w:t>
                          </w:r>
                        </w:sdtContent>
                      </w:sdt>
                      <w:r>
                        <w:rPr>
                          <w:color w:val="000000"/>
                          <w:sz w:val="22"/>
                        </w:rPr>
                        <w:t>. Viešosios transporto infrastruktūros objektais negali būti užtikrinami trečiųjų asmenų įsipareigojimai. Į juos negali būti nukreipti išieškojimai pagal kreditorių reikalavimus.</w:t>
                      </w:r>
                    </w:p>
                  </w:sdtContent>
                </w:sdt>
                <w:sdt>
                  <w:sdtPr>
                    <w:alias w:val="6 str. 4 d."/>
                    <w:tag w:val="part_68fc5886e8f246c19ed26b3eba7e062e"/>
                    <w:lock w:val="sdtLocked"/>
                    <w:richText/>
                  </w:sdtPr>
                  <w:sdtContent>
                    <w:p>
                      <w:pPr>
                        <w:tabs>
                          <w:tab w:val="left" w:pos="0"/>
                          <w:tab w:val="left" w:pos="360"/>
                        </w:tabs>
                        <w:ind w:firstLine="720"/>
                        <w:jc w:val="both"/>
                      </w:pPr>
                      <w:sdt>
                        <w:sdtPr>
                          <w:alias w:val="Numeris"/>
                          <w:tag w:val="nr_68fc5886e8f246c19ed26b3eba7e062e"/>
                          <w:lock w:val="sdtLocked"/>
                          <w:richText/>
                        </w:sdtPr>
                        <w:sdtContent>
                          <w:r>
                            <w:rPr>
                              <w:color w:val="000000"/>
                              <w:sz w:val="22"/>
                            </w:rPr>
                            <w:t>4</w:t>
                          </w:r>
                        </w:sdtContent>
                      </w:sdt>
                      <w:r>
                        <w:rPr>
                          <w:color w:val="000000"/>
                          <w:sz w:val="22"/>
                        </w:rPr>
                        <w:t>. Viešosios transporto infrastruktūros objektus, žemę, akvatoriją (vandens plotus), kitą priskirtą ar sukurtą turtą viešosios transporto infrastruktūros valdytojas valdo, naudoja bei disponuoja turto patikėjimo teisėmis vadovaudamasis šiuo ir kitais įstatymais, administraciniu aktu ar sutartimi.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0" w:history="1">
                    <w:r>
                      <w:rPr>
                        <w:rFonts w:eastAsia="MS Mincho"/>
                        <w:i/>
                        <w:iCs/>
                        <w:color w:val="0000FF"/>
                        <w:sz w:val="20"/>
                        <w:u w:val="single"/>
                      </w:rPr>
                      <w:t>IX-1866</w:t>
                    </w:r>
                  </w:hyperlink>
                  <w:r>
                    <w:rPr>
                      <w:rFonts w:eastAsia="MS Mincho"/>
                      <w:i/>
                      <w:iCs/>
                      <w:sz w:val="20"/>
                    </w:rPr>
                    <w:t>, 2003-12-02, Žin., 2003, Nr. 119-5403 (2003-12-18)</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IX-2196</w:t>
                    </w:r>
                  </w:hyperlink>
                  <w:r>
                    <w:rPr>
                      <w:rFonts w:eastAsia="MS Mincho"/>
                      <w:i/>
                      <w:iCs/>
                      <w:sz w:val="20"/>
                    </w:rPr>
                    <w:t>, 2004-04-29, Žin., 2004, Nr. 73-2530 (2004-04-30)</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tabs>
                      <w:tab w:val="left" w:pos="0"/>
                      <w:tab w:val="left" w:pos="360"/>
                    </w:tabs>
                    <w:ind w:firstLine="720"/>
                    <w:jc w:val="both"/>
                    <w:rPr>
                      <w:color w:val="000000"/>
                      <w:sz w:val="22"/>
                    </w:rPr>
                  </w:pPr>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c97449a9969a469ca7ea0324d3836059"/>
                    <w:lock w:val="sdtLocked"/>
                    <w:richText/>
                  </w:sdtPr>
                  <w:sdtContent>
                    <w:p>
                      <w:pPr>
                        <w:ind w:firstLine="720"/>
                        <w:jc w:val="both"/>
                        <w:rPr>
                          <w:b/>
                          <w:color w:val="000000"/>
                          <w:sz w:val="22"/>
                        </w:rPr>
                      </w:pPr>
                      <w:sdt>
                        <w:sdtPr>
                          <w:alias w:val="Numeris"/>
                          <w:tag w:val="nr_c97449a9969a469ca7ea0324d3836059"/>
                          <w:lock w:val="sdtLocked"/>
                          <w:richText/>
                        </w:sdtPr>
                        <w:sdtContent>
                          <w:r>
                            <w:rPr>
                              <w:color w:val="000000"/>
                              <w:sz w:val="22"/>
                              <w:szCs w:val="22"/>
                              <w:lang w:eastAsia="lt-LT"/>
                            </w:rPr>
                            <w:t>3</w:t>
                          </w:r>
                        </w:sdtContent>
                      </w:sdt>
                      <w:r>
                        <w:rPr>
                          <w:color w:val="000000"/>
                          <w:sz w:val="22"/>
                          <w:szCs w:val="22"/>
                          <w:lang w:eastAsia="lt-LT"/>
                        </w:rPr>
                        <w:t>. Lėšos, gautos už naudojimąsi viešąja transporto infrastruktūra, naudojamos tik šios infrastruktūros funkcionavimui užtikrinti ir šio Įstatymo 15 straipsnio 2 dalyje numatytoms programoms finansuoti. Šis reikalavimas netaikomas tais atvejais, kai viešojo transporto infrastruktūros valdymas perduodamas investuotojui teisės aktų nustatyta tvarka pagal koncesijos ar valdžios ir privataus subjektų partnerystės sutartį</w:t>
                      </w:r>
                      <w:r>
                        <w:rPr>
                          <w:bCs/>
                          <w:sz w:val="22"/>
                          <w:szCs w:val="22"/>
                          <w:lang w:eastAsia="lt-LT"/>
                        </w:rPr>
                        <w:t>, kurioje nustatoma pareiga investuotojui užtikrinti tinkamą perduotos viešosios transporto infrastruktūros priežiūrą</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cc7f9015600e43a2bb4b5a5c27c657ff"/>
                <w:lock w:val="sdtLocked"/>
                <w:richText/>
              </w:sdtPr>
              <w:sdtContent>
                <w:p>
                  <w:pPr>
                    <w:ind w:firstLine="720"/>
                    <w:jc w:val="both"/>
                    <w:rPr>
                      <w:sz w:val="22"/>
                      <w:szCs w:val="22"/>
                    </w:rPr>
                  </w:pPr>
                  <w:sdt>
                    <w:sdtPr>
                      <w:alias w:val="Numeris"/>
                      <w:tag w:val="nr_cc7f9015600e43a2bb4b5a5c27c657ff"/>
                      <w:lock w:val="sdtLocked"/>
                      <w:richText/>
                    </w:sdtPr>
                    <w:sdtContent>
                      <w:r>
                        <w:rPr>
                          <w:b/>
                          <w:sz w:val="22"/>
                          <w:szCs w:val="22"/>
                        </w:rPr>
                        <w:t>11</w:t>
                      </w:r>
                    </w:sdtContent>
                  </w:sdt>
                  <w:r>
                    <w:rPr>
                      <w:b/>
                      <w:sz w:val="22"/>
                      <w:szCs w:val="22"/>
                    </w:rPr>
                    <w:t xml:space="preserve"> straipsnis. </w:t>
                  </w:r>
                  <w:sdt>
                    <w:sdtPr>
                      <w:alias w:val="Pavadinimas"/>
                      <w:tag w:val="title_cc7f9015600e43a2bb4b5a5c27c657ff"/>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566dcd1003ee4d4199388b6a4785721b"/>
                    <w:lock w:val="sdtLocked"/>
                    <w:richText/>
                  </w:sdtPr>
                  <w:sdtContent>
                    <w:p>
                      <w:pPr>
                        <w:ind w:firstLine="720"/>
                        <w:contextualSpacing/>
                        <w:jc w:val="both"/>
                        <w:rPr>
                          <w:sz w:val="22"/>
                          <w:szCs w:val="22"/>
                        </w:rPr>
                      </w:pPr>
                      <w:sdt>
                        <w:sdtPr>
                          <w:alias w:val="Numeris"/>
                          <w:tag w:val="nr_566dcd1003ee4d4199388b6a4785721b"/>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w:t>
                      </w:r>
                    </w:p>
                  </w:sdtContent>
                </w:sdt>
                <w:sdt>
                  <w:sdtPr>
                    <w:alias w:val="11 str. 3 d."/>
                    <w:tag w:val="part_8e8ae3e743114a49ba8b924349cd5d40"/>
                    <w:lock w:val="sdtLocked"/>
                    <w:richText/>
                  </w:sdtPr>
                  <w:sdtContent>
                    <w:p>
                      <w:pPr>
                        <w:ind w:firstLine="720"/>
                        <w:jc w:val="both"/>
                        <w:rPr>
                          <w:sz w:val="22"/>
                          <w:szCs w:val="22"/>
                        </w:rPr>
                      </w:pPr>
                      <w:sdt>
                        <w:sdtPr>
                          <w:alias w:val="Numeris"/>
                          <w:tag w:val="nr_8e8ae3e743114a49ba8b924349cd5d40"/>
                          <w:lock w:val="sdtLocked"/>
                          <w:richText/>
                        </w:sdtPr>
                        <w:sdtContent>
                          <w:r>
                            <w:rPr>
                              <w:sz w:val="22"/>
                              <w:szCs w:val="22"/>
                              <w:lang w:eastAsia="lt-LT"/>
                            </w:rPr>
                            <w:t>3</w:t>
                          </w:r>
                        </w:sdtContent>
                      </w:sdt>
                      <w:r>
                        <w:rPr>
                          <w:sz w:val="22"/>
                          <w:szCs w:val="22"/>
                          <w:lang w:eastAsia="lt-LT"/>
                        </w:rPr>
                        <w:t>. Asmens duomenys intelektinių transporto sistemų srityje tvarkomi vadovaujantis</w:t>
                      </w:r>
                      <w:r>
                        <w:rPr>
                          <w:rFonts w:eastAsia="Calibri"/>
                          <w:sz w:val="22"/>
                          <w:szCs w:val="22"/>
                          <w:shd w:val="clear" w:color="auto" w:fill="FFFFFF"/>
                        </w:rPr>
                        <w:t xml:space="preserve"> </w:t>
                      </w:r>
                      <w:r>
                        <w:rPr>
                          <w:sz w:val="22"/>
                          <w:szCs w:val="22"/>
                          <w:lang w:eastAsia="lt-LT"/>
                        </w:rPr>
                        <w:t xml:space="preserve">Lietuvos Respublikos asmens duomenų teisinės apsaugos įstatymo, Lietuvos Respublikos elektroninių ryšių įstatymo ir </w:t>
                      </w:r>
                      <w:r>
                        <w:rPr>
                          <w:rFonts w:eastAsia="Calibri"/>
                          <w:sz w:val="22"/>
                          <w:szCs w:val="22"/>
                        </w:rPr>
                        <w:t xml:space="preserve">2016 m. balandžio 27 d. Europos Parlamento ir Tarybos reglamento (ES) 2016/679 dėl fizinių asmenų apsaugos tvarkant asmens duomenis ir dėl laisvo tokių duomenų judėjimo ir kuriuo panaikinama Direktyva 95/46/EB (Bendrasis duomenų apsaugos reglamentas) </w:t>
                      </w:r>
                      <w:r>
                        <w:rPr>
                          <w:rFonts w:eastAsia="Calibri"/>
                          <w:sz w:val="22"/>
                          <w:szCs w:val="22"/>
                          <w:shd w:val="clear" w:color="auto" w:fill="FFFFFF"/>
                        </w:rPr>
                        <w:t>(OL 2016 L 119, p. 1)</w:t>
                      </w:r>
                      <w:r>
                        <w:rPr>
                          <w:sz w:val="22"/>
                          <w:szCs w:val="22"/>
                          <w:lang w:eastAsia="lt-LT"/>
                        </w:rPr>
                        <w:t xml:space="preserve"> nuostatomis. Tais atvejais, kai nėra būtini asmens tapatybę nustatantys duomenys, intelektinių transporto sistemų srityje tvarkomi tokie duomenys, iš kurių negalima nustatyti asmens tapatybės.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4 d."/>
                    <w:tag w:val="part_97ddcd3689d74fd9b7d7c7da74adce59"/>
                    <w:lock w:val="sdtLocked"/>
                    <w:richText/>
                  </w:sdtPr>
                  <w:sdtContent>
                    <w:p>
                      <w:pPr>
                        <w:ind w:firstLine="720"/>
                        <w:jc w:val="both"/>
                        <w:rPr>
                          <w:sz w:val="22"/>
                          <w:szCs w:val="22"/>
                        </w:rPr>
                      </w:pPr>
                      <w:sdt>
                        <w:sdtPr>
                          <w:alias w:val="Numeris"/>
                          <w:tag w:val="nr_97ddcd3689d74fd9b7d7c7da74adce59"/>
                          <w:lock w:val="sdtLocked"/>
                          <w:richText/>
                        </w:sdtPr>
                        <w:sdtContent>
                          <w:r>
                            <w:rPr>
                              <w:sz w:val="22"/>
                              <w:szCs w:val="22"/>
                              <w:lang w:eastAsia="lt-LT"/>
                            </w:rPr>
                            <w:t>4</w:t>
                          </w:r>
                        </w:sdtContent>
                      </w:sdt>
                      <w:r>
                        <w:rPr>
                          <w:sz w:val="22"/>
                          <w:szCs w:val="22"/>
                          <w:lang w:eastAsia="lt-LT"/>
                        </w:rPr>
                        <w:t>. Atsakomybę už intelektinių transporto sistemų prietaikų ir paslaugų saugos ir kokybės pažeidimus reglamentuoja Lietuvos Respublikos produktų saugos įstatymas ir Lietuvos Respublikos administracinių nusižengimų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3"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a06729cd3fbf430bb1d685695c995329"/>
                    <w:lock w:val="sdtLocked"/>
                    <w:richText/>
                  </w:sdtPr>
                  <w:sdtContent>
                    <w:p>
                      <w:pPr>
                        <w:ind w:firstLine="720"/>
                        <w:jc w:val="both"/>
                        <w:rPr>
                          <w:sz w:val="22"/>
                          <w:szCs w:val="22"/>
                        </w:rPr>
                      </w:pPr>
                      <w:sdt>
                        <w:sdtPr>
                          <w:alias w:val="Numeris"/>
                          <w:tag w:val="nr_a06729cd3fbf430bb1d685695c995329"/>
                          <w:lock w:val="sdtLocked"/>
                          <w:richText/>
                        </w:sdtPr>
                        <w:sdtContent>
                          <w:r>
                            <w:rPr>
                              <w:sz w:val="22"/>
                              <w:szCs w:val="22"/>
                            </w:rPr>
                            <w:t>1</w:t>
                          </w:r>
                        </w:sdtContent>
                      </w:sdt>
                      <w:r>
                        <w:rPr>
                          <w:sz w:val="22"/>
                          <w:szCs w:val="22"/>
                        </w:rPr>
                        <w:t xml:space="preserve">. Kombinuotasis krovinių vežimas – krovinių vežimas ne mažiau kaip dviejų rūšių transporto priemonėmis, kai tas pats krovinys, esantis sunkvežimyje, priekaboje ar puspriekabėje (su vilkiku ar be jo), keičiamoje talpykloje arba 20 ar daugiau pėdų konteineryje, didžiąją maršruto dalį yra vežamas geležinkelių, vidaus vandenų arba jūrų transportu, o pradinę ir (arba) galutinę maršruto dalį – kelių transporto priemonėmis. </w:t>
                      </w:r>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4"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5"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cd6cd57d4ae7430ca09bfc16b030d214"/>
                <w:lock w:val="sdtLocked"/>
                <w:richText/>
              </w:sdtPr>
              <w:sdtContent>
                <w:p>
                  <w:pPr>
                    <w:ind w:firstLine="720"/>
                    <w:jc w:val="both"/>
                    <w:rPr>
                      <w:b/>
                      <w:color w:val="000000"/>
                      <w:sz w:val="22"/>
                    </w:rPr>
                  </w:pPr>
                  <w:sdt>
                    <w:sdtPr>
                      <w:alias w:val="Numeris"/>
                      <w:tag w:val="nr_cd6cd57d4ae7430ca09bfc16b030d214"/>
                      <w:lock w:val="sdtLocked"/>
                      <w:richText/>
                    </w:sdtPr>
                    <w:sdtContent>
                      <w:r>
                        <w:rPr>
                          <w:b/>
                          <w:color w:val="000000"/>
                          <w:sz w:val="22"/>
                        </w:rPr>
                        <w:t>14</w:t>
                      </w:r>
                    </w:sdtContent>
                  </w:sdt>
                  <w:r>
                    <w:rPr>
                      <w:b/>
                      <w:color w:val="000000"/>
                      <w:sz w:val="22"/>
                    </w:rPr>
                    <w:t xml:space="preserve"> straipsnis. </w:t>
                  </w:r>
                  <w:sdt>
                    <w:sdtPr>
                      <w:alias w:val="Pavadinimas"/>
                      <w:tag w:val="title_cd6cd57d4ae7430ca09bfc16b030d214"/>
                      <w:lock w:val="sdtLocked"/>
                      <w:richText/>
                    </w:sdtPr>
                    <w:sdtContent>
                      <w:r>
                        <w:rPr>
                          <w:b/>
                          <w:color w:val="000000"/>
                          <w:sz w:val="22"/>
                        </w:rPr>
                        <w:t>Transporto infrastruktūros rūšys ir valdytojai</w:t>
                      </w:r>
                    </w:sdtContent>
                  </w:sdt>
                </w:p>
                <w:sdt>
                  <w:sdtPr>
                    <w:alias w:val="14 str. 1 d."/>
                    <w:tag w:val="part_443d089cabd543eeae46268b41fe5a01"/>
                    <w:lock w:val="sdtLocked"/>
                    <w:richText/>
                  </w:sdtPr>
                  <w:sdtContent>
                    <w:p>
                      <w:pPr>
                        <w:tabs>
                          <w:tab w:val="left" w:pos="360"/>
                        </w:tabs>
                        <w:ind w:firstLine="720"/>
                        <w:jc w:val="both"/>
                        <w:rPr>
                          <w:color w:val="000000"/>
                          <w:sz w:val="22"/>
                        </w:rPr>
                      </w:pPr>
                      <w:sdt>
                        <w:sdtPr>
                          <w:alias w:val="Numeris"/>
                          <w:tag w:val="nr_443d089cabd543eeae46268b41fe5a01"/>
                          <w:lock w:val="sdtLocked"/>
                          <w:richText/>
                        </w:sdtPr>
                        <w:sdtContent>
                          <w:r>
                            <w:rPr>
                              <w:color w:val="000000"/>
                              <w:sz w:val="22"/>
                            </w:rPr>
                            <w:t>1</w:t>
                          </w:r>
                        </w:sdtContent>
                      </w:sdt>
                      <w:r>
                        <w:rPr>
                          <w:color w:val="000000"/>
                          <w:sz w:val="22"/>
                        </w:rPr>
                        <w:t>. Transporto infrastruktūra yra viešoji ir privati.</w:t>
                      </w:r>
                    </w:p>
                  </w:sdtContent>
                </w:sdt>
                <w:sdt>
                  <w:sdtPr>
                    <w:alias w:val="14 str. 2 d."/>
                    <w:tag w:val="part_95ed690d60be481f9f3cb9554237f9d9"/>
                    <w:lock w:val="sdtLocked"/>
                    <w:richText/>
                  </w:sdtPr>
                  <w:sdtContent>
                    <w:p>
                      <w:pPr>
                        <w:tabs>
                          <w:tab w:val="left" w:pos="360"/>
                        </w:tabs>
                        <w:ind w:firstLine="720"/>
                        <w:jc w:val="both"/>
                        <w:rPr>
                          <w:color w:val="000000"/>
                          <w:sz w:val="22"/>
                        </w:rPr>
                      </w:pPr>
                      <w:sdt>
                        <w:sdtPr>
                          <w:alias w:val="Numeris"/>
                          <w:tag w:val="nr_95ed690d60be481f9f3cb9554237f9d9"/>
                          <w:lock w:val="sdtLocked"/>
                          <w:richText/>
                        </w:sdtPr>
                        <w:sdtContent>
                          <w:r>
                            <w:rPr>
                              <w:color w:val="000000"/>
                              <w:sz w:val="22"/>
                            </w:rPr>
                            <w:t>2</w:t>
                          </w:r>
                        </w:sdtContent>
                      </w:sdt>
                      <w:r>
                        <w:rPr>
                          <w:color w:val="000000"/>
                          <w:sz w:val="22"/>
                        </w:rPr>
                        <w:t>. Viešosios transporto infrastruktūros savininkas yra valstybė ir savivaldybės.</w:t>
                      </w:r>
                    </w:p>
                  </w:sdtContent>
                </w:sdt>
                <w:sdt>
                  <w:sdtPr>
                    <w:alias w:val="14 str. 3 d."/>
                    <w:tag w:val="part_93251a6c9fa64f9fa2a0b490b847dc84"/>
                    <w:lock w:val="sdtLocked"/>
                    <w:richText/>
                  </w:sdtPr>
                  <w:sdtContent>
                    <w:p>
                      <w:pPr>
                        <w:tabs>
                          <w:tab w:val="left" w:pos="360"/>
                        </w:tabs>
                        <w:ind w:firstLine="720"/>
                        <w:jc w:val="both"/>
                        <w:rPr>
                          <w:color w:val="000000"/>
                          <w:sz w:val="22"/>
                        </w:rPr>
                      </w:pPr>
                      <w:sdt>
                        <w:sdtPr>
                          <w:alias w:val="Numeris"/>
                          <w:tag w:val="nr_93251a6c9fa64f9fa2a0b490b847dc84"/>
                          <w:lock w:val="sdtLocked"/>
                          <w:richText/>
                        </w:sdtPr>
                        <w:sdtContent>
                          <w:r>
                            <w:rPr>
                              <w:color w:val="000000"/>
                              <w:sz w:val="22"/>
                            </w:rPr>
                            <w:t>3</w:t>
                          </w:r>
                        </w:sdtContent>
                      </w:sdt>
                      <w:r>
                        <w:rPr>
                          <w:color w:val="000000"/>
                          <w:sz w:val="22"/>
                        </w:rPr>
                        <w:t>. Privačios transporto infrastruktūros savininkas yra fizinis ar juridinis asmuo.</w:t>
                      </w:r>
                    </w:p>
                  </w:sdtContent>
                </w:sdt>
                <w:sdt>
                  <w:sdtPr>
                    <w:alias w:val="14 str. 4 d."/>
                    <w:tag w:val="part_db56e171fd824c32936ffd6cd4ef4cba"/>
                    <w:lock w:val="sdtLocked"/>
                    <w:richText/>
                  </w:sdtPr>
                  <w:sdtContent>
                    <w:p>
                      <w:pPr>
                        <w:tabs>
                          <w:tab w:val="left" w:pos="360"/>
                        </w:tabs>
                        <w:ind w:firstLine="720"/>
                        <w:jc w:val="both"/>
                        <w:rPr>
                          <w:color w:val="000000"/>
                          <w:sz w:val="22"/>
                        </w:rPr>
                      </w:pPr>
                      <w:sdt>
                        <w:sdtPr>
                          <w:alias w:val="Numeris"/>
                          <w:tag w:val="nr_db56e171fd824c32936ffd6cd4ef4cba"/>
                          <w:lock w:val="sdtLocked"/>
                          <w:richText/>
                        </w:sdtPr>
                        <w:sdtContent>
                          <w:r>
                            <w:rPr>
                              <w:color w:val="000000"/>
                              <w:sz w:val="22"/>
                            </w:rPr>
                            <w:t>4</w:t>
                          </w:r>
                        </w:sdtContent>
                      </w:sdt>
                      <w:r>
                        <w:rPr>
                          <w:color w:val="000000"/>
                          <w:sz w:val="22"/>
                        </w:rPr>
                        <w:t xml:space="preserve">. Viešosios transporto infrastruktūros valdytoją skiria Vyriausybė ar jos įgaliota institucija arba savivaldybės institucija. Valdytojui parinkti skelbiamas konkursas arba viešajai transporto infrastruktūrai valdyti steigiama įmonė.  </w:t>
                      </w:r>
                    </w:p>
                    <w:p>
                      <w:pPr>
                        <w:ind w:left="2520" w:hanging="1800"/>
                        <w:jc w:val="both"/>
                        <w:rPr>
                          <w:b/>
                          <w:color w:val="000000"/>
                          <w:sz w:val="22"/>
                        </w:rPr>
                      </w:pPr>
                    </w:p>
                  </w:sdtContent>
                </w:sdt>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429e0f0f0c5e4215aeb589da5acbb6ae"/>
                    <w:lock w:val="sdtLocked"/>
                    <w:richText/>
                  </w:sdtPr>
                  <w:sdtContent>
                    <w:p>
                      <w:pPr>
                        <w:ind w:firstLine="720"/>
                        <w:jc w:val="both"/>
                        <w:rPr>
                          <w:sz w:val="22"/>
                          <w:szCs w:val="22"/>
                        </w:rPr>
                      </w:pPr>
                      <w:sdt>
                        <w:sdtPr>
                          <w:alias w:val="Numeris"/>
                          <w:tag w:val="nr_429e0f0f0c5e4215aeb589da5acbb6ae"/>
                          <w:lock w:val="sdtLocked"/>
                          <w:richText/>
                        </w:sdtPr>
                        <w:sdtContent>
                          <w:r>
                            <w:rPr>
                              <w:color w:val="000000"/>
                              <w:sz w:val="22"/>
                              <w:szCs w:val="22"/>
                              <w:lang w:eastAsia="lt-LT"/>
                            </w:rPr>
                            <w:t>2</w:t>
                          </w:r>
                        </w:sdtContent>
                      </w:sdt>
                      <w:r>
                        <w:rPr>
                          <w:color w:val="000000"/>
                          <w:sz w:val="22"/>
                          <w:szCs w:val="22"/>
                          <w:lang w:eastAsia="lt-LT"/>
                        </w:rPr>
                        <w:t>.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viešosios transporto infrastruktūros valdytojas naudoja pagal viešosios transporto infrastruktūros savininko ar jo įgaliotos institucijos patvirtintą pajamų ir išlaidų sąmatą bei patvirtintas programas šio straipsnio 1 dalyje numatytiems tikslams, išskyrus atvejus, kai viešosios transporto infrastruktūros valdymas perduodamas investuotojui, kaip tai numatyta šio Įstatymo 9 straipsnio 3 dalyje.</w:t>
                      </w:r>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27"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83dc03075b1a48caa2ac0eca66ece966"/>
                <w:lock w:val="sdtLocked"/>
                <w:richText/>
              </w:sdtPr>
              <w:sdtContent>
                <w:sdt>
                  <w:sdtPr>
                    <w:alias w:val="Pavadinimas"/>
                    <w:tag w:val="title_83dc03075b1a48caa2ac0eca66ece966"/>
                    <w:lock w:val="sdtLocked"/>
                    <w:richText/>
                  </w:sdtPr>
                  <w:sdtContent>
                    <w:p>
                      <w:pPr>
                        <w:ind w:left="2340" w:hanging="1620"/>
                        <w:jc w:val="both"/>
                        <w:rPr>
                          <w:b/>
                          <w:color w:val="000000"/>
                          <w:sz w:val="22"/>
                        </w:rPr>
                      </w:pPr>
                      <w:sdt>
                        <w:sdtPr>
                          <w:alias w:val="Numeris"/>
                          <w:tag w:val="nr_83dc03075b1a48caa2ac0eca66ece966"/>
                          <w:lock w:val="sdtLocked"/>
                          <w:richText/>
                        </w:sdtPr>
                        <w:sdtContent>
                          <w:r>
                            <w:rPr>
                              <w:b/>
                              <w:color w:val="000000"/>
                              <w:sz w:val="22"/>
                            </w:rPr>
                            <w:t>18</w:t>
                          </w:r>
                        </w:sdtContent>
                      </w:sdt>
                      <w:r>
                        <w:rPr>
                          <w:b/>
                          <w:color w:val="000000"/>
                          <w:sz w:val="22"/>
                        </w:rPr>
                        <w:t xml:space="preserve"> straipsnis. Viešosios transporto infrastruktūros valdytojo santykiai su transporto </w:t>
                      </w:r>
                    </w:p>
                    <w:p>
                      <w:pPr>
                        <w:ind w:left="2340" w:hanging="355"/>
                        <w:jc w:val="both"/>
                        <w:rPr>
                          <w:b/>
                          <w:color w:val="000000"/>
                          <w:sz w:val="22"/>
                        </w:rPr>
                      </w:pPr>
                      <w:r>
                        <w:rPr>
                          <w:b/>
                          <w:color w:val="000000"/>
                          <w:sz w:val="22"/>
                        </w:rPr>
                        <w:t>infrastruktūros savininku</w:t>
                      </w:r>
                    </w:p>
                  </w:sdtContent>
                </w:sdt>
                <w:sdt>
                  <w:sdtPr>
                    <w:alias w:val="18 str. 1 d."/>
                    <w:tag w:val="part_50ce15b53a8b4a159056a4efb0534749"/>
                    <w:lock w:val="sdtLocked"/>
                    <w:richText/>
                  </w:sdtPr>
                  <w:sdtContent>
                    <w:p>
                      <w:pPr>
                        <w:ind w:firstLine="720"/>
                        <w:jc w:val="both"/>
                        <w:rPr>
                          <w:sz w:val="22"/>
                        </w:rPr>
                      </w:pPr>
                      <w:r>
                        <w:rPr>
                          <w:color w:val="000000"/>
                          <w:sz w:val="22"/>
                        </w:rPr>
                        <w:t>Viešosios transporto infrastruktūros savininko ir valdytojo tarpusavio santykius nustato turto patikėjimo sutartis.</w:t>
                      </w:r>
                    </w:p>
                    <w:p>
                      <w:pPr>
                        <w:jc w:val="both"/>
                        <w:rPr>
                          <w:rFonts w:eastAsia="MS Mincho"/>
                          <w:bCs/>
                          <w:i/>
                          <w:iCs/>
                          <w:sz w:val="20"/>
                        </w:rPr>
                      </w:pPr>
                    </w:p>
                  </w:sdtContent>
                </w:sdt>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8"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37ebde3d3eef41edae7a3d14e7b6181d"/>
                <w:lock w:val="sdtLocked"/>
                <w:richText/>
              </w:sdtPr>
              <w:sdtContent>
                <w:p>
                  <w:pPr>
                    <w:ind w:left="2410" w:hanging="1690"/>
                    <w:jc w:val="both"/>
                    <w:rPr>
                      <w:sz w:val="22"/>
                      <w:szCs w:val="22"/>
                      <w:lang w:eastAsia="lt-LT"/>
                    </w:rPr>
                  </w:pPr>
                  <w:sdt>
                    <w:sdtPr>
                      <w:alias w:val="Numeris"/>
                      <w:tag w:val="nr_37ebde3d3eef41edae7a3d14e7b6181d"/>
                      <w:lock w:val="sdtLocked"/>
                      <w:richText/>
                    </w:sdtPr>
                    <w:sdtContent>
                      <w:r>
                        <w:rPr>
                          <w:b/>
                          <w:bCs/>
                          <w:sz w:val="22"/>
                          <w:szCs w:val="22"/>
                          <w:lang w:eastAsia="lt-LT"/>
                        </w:rPr>
                        <w:t>19</w:t>
                      </w:r>
                      <w:r>
                        <w:rPr>
                          <w:b/>
                          <w:bCs/>
                          <w:sz w:val="22"/>
                          <w:szCs w:val="22"/>
                          <w:vertAlign w:val="superscript"/>
                          <w:lang w:eastAsia="lt-LT"/>
                        </w:rPr>
                        <w:t>1</w:t>
                      </w:r>
                    </w:sdtContent>
                  </w:sdt>
                  <w:r>
                    <w:rPr>
                      <w:b/>
                      <w:bCs/>
                      <w:sz w:val="22"/>
                      <w:szCs w:val="22"/>
                      <w:lang w:eastAsia="lt-LT"/>
                    </w:rPr>
                    <w:t xml:space="preserve"> straipsnis. </w:t>
                  </w:r>
                  <w:sdt>
                    <w:sdtPr>
                      <w:alias w:val="Pavadinimas"/>
                      <w:tag w:val="title_37ebde3d3eef41edae7a3d14e7b6181d"/>
                      <w:lock w:val="sdtLocked"/>
                      <w:richText/>
                    </w:sdtPr>
                    <w:sdtContent>
                      <w:r>
                        <w:rPr>
                          <w:b/>
                          <w:bCs/>
                          <w:sz w:val="22"/>
                          <w:szCs w:val="22"/>
                          <w:lang w:eastAsia="lt-LT"/>
                        </w:rPr>
                        <w:t>Vežėjų, kurie verčiasi keleivių vežimu oro keliais, pareiga teikti informaciją</w:t>
                      </w:r>
                    </w:sdtContent>
                  </w:sdt>
                </w:p>
                <w:sdt>
                  <w:sdtPr>
                    <w:alias w:val="19-1 str. 1 d."/>
                    <w:tag w:val="part_a999e0081f704848b7b38d3301113ac3"/>
                    <w:lock w:val="sdtLocked"/>
                    <w:richText/>
                  </w:sdtPr>
                  <w:sdtContent>
                    <w:p>
                      <w:pPr>
                        <w:ind w:firstLine="720"/>
                        <w:jc w:val="both"/>
                        <w:rPr>
                          <w:sz w:val="22"/>
                          <w:szCs w:val="22"/>
                          <w:lang w:eastAsia="lt-LT"/>
                        </w:rPr>
                      </w:pPr>
                      <w:sdt>
                        <w:sdtPr>
                          <w:alias w:val="Numeris"/>
                          <w:tag w:val="nr_a999e0081f704848b7b38d3301113ac3"/>
                          <w:lock w:val="sdtLocked"/>
                          <w:richText/>
                        </w:sdtPr>
                        <w:sdtContent>
                          <w:r>
                            <w:rPr>
                              <w:sz w:val="22"/>
                              <w:szCs w:val="22"/>
                              <w:lang w:eastAsia="lt-LT"/>
                            </w:rPr>
                            <w:t>1</w:t>
                          </w:r>
                        </w:sdtContent>
                      </w:sdt>
                      <w:r>
                        <w:rPr>
                          <w:sz w:val="22"/>
                          <w:szCs w:val="22"/>
                          <w:lang w:eastAsia="lt-LT"/>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p>
                      <w:pPr>
                        <w:jc w:val="both"/>
                        <w:rPr>
                          <w:i/>
                          <w:sz w:val="20"/>
                          <w:lang w:eastAsia="lt-LT"/>
                        </w:rPr>
                      </w:pPr>
                      <w:r>
                        <w:rPr>
                          <w:b/>
                          <w:i/>
                          <w:sz w:val="20"/>
                          <w:lang w:eastAsia="lt-LT"/>
                        </w:rPr>
                        <w:t>TAR pastaba.</w:t>
                      </w:r>
                      <w:r>
                        <w:rPr>
                          <w:i/>
                          <w:sz w:val="20"/>
                          <w:lang w:eastAsia="lt-LT"/>
                        </w:rPr>
                        <w:t xml:space="preserve"> Bylos dėl Lietuvos Respublikos transporto veiklos pagrindų 19</w:t>
                      </w:r>
                      <w:r>
                        <w:rPr>
                          <w:i/>
                          <w:sz w:val="20"/>
                          <w:vertAlign w:val="superscript"/>
                          <w:lang w:eastAsia="lt-LT"/>
                        </w:rPr>
                        <w:t xml:space="preserve">1 </w:t>
                      </w:r>
                      <w:r>
                        <w:rPr>
                          <w:i/>
                          <w:sz w:val="20"/>
                          <w:lang w:eastAsia="lt-LT"/>
                        </w:rPr>
                        <w:t>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19-1 str. 2 d."/>
                    <w:tag w:val="part_1e136baa31024fcaba845a3d8fc0588c"/>
                    <w:lock w:val="sdtLocked"/>
                    <w:richText/>
                  </w:sdtPr>
                  <w:sdtContent>
                    <w:p>
                      <w:pPr>
                        <w:ind w:firstLine="720"/>
                        <w:jc w:val="both"/>
                        <w:rPr>
                          <w:sz w:val="22"/>
                          <w:szCs w:val="22"/>
                          <w:lang w:eastAsia="lt-LT"/>
                        </w:rPr>
                      </w:pPr>
                      <w:sdt>
                        <w:sdtPr>
                          <w:alias w:val="Numeris"/>
                          <w:tag w:val="nr_1e136baa31024fcaba845a3d8fc0588c"/>
                          <w:lock w:val="sdtLocked"/>
                          <w:richText/>
                        </w:sdtPr>
                        <w:sdtContent>
                          <w:r>
                            <w:rPr>
                              <w:sz w:val="22"/>
                              <w:szCs w:val="22"/>
                              <w:lang w:eastAsia="lt-LT"/>
                            </w:rPr>
                            <w:t>2</w:t>
                          </w:r>
                        </w:sdtContent>
                      </w:sdt>
                      <w:r>
                        <w:rPr>
                          <w:sz w:val="22"/>
                          <w:szCs w:val="22"/>
                          <w:lang w:eastAsia="lt-LT"/>
                        </w:rPr>
                        <w:t>. Įgaliotas padalinys yra Lietuvos policijos generalinio komisaro įsakymu įgaliota policijos įstaiga ar jos struktūrinis padalinys. Įgaliotam padaliniui priklauso Valstybės sienos apsaugos tarnybos ir Lietuvos Respublikos valstybės saugumo departamento (toliau – Valstybės saugumo departamentas) deleguoti pareigūnai, įgalioti atlikti funkcijas, susijusias su šio Įstatymo 1 priede nurodytų duomenų tvarkymu.</w:t>
                      </w:r>
                    </w:p>
                  </w:sdtContent>
                </w:sdt>
                <w:sdt>
                  <w:sdtPr>
                    <w:alias w:val="19-1 str. 3 d."/>
                    <w:tag w:val="part_3a583b93acf241afa2abcf094fbee227"/>
                    <w:lock w:val="sdtLocked"/>
                    <w:richText/>
                  </w:sdtPr>
                  <w:sdtContent>
                    <w:p>
                      <w:pPr>
                        <w:ind w:firstLine="720"/>
                        <w:jc w:val="both"/>
                        <w:rPr>
                          <w:sz w:val="22"/>
                          <w:szCs w:val="22"/>
                          <w:lang w:eastAsia="lt-LT"/>
                        </w:rPr>
                      </w:pPr>
                      <w:sdt>
                        <w:sdtPr>
                          <w:alias w:val="Numeris"/>
                          <w:tag w:val="nr_3a583b93acf241afa2abcf094fbee227"/>
                          <w:lock w:val="sdtLocked"/>
                          <w:richText/>
                        </w:sdtPr>
                        <w:sdtContent>
                          <w:r>
                            <w:rPr>
                              <w:sz w:val="22"/>
                              <w:szCs w:val="22"/>
                              <w:lang w:eastAsia="lt-LT"/>
                            </w:rPr>
                            <w:t>3</w:t>
                          </w:r>
                        </w:sdtContent>
                      </w:sdt>
                      <w:r>
                        <w:rPr>
                          <w:sz w:val="22"/>
                          <w:szCs w:val="22"/>
                          <w:lang w:eastAsia="lt-LT"/>
                        </w:rPr>
                        <w:t>. Šio Įstatymo 1 priede nurodyti duomenys tvarkomi teroristinių nusikaltimų ir su teroristine veikla susijusių nusikaltimų, taip pat sunkių ir labai sunkių nusikaltimų, kaip jie apibrėžti Lietuvos Respublikos baudžiamajame kodekse, prevencijos, nustatymo, tyrimo ir patraukimo už juos baudžiamojon atsakomybėn tikslais.</w:t>
                      </w:r>
                    </w:p>
                  </w:sdtContent>
                </w:sdt>
                <w:sdt>
                  <w:sdtPr>
                    <w:alias w:val="19-1 str. 4 d."/>
                    <w:tag w:val="part_03b95942ee0c42cfae31fa20e4231a5d"/>
                    <w:lock w:val="sdtLocked"/>
                    <w:richText/>
                  </w:sdtPr>
                  <w:sdtContent>
                    <w:p>
                      <w:pPr>
                        <w:ind w:firstLine="720"/>
                        <w:jc w:val="both"/>
                        <w:rPr>
                          <w:sz w:val="22"/>
                          <w:szCs w:val="22"/>
                          <w:lang w:eastAsia="lt-LT"/>
                        </w:rPr>
                      </w:pPr>
                      <w:sdt>
                        <w:sdtPr>
                          <w:alias w:val="Numeris"/>
                          <w:tag w:val="nr_03b95942ee0c42cfae31fa20e4231a5d"/>
                          <w:lock w:val="sdtLocked"/>
                          <w:richText/>
                        </w:sdtPr>
                        <w:sdtContent>
                          <w:r>
                            <w:rPr>
                              <w:sz w:val="22"/>
                              <w:szCs w:val="22"/>
                              <w:lang w:eastAsia="lt-LT"/>
                            </w:rPr>
                            <w:t>4</w:t>
                          </w:r>
                        </w:sdtContent>
                      </w:sdt>
                      <w:r>
                        <w:rPr>
                          <w:sz w:val="22"/>
                          <w:szCs w:val="22"/>
                          <w:lang w:eastAsia="lt-LT"/>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161bf42b0f214092a06b1cde3076342c"/>
                    <w:lock w:val="sdtLocked"/>
                    <w:richText/>
                  </w:sdtPr>
                  <w:sdtContent>
                    <w:p>
                      <w:pPr>
                        <w:ind w:firstLine="720"/>
                        <w:jc w:val="both"/>
                        <w:rPr>
                          <w:sz w:val="22"/>
                          <w:szCs w:val="22"/>
                          <w:lang w:eastAsia="lt-LT"/>
                        </w:rPr>
                      </w:pPr>
                      <w:sdt>
                        <w:sdtPr>
                          <w:alias w:val="Numeris"/>
                          <w:tag w:val="nr_161bf42b0f214092a06b1cde3076342c"/>
                          <w:lock w:val="sdtLocked"/>
                          <w:richText/>
                        </w:sdtPr>
                        <w:sdtContent>
                          <w:r>
                            <w:rPr>
                              <w:sz w:val="22"/>
                              <w:szCs w:val="22"/>
                              <w:lang w:eastAsia="lt-LT"/>
                            </w:rPr>
                            <w:t>5</w:t>
                          </w:r>
                        </w:sdtContent>
                      </w:sdt>
                      <w:r>
                        <w:rPr>
                          <w:sz w:val="22"/>
                          <w:szCs w:val="22"/>
                          <w:lang w:eastAsia="lt-LT"/>
                        </w:rPr>
                        <w:t>. Atliekant keleivių įvertinimą prieš jiems atvykstant į Lietuvos Respubliką ar išvykstant iš jos, šio Įstatymo 1 priede nurodyti duomenys automatizuotu būdu yra palyginami su duomenimis, tvarkomais valstybės ir žinybiniuose registruose, informacinėse sistemose teroristinių ar labai sunkių ir sunkių nusikaltimų prevencijos, nustatymo, tyrimo ar patraukimo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a7d2348ab1354f05951e9a748b7f1fce"/>
                    <w:lock w:val="sdtLocked"/>
                    <w:richText/>
                  </w:sdtPr>
                  <w:sdtContent>
                    <w:p>
                      <w:pPr>
                        <w:ind w:firstLine="720"/>
                        <w:jc w:val="both"/>
                        <w:rPr>
                          <w:sz w:val="22"/>
                          <w:szCs w:val="22"/>
                          <w:lang w:eastAsia="lt-LT"/>
                        </w:rPr>
                      </w:pPr>
                      <w:sdt>
                        <w:sdtPr>
                          <w:alias w:val="Numeris"/>
                          <w:tag w:val="nr_a7d2348ab1354f05951e9a748b7f1fce"/>
                          <w:lock w:val="sdtLocked"/>
                          <w:richText/>
                        </w:sdtPr>
                        <w:sdtContent>
                          <w:r>
                            <w:rPr>
                              <w:sz w:val="22"/>
                              <w:szCs w:val="22"/>
                              <w:lang w:eastAsia="lt-LT"/>
                            </w:rPr>
                            <w:t>6</w:t>
                          </w:r>
                        </w:sdtContent>
                      </w:sdt>
                      <w:r>
                        <w:rPr>
                          <w:sz w:val="22"/>
                          <w:szCs w:val="22"/>
                          <w:lang w:eastAsia="lt-LT"/>
                        </w:rPr>
                        <w:t>. Šio Įstatymo 1 priede nurodyti duomenys tvarkomi teisės aktų nustatyta tvarka įsteigtoje informacinėje sistemoje ir saugomi 5 metus. Šio Įstatymo 1 priedo 1.2, 1.4, 1.5 papunkčiuose ir 3 punkte nurodyti duomenys po 6 mėnesių nuo jų įrašymo į informacinę sistemą yra nuasmeninami ir užmaskuojami, išskyrus atvejus, kai šie duomenys yra naudojami konkrečiais teroristinių ar labai sunkių ir sunkių nusikaltimų prevencijos, nustatymo, tyrimo ar patraukimo baudžiamojon atsakomybėn tikslais. Oro vežėjo pateikti šio Įstatymo 1 priede nenumatyti ypatingi ir kiti asmens duomenys informacinėje sistemoje nedelsiant ištrinami.</w:t>
                      </w:r>
                    </w:p>
                  </w:sdtContent>
                </w:sdt>
                <w:sdt>
                  <w:sdtPr>
                    <w:alias w:val="19-1 str. 7 d."/>
                    <w:tag w:val="part_6a305bfc77cb4e48ba033690c475f9e1"/>
                    <w:lock w:val="sdtLocked"/>
                    <w:richText/>
                  </w:sdtPr>
                  <w:sdtContent>
                    <w:p>
                      <w:pPr>
                        <w:ind w:firstLine="720"/>
                        <w:jc w:val="both"/>
                        <w:rPr>
                          <w:sz w:val="22"/>
                          <w:szCs w:val="22"/>
                          <w:lang w:eastAsia="lt-LT"/>
                        </w:rPr>
                      </w:pPr>
                      <w:sdt>
                        <w:sdtPr>
                          <w:alias w:val="Numeris"/>
                          <w:tag w:val="nr_6a305bfc77cb4e48ba033690c475f9e1"/>
                          <w:lock w:val="sdtLocked"/>
                          <w:richText/>
                        </w:sdtPr>
                        <w:sdtContent>
                          <w:r>
                            <w:rPr>
                              <w:sz w:val="22"/>
                              <w:szCs w:val="22"/>
                              <w:lang w:eastAsia="lt-LT"/>
                            </w:rPr>
                            <w:t>7</w:t>
                          </w:r>
                        </w:sdtContent>
                      </w:sdt>
                      <w:r>
                        <w:rPr>
                          <w:sz w:val="22"/>
                          <w:szCs w:val="22"/>
                          <w:lang w:eastAsia="lt-LT"/>
                        </w:rPr>
                        <w:t>. Įgaliotas padalinys šio Įstatymo 1 priede nurodytus duomenis ar tų duomenų tvarkymo rezultatus šio Įstatymo 2 priede nurodytoms kompetentingoms institucijoms ar kitų valstybių narių įgaliotiems padaliniams ar Europos policijos biurui (Europolui) teikia pagrįsto prašymo pagrindu tik konkrečiais teroristinių nusikaltimų ar labai sunkių ir sunkių nusikaltimų prevencijos, nustatymo, tyrimo ar patraukimo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vykdant policijos ir teisminį bendradarbiavimą baudžiamosiose bylose, teisinės apsaugos įstatyme nustatytų sąlygų. Šio Įstatymo 1 priede nurodytų duomenų teikimo kompetentingoms institucijoms ir jų naudojimo sąlygas, būdus ir tvarką nustato Lietuvos Respublikos Vyriausybė.</w:t>
                      </w:r>
                    </w:p>
                  </w:sdtContent>
                </w:sdt>
                <w:sdt>
                  <w:sdtPr>
                    <w:alias w:val="19-1 str. 8 d."/>
                    <w:tag w:val="part_2b556d89bb1d48f49d6857c52972a2a1"/>
                    <w:lock w:val="sdtLocked"/>
                    <w:richText/>
                  </w:sdtPr>
                  <w:sdtContent>
                    <w:p>
                      <w:pPr>
                        <w:ind w:firstLine="720"/>
                        <w:jc w:val="both"/>
                        <w:rPr>
                          <w:sz w:val="22"/>
                          <w:szCs w:val="22"/>
                          <w:lang w:eastAsia="lt-LT"/>
                        </w:rPr>
                      </w:pPr>
                      <w:sdt>
                        <w:sdtPr>
                          <w:alias w:val="Numeris"/>
                          <w:tag w:val="nr_2b556d89bb1d48f49d6857c52972a2a1"/>
                          <w:lock w:val="sdtLocked"/>
                          <w:richText/>
                        </w:sdtPr>
                        <w:sdtContent>
                          <w:r>
                            <w:rPr>
                              <w:sz w:val="22"/>
                              <w:szCs w:val="22"/>
                              <w:lang w:eastAsia="lt-LT"/>
                            </w:rPr>
                            <w:t>8</w:t>
                          </w:r>
                        </w:sdtContent>
                      </w:sdt>
                      <w:r>
                        <w:rPr>
                          <w:sz w:val="22"/>
                          <w:szCs w:val="22"/>
                          <w:lang w:eastAsia="lt-LT"/>
                        </w:rPr>
                        <w:t>. Šio Įstatymo 1 priede nurodyti duomenys įgaliotam padaliniui teikiami ir tvarkomi Lietuvos policijos generalinio komisaro nustatyta tvarka.</w:t>
                      </w:r>
                    </w:p>
                  </w:sdtContent>
                </w:sdt>
                <w:sdt>
                  <w:sdtPr>
                    <w:alias w:val="19-1 str. 9 d."/>
                    <w:tag w:val="part_ba7cd2ca20fa4240bd6c61ddffe9e5fc"/>
                    <w:lock w:val="sdtLocked"/>
                    <w:richText/>
                  </w:sdtPr>
                  <w:sdtContent>
                    <w:p>
                      <w:pPr>
                        <w:ind w:firstLine="720"/>
                        <w:jc w:val="both"/>
                        <w:rPr>
                          <w:sz w:val="22"/>
                          <w:szCs w:val="22"/>
                          <w:lang w:eastAsia="lt-LT"/>
                        </w:rPr>
                      </w:pPr>
                      <w:sdt>
                        <w:sdtPr>
                          <w:alias w:val="Numeris"/>
                          <w:tag w:val="nr_ba7cd2ca20fa4240bd6c61ddffe9e5fc"/>
                          <w:lock w:val="sdtLocked"/>
                          <w:richText/>
                        </w:sdtPr>
                        <w:sdtContent>
                          <w:r>
                            <w:rPr>
                              <w:sz w:val="22"/>
                              <w:szCs w:val="22"/>
                              <w:lang w:eastAsia="lt-LT"/>
                            </w:rPr>
                            <w:t>9</w:t>
                          </w:r>
                        </w:sdtContent>
                      </w:sdt>
                      <w:r>
                        <w:rPr>
                          <w:sz w:val="22"/>
                          <w:szCs w:val="22"/>
                          <w:lang w:eastAsia="lt-LT"/>
                        </w:rPr>
                        <w:t>. Vežėjas, kuris verčiasi keleivių vežimu oro keliais, Lietuvos Respublikos asmens duomenų teisinės apsaugos įstatymo 24 straipsnyje nustatyta tvarka privalo informuoti keleivius apie numatomą jų asmens duomenų, nurodytų šio straipsnio 1 dalyje, tvarkymą.</w:t>
                      </w:r>
                    </w:p>
                  </w:sdtContent>
                </w:sdt>
                <w:sdt>
                  <w:sdtPr>
                    <w:alias w:val="19-1 str. 10 d."/>
                    <w:tag w:val="part_fa489cfd5cf34a3184623b0a3424fb6f"/>
                    <w:lock w:val="sdtLocked"/>
                    <w:richText/>
                  </w:sdtPr>
                  <w:sdtContent>
                    <w:p>
                      <w:pPr>
                        <w:ind w:firstLine="720"/>
                        <w:jc w:val="both"/>
                        <w:rPr>
                          <w:sz w:val="22"/>
                          <w:szCs w:val="22"/>
                          <w:lang w:eastAsia="lt-LT"/>
                        </w:rPr>
                      </w:pPr>
                      <w:sdt>
                        <w:sdtPr>
                          <w:alias w:val="Numeris"/>
                          <w:tag w:val="nr_fa489cfd5cf34a3184623b0a3424fb6f"/>
                          <w:lock w:val="sdtLocked"/>
                          <w:richText/>
                        </w:sdtPr>
                        <w:sdtContent>
                          <w:r>
                            <w:rPr>
                              <w:sz w:val="22"/>
                              <w:szCs w:val="22"/>
                              <w:lang w:eastAsia="lt-LT"/>
                            </w:rPr>
                            <w:t>10</w:t>
                          </w:r>
                        </w:sdtContent>
                      </w:sdt>
                      <w:r>
                        <w:rPr>
                          <w:sz w:val="22"/>
                          <w:szCs w:val="22"/>
                          <w:lang w:eastAsia="lt-LT"/>
                        </w:rPr>
                        <w:t>. Savo teises dėl asmens duomenų tvarkymo keleivis įgyvendina Lietuvos Respublikos asmens duomenų teisinės apsaugos įstatymo nustatyta tvarka.</w:t>
                      </w:r>
                    </w:p>
                  </w:sdtContent>
                </w:sdt>
                <w:sdt>
                  <w:sdtPr>
                    <w:alias w:val="19-1 str. 11 d."/>
                    <w:tag w:val="part_09c0148a8f764ed78e7caa1a6b0d717d"/>
                    <w:lock w:val="sdtLocked"/>
                    <w:richText/>
                  </w:sdtPr>
                  <w:sdtContent>
                    <w:p>
                      <w:pPr>
                        <w:ind w:firstLine="720"/>
                        <w:jc w:val="both"/>
                      </w:pPr>
                      <w:sdt>
                        <w:sdtPr>
                          <w:alias w:val="Numeris"/>
                          <w:tag w:val="nr_09c0148a8f764ed78e7caa1a6b0d717d"/>
                          <w:lock w:val="sdtLocked"/>
                          <w:richText/>
                        </w:sdtPr>
                        <w:sdtContent>
                          <w:r>
                            <w:rPr>
                              <w:sz w:val="22"/>
                              <w:szCs w:val="22"/>
                              <w:lang w:eastAsia="lt-LT"/>
                            </w:rPr>
                            <w:t>11</w:t>
                          </w:r>
                        </w:sdtContent>
                      </w:sdt>
                      <w:r>
                        <w:rPr>
                          <w:sz w:val="22"/>
                          <w:szCs w:val="22"/>
                          <w:lang w:eastAsia="lt-LT"/>
                        </w:rPr>
                        <w:t>. Asmenims, pažeidusiems duomenų tvarkymo nuostatas, taikoma įstatymų nustatyta atsakomybė.</w:t>
                      </w:r>
                    </w:p>
                  </w:sdtContent>
                </w:sdt>
                <w:p>
                  <w:pPr>
                    <w:jc w:val="both"/>
                    <w:rPr>
                      <w:bCs/>
                      <w:i/>
                      <w:iCs/>
                      <w:sz w:val="20"/>
                    </w:rPr>
                  </w:pPr>
                  <w:r>
                    <w:rPr>
                      <w:bCs/>
                      <w:i/>
                      <w:iCs/>
                      <w:sz w:val="20"/>
                    </w:rPr>
                    <w:t xml:space="preserve"> Įstatymas papildytas straipsniu:</w:t>
                  </w:r>
                </w:p>
                <w:p>
                  <w:pPr>
                    <w:jc w:val="both"/>
                    <w:rPr>
                      <w:bCs/>
                      <w:sz w:val="22"/>
                    </w:rPr>
                  </w:pPr>
                  <w:r>
                    <w:rPr>
                      <w:bCs/>
                      <w:i/>
                      <w:iCs/>
                      <w:sz w:val="20"/>
                    </w:rPr>
                    <w:t xml:space="preserve">Nr. </w:t>
                  </w:r>
                  <w:hyperlink r:id="rId30" w:history="1">
                    <w:r>
                      <w:rPr>
                        <w:rStyle w:val="Hipersaitas"/>
                        <w:bCs/>
                        <w:i/>
                        <w:iCs/>
                        <w:sz w:val="20"/>
                      </w:rPr>
                      <w:t>X-747</w:t>
                    </w:r>
                  </w:hyperlink>
                  <w:r>
                    <w:rPr>
                      <w:bCs/>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df04a77883f74131b4f14c384d5ff3d2"/>
                    <w:lock w:val="sdtLocked"/>
                    <w:richText/>
                  </w:sdtPr>
                  <w:sdtContent>
                    <w:p>
                      <w:pPr>
                        <w:ind w:firstLine="720"/>
                        <w:jc w:val="both"/>
                      </w:pPr>
                      <w:sdt>
                        <w:sdtPr>
                          <w:alias w:val="Numeris"/>
                          <w:tag w:val="nr_df04a77883f74131b4f14c384d5ff3d2"/>
                          <w:lock w:val="sdtLocked"/>
                          <w:richText/>
                        </w:sdtPr>
                        <w:sdtContent>
                          <w:r>
                            <w:rPr>
                              <w:sz w:val="22"/>
                              <w:szCs w:val="22"/>
                            </w:rPr>
                            <w:t>4</w:t>
                          </w:r>
                        </w:sdtContent>
                      </w:sdt>
                      <w:r>
                        <w:rPr>
                          <w:sz w:val="22"/>
                          <w:szCs w:val="22"/>
                        </w:rPr>
                        <w:t>. Jeigu policijos įstaiga</w:t>
                      </w:r>
                      <w:r>
                        <w:rPr>
                          <w:color w:val="FF0000"/>
                          <w:sz w:val="22"/>
                          <w:szCs w:val="22"/>
                        </w:rPr>
                        <w:t xml:space="preserve"> </w:t>
                      </w:r>
                      <w:r>
                        <w:rPr>
                          <w:sz w:val="22"/>
                          <w:szCs w:val="22"/>
                        </w:rPr>
                        <w:t>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1"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2"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89be2dfa53374d7c987dbf6c65238853"/>
                    <w:lock w:val="sdtLocked"/>
                    <w:richText/>
                  </w:sdtPr>
                  <w:sdtContent>
                    <w:p>
                      <w:pPr>
                        <w:ind w:firstLine="720"/>
                        <w:jc w:val="both"/>
                      </w:pPr>
                      <w:sdt>
                        <w:sdtPr>
                          <w:alias w:val="Numeris"/>
                          <w:tag w:val="nr_89be2dfa53374d7c987dbf6c65238853"/>
                          <w:lock w:val="sdtLocked"/>
                          <w:richText/>
                        </w:sdtPr>
                        <w:sdtContent>
                          <w:r>
                            <w:rPr>
                              <w:color w:val="000000"/>
                              <w:sz w:val="22"/>
                              <w:szCs w:val="22"/>
                              <w:lang w:eastAsia="lt-LT"/>
                            </w:rPr>
                            <w:t>3</w:t>
                          </w:r>
                        </w:sdtContent>
                      </w:sdt>
                      <w:r>
                        <w:rPr>
                          <w:color w:val="000000"/>
                          <w:sz w:val="22"/>
                          <w:szCs w:val="22"/>
                          <w:lang w:eastAsia="lt-LT"/>
                        </w:rPr>
                        <w:t>. Tinkamu pranešimu apie bylos nagrinėjimo vietą ir laiką laikomas pranešimas, išsiųstas registruotu paštu Juridinių asmenų registre nurodytu proceso šalies buveinės adresu, išskyrus atvejus, kai proceso šalis nurodo kitą korespondencijos įteikimo adresą, arba pranešimas, išsiųstas Juridinių asmenų registre nurodytu proceso šalies elektroninių siuntų pristatymo adresu, arba pranešimas, pasirašytinai įteiktas proceso šaliai ar kitam proceso dalyviui, arba pranešimas, proceso šalims ar kitiems proceso dalyviams išsiųstas registruotu paštu jų deklaruotos gyvenamosios vietos ar kitu jų raštu nurodytu adresu.</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4"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5"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0840be55a0334ab5a4643ad68fd7cd6d"/>
        <w:lock w:val="sdtLocked"/>
        <w:richText/>
      </w:sdtPr>
      <w:sdtContent>
        <w:p>
          <w:pPr>
            <w:ind w:firstLine="5760"/>
            <w:jc w:val="both"/>
            <w:sectPr>
              <w:headerReference w:type="even" r:id="rId51"/>
              <w:headerReference w:type="default" r:id="rId52"/>
              <w:footerReference w:type="even" r:id="rId53"/>
              <w:footerReference w:type="default" r:id="rId54"/>
              <w:headerReference w:type="first" r:id="rId55"/>
              <w:footerReference w:type="first" r:id="rId56"/>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0840be55a0334ab5a4643ad68fd7cd6d"/>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0840be55a0334ab5a4643ad68fd7cd6d"/>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6e32d98e6d314f37a4485565b46ef821"/>
                <w:lock w:val="sdtLocked"/>
                <w:richText/>
              </w:sdtPr>
              <w:sdtContent>
                <w:p>
                  <w:pPr>
                    <w:ind w:firstLine="720"/>
                    <w:jc w:val="both"/>
                    <w:rPr>
                      <w:sz w:val="22"/>
                      <w:szCs w:val="22"/>
                    </w:rPr>
                  </w:pPr>
                  <w:sdt>
                    <w:sdtPr>
                      <w:alias w:val="Numeris"/>
                      <w:tag w:val="nr_6e32d98e6d314f37a4485565b46ef821"/>
                      <w:lock w:val="sdtLocked"/>
                      <w:richText/>
                    </w:sdtPr>
                    <w:sdtContent>
                      <w:r>
                        <w:rPr>
                          <w:sz w:val="22"/>
                          <w:szCs w:val="22"/>
                        </w:rPr>
                        <w:t>2.3</w:t>
                      </w:r>
                    </w:sdtContent>
                  </w:sdt>
                  <w:r>
                    <w:rPr>
                      <w:sz w:val="22"/>
                      <w:szCs w:val="22"/>
                    </w:rPr>
                    <w:t>. skrydį vykdantis faktinis oro vežėjas (pavadinimas, kodas);</w:t>
                  </w:r>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b0e4d92ac981457d9d764ef1f2c00d0e"/>
        <w:lock w:val="sdtLocked"/>
        <w:richText/>
      </w:sdtPr>
      <w:sdtContent>
        <w:p>
          <w:pPr>
            <w:ind w:firstLine="5760"/>
            <w:jc w:val="both"/>
          </w:pPr>
        </w:p>
        <w:p>
          <w:pPr>
            <w:ind w:firstLine="5760"/>
            <w:jc w:val="both"/>
          </w:pPr>
        </w:p>
        <w:p>
          <w:pPr>
            <w:ind w:firstLine="5760"/>
            <w:jc w:val="both"/>
            <w:rPr>
              <w:sz w:val="22"/>
              <w:szCs w:val="22"/>
              <w:lang w:eastAsia="lt-LT"/>
            </w:rPr>
            <w:sectPr>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0e4d92ac981457d9d764ef1f2c00d0e"/>
              <w:lock w:val="sdtLocked"/>
              <w:richText/>
            </w:sdtPr>
            <w:sdtContent>
              <w:r>
                <w:rPr>
                  <w:sz w:val="22"/>
                  <w:szCs w:val="22"/>
                  <w:lang w:eastAsia="lt-LT"/>
                </w:rPr>
                <w:t>3</w:t>
              </w:r>
            </w:sdtContent>
          </w:sdt>
          <w:r>
            <w:rPr>
              <w:sz w:val="22"/>
              <w:szCs w:val="22"/>
              <w:lang w:eastAsia="lt-LT"/>
            </w:rPr>
            <w:t xml:space="preserve"> priedas</w:t>
          </w:r>
        </w:p>
        <w:p>
          <w:pPr>
            <w:ind w:firstLine="720"/>
            <w:jc w:val="both"/>
            <w:rPr>
              <w:sz w:val="22"/>
              <w:szCs w:val="22"/>
            </w:rPr>
          </w:pPr>
        </w:p>
        <w:p>
          <w:pPr>
            <w:jc w:val="center"/>
            <w:rPr>
              <w:b/>
              <w:sz w:val="22"/>
              <w:szCs w:val="22"/>
            </w:rPr>
          </w:pPr>
          <w:sdt>
            <w:sdtPr>
              <w:alias w:val="Pavadinimas"/>
              <w:tag w:val="title_b0e4d92ac981457d9d764ef1f2c00d0e"/>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7dbd54cd05864c14b5fc28588284c610"/>
            <w:lock w:val="sdtLocked"/>
            <w:richText/>
          </w:sdtPr>
          <w:sdtContent>
            <w:p>
              <w:pPr>
                <w:ind w:firstLine="720"/>
                <w:jc w:val="both"/>
                <w:rPr>
                  <w:sz w:val="22"/>
                  <w:szCs w:val="22"/>
                </w:rPr>
              </w:pPr>
              <w:sdt>
                <w:sdtPr>
                  <w:alias w:val="Numeris"/>
                  <w:tag w:val="nr_7dbd54cd05864c14b5fc28588284c610"/>
                  <w:lock w:val="sdtLocked"/>
                  <w:richText/>
                </w:sdtPr>
                <w:sdtContent>
                  <w:r>
                    <w:rPr>
                      <w:sz w:val="22"/>
                      <w:szCs w:val="22"/>
                    </w:rPr>
                    <w:t>1</w:t>
                  </w:r>
                </w:sdtContent>
              </w:sdt>
              <w:r>
                <w:rPr>
                  <w:sz w:val="22"/>
                  <w:szCs w:val="22"/>
                </w:rPr>
                <w:t xml:space="preserve">. 2001 m. birželio 28 d. Tarybos direktyva 2001/51/EB dėl Konvencijos, įgyvendinančios 1985 m. birželio 14 d. Šengeno susitarimą, 26 straipsnio nuostatų papildymo (OL </w:t>
              </w:r>
              <w:r>
                <w:rPr>
                  <w:i/>
                  <w:sz w:val="22"/>
                  <w:szCs w:val="22"/>
                </w:rPr>
                <w:t>2004 m. specialusis leidimas</w:t>
              </w:r>
              <w:r>
                <w:rPr>
                  <w:sz w:val="22"/>
                  <w:szCs w:val="22"/>
                </w:rPr>
                <w:t>, 19 skyrius, 4 tomas, p. 160).</w:t>
              </w:r>
            </w:p>
          </w:sdtContent>
        </w:sdt>
        <w:sdt>
          <w:sdtPr>
            <w:alias w:val="3 pr. 2 p."/>
            <w:tag w:val="part_e12a68acf33a450789893e95f9976a16"/>
            <w:lock w:val="sdtLocked"/>
            <w:richText/>
          </w:sdtPr>
          <w:sdtContent>
            <w:p>
              <w:pPr>
                <w:ind w:firstLine="720"/>
                <w:jc w:val="both"/>
                <w:rPr>
                  <w:sz w:val="22"/>
                  <w:szCs w:val="22"/>
                </w:rPr>
              </w:pPr>
              <w:sdt>
                <w:sdtPr>
                  <w:alias w:val="Numeris"/>
                  <w:tag w:val="nr_e12a68acf33a450789893e95f9976a16"/>
                  <w:lock w:val="sdtLocked"/>
                  <w:richText/>
                </w:sdtPr>
                <w:sdtContent>
                  <w:r>
                    <w:rPr>
                      <w:sz w:val="22"/>
                      <w:szCs w:val="22"/>
                    </w:rPr>
                    <w:t>2</w:t>
                  </w:r>
                </w:sdtContent>
              </w:sdt>
              <w:r>
                <w:rPr>
                  <w:sz w:val="22"/>
                  <w:szCs w:val="22"/>
                </w:rPr>
                <w:t xml:space="preserve">. 2004 m. balandžio 29 d. Tarybos direktyva 2004/82/EB dėl vežėjų įpareigojimo perduoti keleivių duomenis (OL </w:t>
              </w:r>
              <w:r>
                <w:rPr>
                  <w:i/>
                  <w:sz w:val="22"/>
                  <w:szCs w:val="22"/>
                </w:rPr>
                <w:t>2004 m. specialusis leidimas</w:t>
              </w:r>
              <w:r>
                <w:rPr>
                  <w:sz w:val="22"/>
                  <w:szCs w:val="22"/>
                </w:rPr>
                <w:t>, 19 skyrius, 7 tomas, p. 74).</w:t>
              </w:r>
            </w:p>
          </w:sdtContent>
        </w:sdt>
        <w:sdt>
          <w:sdtPr>
            <w:alias w:val="3 pr. 3 p."/>
            <w:tag w:val="part_1945fbbd57fd49599d068a478f4c4853"/>
            <w:lock w:val="sdtLocked"/>
            <w:richText/>
          </w:sdtPr>
          <w:sdtContent>
            <w:p>
              <w:pPr>
                <w:ind w:firstLine="720"/>
                <w:jc w:val="both"/>
                <w:rPr>
                  <w:sz w:val="22"/>
                  <w:szCs w:val="22"/>
                </w:rPr>
              </w:pPr>
              <w:sdt>
                <w:sdtPr>
                  <w:alias w:val="Numeris"/>
                  <w:tag w:val="nr_1945fbbd57fd49599d068a478f4c4853"/>
                  <w:lock w:val="sdtLocked"/>
                  <w:richText/>
                </w:sdtPr>
                <w:sdtContent>
                  <w:r>
                    <w:rPr>
                      <w:sz w:val="22"/>
                      <w:szCs w:val="22"/>
                    </w:rPr>
                    <w:t>3</w:t>
                  </w:r>
                </w:sdtContent>
              </w:sdt>
              <w:r>
                <w:rPr>
                  <w:sz w:val="22"/>
                  <w:szCs w:val="22"/>
                </w:rPr>
                <w:t>. 2010 m. liepos 7 d. Europos Parlamento ir Tarybos direktyva 2010/40/ES dėl kelių transporto ir jo sąsajų su kitų rūšių transportu srities intelektinių transporto sistemų diegimo sistemos (OL 2010 L 207, p. 1).</w:t>
              </w:r>
            </w:p>
          </w:sdtContent>
        </w:sdt>
        <w:sdt>
          <w:sdtPr>
            <w:alias w:val="3 pr. 4 p."/>
            <w:tag w:val="part_8de7dafd87d148569d7e8a743f2957be"/>
            <w:lock w:val="sdtLocked"/>
            <w:richText/>
          </w:sdtPr>
          <w:sdtContent>
            <w:p>
              <w:pPr>
                <w:ind w:firstLine="720"/>
                <w:jc w:val="both"/>
              </w:pPr>
              <w:sdt>
                <w:sdtPr>
                  <w:alias w:val="Numeris"/>
                  <w:tag w:val="nr_8de7dafd87d148569d7e8a743f2957be"/>
                  <w:lock w:val="sdtLocked"/>
                  <w:richText/>
                </w:sdtPr>
                <w:sdtContent>
                  <w:r>
                    <w:rPr>
                      <w:sz w:val="22"/>
                      <w:szCs w:val="22"/>
                    </w:rPr>
                    <w:t>4</w:t>
                  </w:r>
                </w:sdtContent>
              </w:sdt>
              <w:r>
                <w:rPr>
                  <w:sz w:val="22"/>
                  <w:szCs w:val="22"/>
                </w:rPr>
                <w:t>. 2016 m. balandžio 27 d. Europos Parlamento ir Tarybos direktyva 2016/681 dėl keleivio duomenų įrašo (PNR) duomenų naudojimo teroristinių nusikaltimų ir sunkių nusikaltimų prevencijos, nustatymo, tyrimo ir patraukimo už juos baudžiamojon atsakomybėn tikslais (OL 2016 L 119, p. 132).</w:t>
              </w:r>
            </w:p>
          </w:sdtContent>
        </w:sdt>
        <w:p>
          <w:pPr>
            <w:jc w:val="both"/>
            <w:rPr>
              <w:bCs/>
              <w:i/>
              <w:iCs/>
              <w:sz w:val="20"/>
            </w:rPr>
          </w:pPr>
          <w:r>
            <w:rPr>
              <w:bCs/>
              <w:i/>
              <w:iCs/>
              <w:sz w:val="20"/>
            </w:rPr>
            <w:t>Įstatymas papildytas priedu:</w:t>
          </w:r>
        </w:p>
        <w:p>
          <w:pPr>
            <w:jc w:val="both"/>
            <w:rPr>
              <w:bCs/>
              <w:i/>
              <w:iCs/>
              <w:sz w:val="20"/>
            </w:rPr>
          </w:pPr>
          <w:r>
            <w:rPr>
              <w:bCs/>
              <w:i/>
              <w:iCs/>
              <w:sz w:val="20"/>
            </w:rPr>
            <w:t xml:space="preserve">Nr. </w:t>
          </w:r>
          <w:hyperlink r:id="rId36" w:history="1">
            <w:r>
              <w:rPr>
                <w:rStyle w:val="Hipersaitas"/>
                <w:bCs/>
                <w:i/>
                <w:iCs/>
                <w:sz w:val="20"/>
              </w:rPr>
              <w:t>X-214</w:t>
            </w:r>
          </w:hyperlink>
          <w:r>
            <w:rPr>
              <w:bCs/>
              <w:i/>
              <w:iCs/>
              <w:sz w:val="20"/>
            </w:rPr>
            <w:t>, 2005-05-19, Žin., 2005, Nr. 71-2560 (2005-06-07)</w:t>
          </w:r>
        </w:p>
        <w:p>
          <w:pPr>
            <w:jc w:val="both"/>
            <w:rPr>
              <w:bCs/>
              <w:i/>
              <w:iCs/>
              <w:sz w:val="20"/>
            </w:rPr>
          </w:pPr>
          <w:r>
            <w:rPr>
              <w:bCs/>
              <w:i/>
              <w:iCs/>
              <w:sz w:val="20"/>
            </w:rPr>
            <w:t>Priedo pakeitimai:</w:t>
          </w:r>
        </w:p>
        <w:p>
          <w:pPr>
            <w:jc w:val="both"/>
            <w:rPr>
              <w:i/>
              <w:iCs/>
              <w:sz w:val="20"/>
            </w:rPr>
          </w:pPr>
          <w:r>
            <w:rPr>
              <w:i/>
              <w:iCs/>
              <w:sz w:val="20"/>
            </w:rPr>
            <w:t xml:space="preserve">Nr. </w:t>
          </w:r>
          <w:hyperlink r:id="rId37" w:history="1">
            <w:r>
              <w:rPr>
                <w:rStyle w:val="Hipersaitas"/>
                <w:i/>
                <w:iCs/>
                <w:sz w:val="20"/>
              </w:rPr>
              <w:t>X-747</w:t>
            </w:r>
          </w:hyperlink>
          <w:r>
            <w:rPr>
              <w:i/>
              <w:iCs/>
              <w:sz w:val="20"/>
            </w:rPr>
            <w:t>, 2006-07-04, Žin., 2006, Nr. 82-3250 (2006-07-27)</w:t>
          </w:r>
        </w:p>
        <w:p>
          <w:pPr>
            <w:jc w:val="both"/>
            <w:rPr>
              <w:i/>
              <w:sz w:val="20"/>
            </w:rPr>
          </w:pPr>
          <w:r>
            <w:rPr>
              <w:i/>
              <w:sz w:val="20"/>
            </w:rPr>
            <w:t xml:space="preserve">Nr. </w:t>
          </w:r>
          <w:hyperlink r:id="rId38" w:history="1">
            <w:r>
              <w:rPr>
                <w:rStyle w:val="Hipersaitas"/>
                <w:i/>
                <w:sz w:val="20"/>
              </w:rPr>
              <w:t>XI-1744</w:t>
            </w:r>
          </w:hyperlink>
          <w:r>
            <w:rPr>
              <w:i/>
              <w:sz w:val="20"/>
            </w:rPr>
            <w:t>, 2011-11-29, Žin., 2011, Nr. 150-7049 (2011-12-08)</w:t>
          </w:r>
        </w:p>
        <w:p>
          <w:pPr>
            <w:jc w:val="both"/>
            <w:rPr>
              <w:sz w:val="20"/>
            </w:rPr>
          </w:pPr>
          <w:r>
            <w:rPr>
              <w:i/>
              <w:sz w:val="20"/>
            </w:rPr>
            <w:t xml:space="preserve">Nr. </w:t>
          </w:r>
          <w:hyperlink r:id="rId39" w:history="1">
            <w:r>
              <w:rPr>
                <w:rStyle w:val="Hipersaitas"/>
                <w:i/>
                <w:sz w:val="20"/>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5"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7"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C4CAF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56808&amp;b="/>
  <Relationship Id="rId11" Type="http://schemas.openxmlformats.org/officeDocument/2006/relationships/hyperlink" TargetMode="External" Target="http://www3.lrs.lt/cgi-bin/preps2?a=280576&amp;b="/>
  <Relationship Id="rId12" Type="http://schemas.openxmlformats.org/officeDocument/2006/relationships/hyperlink" TargetMode="External" Target="http://www3.lrs.lt/cgi-bin/preps2?a=412853&amp;b="/>
  <Relationship Id="rId13" Type="http://schemas.openxmlformats.org/officeDocument/2006/relationships/hyperlink" TargetMode="External" Target="http://www3.lrs.lt/cgi-bin/preps2?a=415670&amp;b="/>
  <Relationship Id="rId14" Type="http://schemas.openxmlformats.org/officeDocument/2006/relationships/hyperlink" TargetMode="External" Target="http://www3.lrs.lt/cgi-bin/preps2?a=256808&amp;b="/>
  <Relationship Id="rId15" Type="http://schemas.openxmlformats.org/officeDocument/2006/relationships/hyperlink" TargetMode="External" Target="http://www3.lrs.lt/cgi-bin/preps2?a=412853&amp;b="/>
  <Relationship Id="rId16" Type="http://schemas.openxmlformats.org/officeDocument/2006/relationships/hyperlink" TargetMode="External" Target="http://www3.lrs.lt/cgi-bin/preps2?a=415670&amp;b="/>
  <Relationship Id="rId17" Type="http://schemas.openxmlformats.org/officeDocument/2006/relationships/hyperlink" TargetMode="External" Target="http://www3.lrs.lt/cgi-bin/preps2?a=437381&amp;b="/>
  <Relationship Id="rId18" Type="http://schemas.openxmlformats.org/officeDocument/2006/relationships/hyperlink" TargetMode="External" Target="http://www3.lrs.lt/cgi-bin/preps2?a=415670&amp;b="/>
  <Relationship Id="rId19" Type="http://schemas.openxmlformats.org/officeDocument/2006/relationships/hyperlink" TargetMode="External" Target="http://www3.lrs.lt/cgi-bin/preps2?a=415670&amp;b="/>
  <Relationship Id="rId2" Type="http://schemas.openxmlformats.org/officeDocument/2006/relationships/fontTable" Target="fontTable.xml"/>
  <Relationship Id="rId20" Type="http://schemas.openxmlformats.org/officeDocument/2006/relationships/hyperlink" TargetMode="External" Target="http://www3.lrs.lt/cgi-bin/preps2?a=223787&amp;b="/>
  <Relationship Id="rId21" Type="http://schemas.openxmlformats.org/officeDocument/2006/relationships/hyperlink" TargetMode="External" Target="http://www3.lrs.lt/cgi-bin/preps2?a=232365&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415670&amp;b="/>
  <Relationship Id="rId24" Type="http://schemas.openxmlformats.org/officeDocument/2006/relationships/hyperlink" TargetMode="External" Target="http://www3.lrs.lt/cgi-bin/preps2?a=412853&amp;b="/>
  <Relationship Id="rId25" Type="http://schemas.openxmlformats.org/officeDocument/2006/relationships/hyperlink" TargetMode="External" Target="http://www3.lrs.lt/cgi-bin/preps2?a=415670&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256808&amp;b="/>
  <Relationship Id="rId29" Type="http://schemas.openxmlformats.org/officeDocument/2006/relationships/hyperlink" TargetMode="External" Target="http://www3.lrs.lt/cgi-bin/preps2?a=280576&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56808&amp;b="/>
  <Relationship Id="rId37" Type="http://schemas.openxmlformats.org/officeDocument/2006/relationships/hyperlink" TargetMode="External" Target="http://www3.lrs.lt/cgi-bin/preps2?a=280576&amp;b="/>
  <Relationship Id="rId38" Type="http://schemas.openxmlformats.org/officeDocument/2006/relationships/hyperlink" TargetMode="External" Target="http://www3.lrs.lt/cgi-bin/preps2?a=412853&amp;b="/>
  <Relationship Id="rId39" Type="http://schemas.openxmlformats.org/officeDocument/2006/relationships/hyperlink" TargetMode="External" Target="http://www3.lrs.lt/cgi-bin/preps2?a=415670&amp;b="/>
  <Relationship Id="rId4" Type="http://schemas.openxmlformats.org/officeDocument/2006/relationships/settings" Target="settings.xml"/>
  <Relationship Id="rId40" Type="http://schemas.openxmlformats.org/officeDocument/2006/relationships/hyperlink" TargetMode="External" Target="http://www3.lrs.lt/cgi-bin/preps2?a=22555&amp;b="/>
  <Relationship Id="rId41" Type="http://schemas.openxmlformats.org/officeDocument/2006/relationships/hyperlink" TargetMode="External" Target="http://www3.lrs.lt/cgi-bin/preps2?a=44935&amp;b="/>
  <Relationship Id="rId42" Type="http://schemas.openxmlformats.org/officeDocument/2006/relationships/hyperlink" TargetMode="External" Target="http://www3.lrs.lt/cgi-bin/preps2?a=67695&amp;b="/>
  <Relationship Id="rId43" Type="http://schemas.openxmlformats.org/officeDocument/2006/relationships/hyperlink" TargetMode="External" Target="http://www3.lrs.lt/cgi-bin/preps2?a=162207&amp;b="/>
  <Relationship Id="rId44" Type="http://schemas.openxmlformats.org/officeDocument/2006/relationships/hyperlink" TargetMode="External" Target="http://www3.lrs.lt/cgi-bin/preps2?a=223787&amp;b="/>
  <Relationship Id="rId45" Type="http://schemas.openxmlformats.org/officeDocument/2006/relationships/hyperlink" TargetMode="External" Target="http://www3.lrs.lt/cgi-bin/preps2?a=232365&amp;b="/>
  <Relationship Id="rId46" Type="http://schemas.openxmlformats.org/officeDocument/2006/relationships/hyperlink" TargetMode="External" Target="http://www3.lrs.lt/cgi-bin/preps2?a=256808&amp;b="/>
  <Relationship Id="rId47" Type="http://schemas.openxmlformats.org/officeDocument/2006/relationships/hyperlink" TargetMode="External" Target="http://www3.lrs.lt/cgi-bin/preps2?a=280576&amp;b="/>
  <Relationship Id="rId48" Type="http://schemas.openxmlformats.org/officeDocument/2006/relationships/hyperlink" TargetMode="External" Target="http://www3.lrs.lt/cgi-bin/preps2?a=412853&amp;b="/>
  <Relationship Id="rId49" Type="http://schemas.openxmlformats.org/officeDocument/2006/relationships/hyperlink" TargetMode="External" Target="http://www3.lrs.lt/cgi-bin/preps2?a=415670&amp;b="/>
  <Relationship Id="rId5" Type="http://schemas.openxmlformats.org/officeDocument/2006/relationships/styles" Target="styles.xml"/>
  <Relationship Id="rId50" Type="http://schemas.openxmlformats.org/officeDocument/2006/relationships/hyperlink" TargetMode="External" Target="http://www3.lrs.lt/cgi-bin/preps2?a=437381&amp;b="/>
  <Relationship Id="rId51" Type="http://schemas.openxmlformats.org/officeDocument/2006/relationships/header" Target="header1.xml"/>
  <Relationship Id="rId52" Type="http://schemas.openxmlformats.org/officeDocument/2006/relationships/header" Target="header2.xml"/>
  <Relationship Id="rId53" Type="http://schemas.openxmlformats.org/officeDocument/2006/relationships/footer" Target="footer1.xml"/>
  <Relationship Id="rId54" Type="http://schemas.openxmlformats.org/officeDocument/2006/relationships/footer" Target="footer2.xml"/>
  <Relationship Id="rId55" Type="http://schemas.openxmlformats.org/officeDocument/2006/relationships/header" Target="header3.xml"/>
  <Relationship Id="rId56" Type="http://schemas.openxmlformats.org/officeDocument/2006/relationships/footer" Target="footer3.xml"/>
  <Relationship Id="rId57"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a=16220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06ad1a1386c445f296e0b41d1443610e">
        <Part Type="strDalis" Nr="1" Abbr="2 str. 1 d." DocPartId="b931cdfd057b45d2b72ebf49dc127126" PartId="6722e6f1477b49b69d9708ec99dbfbb0"/>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2 str. 6 d." DocPartId="39d476a98c4345bbaa357c794d091d80" PartId="2fc80af7793f4fc2abe49dbfcf736c39"/>
        <Part Type="strDalis" Nr="7" Abbr="2 str. 7 d." DocPartId="e27ce48be8694eb092ad2d52277fda11" PartId="2b0ba3fee04a4815aaf07bb83e815c67"/>
        <Part Type="strDalis" Nr="8" Abbr="2 str. 8 d." DocPartId="b5671de7dcd146668c91a47756556a6b" PartId="1b0d631d3c704d5bb67e8d4470518ca0"/>
        <Part Type="strDalis" Nr="9" Abbr="2 str. 9 d." DocPartId="1a8b31817e51485e9f712a6349960016" PartId="900f3f3aa74b4b1d82c9c793bc4d68f0"/>
        <Part Type="strDalis" Nr="10" Abbr="2 str. 10 d." DocPartId="590685dd4f1a423a917fbc341f303354" PartId="fef1b8ba5f37433ca6d0a64795721b5c"/>
        <Part Type="strDalis" Nr="11" Abbr="2 str. 11 d." DocPartId="2c92824fbb6947b098a71d0b73d5de40" PartId="eb77bf6c9c6c4bdc96b96d9ff53b676d"/>
        <Part Type="strDalis" Nr="12" Abbr="2 str. 12 d." DocPartId="5cb71d30083244f79f6fa2de48658786" PartId="cec9e4627a59427aae55ec687ab4e4a6"/>
        <Part Type="strDalis" Nr="13" Abbr="2 str. 13 d." DocPartId="fa8ae1cb97fa45bcb12fdb8e9045c622" PartId="e58ba2e2710f436ab23f7f09cdaa91db"/>
        <Part Type="strDalis" Nr="14" Abbr="2 str. 14 d." DocPartId="b9e0a8677c54478ab01119c9c11836a6" PartId="44dd865e1ced4219b23d4f28fcdd9364"/>
        <Part Type="strDalis" Nr="15" Abbr="2 str. 15 d." DocPartId="50af4fd70b274239a1c7246abb6fc5a7" PartId="cf79194b0ba14d2c9ce360d5977e20d8"/>
        <Part Type="strDalis" Nr="16" Abbr="2 str. 16 d." DocPartId="dad5c1c6914540549562f74f30021dbc" PartId="f729304c102040b099d73d45e10c719f"/>
        <Part Type="strDalis" Nr="17" Abbr="2 str. 17 d." DocPartId="4fa0af2202ba47ffaba3126254f66d78" PartId="57d25960493b48e2a23a2c38ade9d343"/>
        <Part Type="strDalis" Nr="18" Abbr="2 str. 18 d." DocPartId="65161077ed9e48e4b6949f34f2e50b38" PartId="4b21ba00e6704440a7f10dcd72045238"/>
        <Part Type="strDalis" Nr="19" Abbr="2 str. 19 d." DocPartId="93273a19263145aa886afbb8d4e50550" PartId="6157539b89014e6dbc446a446a3c6fb0"/>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da7bba15cb324d74a84e8e908eff57c0"/>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878671a8252d451c808681dcc9b0c2fb">
        <Part Type="strDalis" Nr="1" Abbr="6 str. 1 d." DocPartId="d36342485ad24a60bba74d03a39dc852" PartId="604091521aa9415ab067a2e5e4bfa632"/>
        <Part Type="strDalis" Nr="2" Abbr="6 str. 2 d." DocPartId="78b6233582e5420bb24b5a504f76d595" PartId="3e0379db1b6e45ba96338618fa26b298"/>
        <Part Type="strDalis" Nr="3" Abbr="6 str. 3 d." DocPartId="957ba43b33c14a05851fdea18d870417" PartId="8162792dc9044fa982afe9dfc23ef012"/>
        <Part Type="strDalis" Nr="4" Abbr="6 str. 4 d." DocPartId="aa8f66d19251433a9893bdbf288afdb4" PartId="68fc5886e8f246c19ed26b3eba7e062e"/>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c97449a9969a469ca7ea0324d3836059"/>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cc7f9015600e43a2bb4b5a5c27c657ff">
        <Part Type="strDalis" Nr="1" Abbr="11 str. 1 d." DocPartId="e65d97f9daf849f38cede6acb5cacd29" PartId="4d45f2e15c484a67bdbdae38e31189c0"/>
        <Part Type="strDalis" Nr="2" Abbr="11 str. 2 d." DocPartId="4705018e270d49e298ac5e5e3b868743" PartId="566dcd1003ee4d4199388b6a4785721b"/>
        <Part Type="strDalis" Nr="3" Abbr="11 str. 3 d." DocPartId="a41b6a3e47dd433b967a56dd86abaa5a" PartId="8e8ae3e743114a49ba8b924349cd5d40"/>
        <Part Type="strDalis" Nr="4" Abbr="11 str. 4 d." DocPartId="0b821b62c3ee4e69a55ce269ff02c7d4" PartId="97ddcd3689d74fd9b7d7c7da74adce59"/>
        <Part Type="strDalis" Nr="5" Abbr="11 str. 5 d." DocPartId="8665be12e70b4b0d8013073d372b1dc2" PartId="a51d3739f7f848cbb4d533803d9e4c15"/>
      </Part>
      <Part Type="straipsnis" Nr="12" Abbr="12 str." Title="Kombinuotieji krovinių ir keleivių vežimai" DocPartId="9de56e3e9a2a4e64b61b2760068e5942" PartId="5c5e4c57eb6f419f9a2cb27aea407a82">
        <Part Type="strDalis" Nr="1" Abbr="12 str. 1 d." DocPartId="997a6ea7e8714f06890f19a315e071c0" PartId="a06729cd3fbf430bb1d685695c995329"/>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cd6cd57d4ae7430ca09bfc16b030d214">
        <Part Type="strDalis" Nr="1" Abbr="14 str. 1 d." DocPartId="87263ee869a54246ae7648fbf9f06d91" PartId="443d089cabd543eeae46268b41fe5a01"/>
        <Part Type="strDalis" Nr="2" Abbr="14 str. 2 d." DocPartId="b8c7d0ef0fb24d14a3686362b58e6cf8" PartId="95ed690d60be481f9f3cb9554237f9d9"/>
        <Part Type="strDalis" Nr="3" Abbr="14 str. 3 d." DocPartId="46048e4ec3c9410badc4d71f49c336e6" PartId="93251a6c9fa64f9fa2a0b490b847dc84"/>
        <Part Type="strDalis" Nr="4" Abbr="14 str. 4 d." DocPartId="1d4efe35d3c14eba9f9b9abbef3fdad8" PartId="db56e171fd824c32936ffd6cd4ef4cba"/>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429e0f0f0c5e4215aeb589da5acbb6ae"/>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83dc03075b1a48caa2ac0eca66ece966">
        <Part Type="strDalis" Nr="1" Abbr="18 str. 1 d." DocPartId="3b99aed9a4f54a399d8bd0740c03d4cd" PartId="50ce15b53a8b4a159056a4efb0534749"/>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informaciją" DocPartId="d1be95cc91ea432da5312dd0e7fc9b30" PartId="37ebde3d3eef41edae7a3d14e7b6181d">
        <Part Type="strDalis" Nr="1" Abbr="19-1 str. 1 d." DocPartId="5634351f6576460a8b2917d08238763e" PartId="a999e0081f704848b7b38d3301113ac3"/>
        <Part Type="strDalis" Nr="2" Abbr="19-1 str. 2 d." DocPartId="ef6342ec2f974828af0646622b217ea7" PartId="1e136baa31024fcaba845a3d8fc0588c"/>
        <Part Type="strDalis" Nr="3" Abbr="19-1 str. 3 d." DocPartId="c341bed406c94fc4bbf8e80324b51b8d" PartId="3a583b93acf241afa2abcf094fbee227"/>
        <Part Type="strDalis" Nr="4" Abbr="19-1 str. 4 d." DocPartId="6761079f8ea0402da95dc43331e17688" PartId="03b95942ee0c42cfae31fa20e4231a5d"/>
        <Part Type="strDalis" Nr="5" Abbr="19-1 str. 5 d." DocPartId="69d446c65a44401a9a42ec450b0af93c" PartId="161bf42b0f214092a06b1cde3076342c"/>
        <Part Type="strDalis" Nr="6" Abbr="19-1 str. 6 d." DocPartId="3f00972a676841158791dfa901572003" PartId="a7d2348ab1354f05951e9a748b7f1fce"/>
        <Part Type="strDalis" Nr="7" Abbr="19-1 str. 7 d." DocPartId="5321ae0e390d41e8accbd529690cb603" PartId="6a305bfc77cb4e48ba033690c475f9e1"/>
        <Part Type="strDalis" Nr="8" Abbr="19-1 str. 8 d." DocPartId="8736a2b4ad614a60a68eb44ec3f1931d" PartId="2b556d89bb1d48f49d6857c52972a2a1"/>
        <Part Type="strDalis" Nr="9" Abbr="19-1 str. 9 d." DocPartId="4c852ad525eb48949acea59d0cebece4" PartId="ba7cd2ca20fa4240bd6c61ddffe9e5fc"/>
        <Part Type="strDalis" Nr="10" Abbr="19-1 str. 10 d." DocPartId="7dca09ed37504ac697283ee7d44be9b4" PartId="fa489cfd5cf34a3184623b0a3424fb6f"/>
        <Part Type="strDalis" Nr="11" Abbr="19-1 str. 11 d." DocPartId="0314c006ea4d4c3c8bd1e11d1076e9a9" PartId="09c0148a8f764ed78e7caa1a6b0d717d"/>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df04a77883f74131b4f14c384d5ff3d2"/>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89be2dfa53374d7c987dbf6c65238853"/>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0840be55a0334ab5a4643ad68fd7cd6d">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6e32d98e6d314f37a4485565b46ef821"/>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b0e4d92ac981457d9d764ef1f2c00d0e">
    <Part Type="punktas" Nr="1" Abbr="3 pr. 1 p." DocPartId="1c9b2a7bd19e4f52877ec4a28551b91d" PartId="7dbd54cd05864c14b5fc28588284c610"/>
    <Part Type="punktas" Nr="2" Abbr="3 pr. 2 p." DocPartId="3607e5e0d15740f3b49d29037a3c0d6e" PartId="e12a68acf33a450789893e95f9976a16"/>
    <Part Type="punktas" Nr="3" Abbr="3 pr. 3 p." DocPartId="09ed7fd3c3d647b7ac82566dbc59e2f3" PartId="1945fbbd57fd49599d068a478f4c4853"/>
    <Part Type="punktas" Nr="4" Abbr="3 pr. 4 p." DocPartId="4792688e5b444634b824b74cca115e6c" PartId="8de7dafd87d148569d7e8a743f2957be"/>
  </Part>
  <Part Type="skirsnis" Title="Pakeitimai:" DocPartId="778fb1c051164604aab0bf202ccab10e" PartId="97b64698ac8c4aad859eb1570779fc0f"/>
</Parts>
</file>

<file path=customXml/itemProps1.xml><?xml version="1.0" encoding="utf-8"?>
<ds:datastoreItem xmlns:ds="http://schemas.openxmlformats.org/officeDocument/2006/customXml" ds:itemID="{D79AFA24-230A-4BBB-B8C4-51FBB861735C}">
  <ds:schemaRefs>
    <ds:schemaRef ds:uri="http://lrs.lt/TAIS/DocParts"/>
  </ds:schemaRefs>
</ds:datastoreItem>
</file>

<file path=docProps/app.xml><?xml version="1.0" encoding="utf-8"?>
<Properties xmlns="http://schemas.openxmlformats.org/officeDocument/2006/extended-properties">
  <Template>Normal.dotm</Template>
  <TotalTime>33</TotalTime>
  <Pages>14</Pages>
  <Words>33866</Words>
  <Characters>19304</Characters>
  <Application>Microsoft Office Word</Application>
  <DocSecurity>0</DocSecurity>
  <Lines>160</Lines>
  <Paragraphs>106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53064</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TRAPINSKIENĖ Aušrinė</lastModifiedBy>
  <lastPrinted>2254-05-16T19:52:00Z</lastPrinted>
  <dcterms:modified xsi:type="dcterms:W3CDTF">2019-01-07T11:43:00Z</dcterms:modified>
  <revision>8</revision>
  <dc:title>Redagavo: Ramun? L??ait? (1997</dc:title>
</coreProperties>
</file>