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2021-09-18 iki 2022-07-31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12"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6"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612bc2c9cab74cc684eaa0d1c5336e44"/>
                    <w:lock w:val="sdtLocked"/>
                    <w:richText/>
                  </w:sdtPr>
                  <w:sdtContent>
                    <w:p>
                      <w:pPr>
                        <w:ind w:firstLine="720"/>
                        <w:jc w:val="both"/>
                        <w:rPr>
                          <w:sz w:val="22"/>
                          <w:szCs w:val="22"/>
                        </w:rPr>
                      </w:pPr>
                      <w:sdt>
                        <w:sdtPr>
                          <w:alias w:val="Numeris"/>
                          <w:tag w:val="nr_612bc2c9cab74cc684eaa0d1c5336e44"/>
                          <w:lock w:val="sdtLocked"/>
                          <w:richText/>
                        </w:sdtPr>
                        <w:sdtContent>
                          <w:r>
                            <w:rPr>
                              <w:bCs/>
                              <w:sz w:val="22"/>
                              <w:szCs w:val="22"/>
                            </w:rPr>
                            <w:t>18</w:t>
                          </w:r>
                        </w:sdtContent>
                      </w:sdt>
                      <w:r>
                        <w:rPr>
                          <w:bCs/>
                          <w:sz w:val="22"/>
                          <w:szCs w:val="22"/>
                        </w:rPr>
                        <w:t xml:space="preserve">. </w:t>
                      </w:r>
                      <w:r>
                        <w:rPr>
                          <w:b/>
                          <w:bCs/>
                          <w:sz w:val="22"/>
                          <w:szCs w:val="22"/>
                        </w:rPr>
                        <w:t>Viešoji transporto infrastruktūra</w:t>
                      </w:r>
                      <w:r>
                        <w:rPr>
                          <w:bCs/>
                          <w:sz w:val="22"/>
                          <w:szCs w:val="22"/>
                        </w:rPr>
                        <w:t xml:space="preserve"> </w:t>
                      </w:r>
                      <w:r>
                        <w:rPr>
                          <w:sz w:val="22"/>
                          <w:szCs w:val="22"/>
                        </w:rPr>
                        <w:t xml:space="preserve">– transporto infrastruktūra, </w:t>
                      </w:r>
                      <w:r>
                        <w:rPr>
                          <w:bCs/>
                          <w:sz w:val="22"/>
                          <w:szCs w:val="22"/>
                        </w:rPr>
                        <w:t>kuri skirta keleiviams, bagažui ir (arba) kroviniams vežti ir kurią sudaro viešoji geležinkelių infrastruktūra, Lietuvos valstybei nuosavybės teise priklausantys geležinkelių paslaugų įrenginiai, valstybinės reikšmės ir vietinės reikšmės viešieji keliai, tarptautinių oro uostų infrastruktūra, skrydžių valdymo sistemos įrenginiai, vidaus vandenų transporto infrastruktūra, jūrų uostų infrastruktūra.</w:t>
                      </w:r>
                      <w:r>
                        <w:rPr>
                          <w:bCs/>
                          <w:sz w:val="22"/>
                          <w:szCs w:val="22"/>
                          <w:lang w:eastAsia="lt-LT"/>
                        </w:rPr>
                        <w:t xml:space="preserve"> </w:t>
                      </w:r>
                      <w:r>
                        <w:rPr>
                          <w:bCs/>
                          <w:sz w:val="22"/>
                          <w:szCs w:val="22"/>
                        </w:rPr>
                        <w:t>Konkretūs viešosios transporto infrastruktūros objektai nurodyti specialiuosiuose transporto rūšių įstatymuose.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8"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20"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1"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70b0c9021ab34f3d858f7c66f798c3b7"/>
                        <w:lock w:val="sdtLocked"/>
                        <w:richText/>
                      </w:sdtPr>
                      <w:sdtContent>
                        <w:p>
                          <w:pPr>
                            <w:ind w:firstLine="720"/>
                            <w:jc w:val="both"/>
                            <w:rPr>
                              <w:color w:val="000000"/>
                              <w:sz w:val="22"/>
                            </w:rPr>
                          </w:pPr>
                          <w:sdt>
                            <w:sdtPr>
                              <w:alias w:val="Numeris"/>
                              <w:tag w:val="nr_70b0c9021ab34f3d858f7c66f798c3b7"/>
                              <w:lock w:val="sdtLocked"/>
                              <w:richText/>
                            </w:sdtPr>
                            <w:sdtContent>
                              <w:r>
                                <w:rPr>
                                  <w:sz w:val="22"/>
                                  <w:szCs w:val="22"/>
                                </w:rPr>
                                <w:t>4</w:t>
                              </w:r>
                            </w:sdtContent>
                          </w:sdt>
                          <w:r>
                            <w:rPr>
                              <w:sz w:val="22"/>
                              <w:szCs w:val="22"/>
                            </w:rPr>
                            <w:t>) nustato privalomus reikalavimus transporto veiklai vykdyti valstybės institucijoms, asociacijoms, transporto infrastruktūros objektų valdytojams, transporto infrastruktūros objektų naudotojams;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b8dd35f96ee44b818bceb5a00cf496ce"/>
                <w:lock w:val="sdtLocked"/>
                <w:richText/>
              </w:sdtPr>
              <w:sdtContent>
                <w:p>
                  <w:pPr>
                    <w:ind w:firstLine="720"/>
                    <w:jc w:val="both"/>
                    <w:rPr>
                      <w:color w:val="000000"/>
                      <w:sz w:val="22"/>
                      <w:szCs w:val="22"/>
                      <w:lang w:eastAsia="lt-LT"/>
                    </w:rPr>
                  </w:pPr>
                  <w:sdt>
                    <w:sdtPr>
                      <w:alias w:val="Numeris"/>
                      <w:tag w:val="nr_b8dd35f96ee44b818bceb5a00cf496ce"/>
                      <w:lock w:val="sdtLocked"/>
                      <w:richText/>
                    </w:sdtPr>
                    <w:sdtContent>
                      <w:r>
                        <w:rPr>
                          <w:b/>
                          <w:bCs/>
                          <w:color w:val="000000"/>
                          <w:sz w:val="22"/>
                          <w:szCs w:val="22"/>
                          <w:lang w:eastAsia="lt-LT"/>
                        </w:rPr>
                        <w:t>6</w:t>
                      </w:r>
                    </w:sdtContent>
                  </w:sdt>
                  <w:r>
                    <w:rPr>
                      <w:b/>
                      <w:bCs/>
                      <w:color w:val="000000"/>
                      <w:sz w:val="22"/>
                      <w:szCs w:val="22"/>
                      <w:lang w:eastAsia="lt-LT"/>
                    </w:rPr>
                    <w:t xml:space="preserve"> straipsnis. </w:t>
                  </w:r>
                  <w:sdt>
                    <w:sdtPr>
                      <w:alias w:val="Pavadinimas"/>
                      <w:tag w:val="title_b8dd35f96ee44b818bceb5a00cf496ce"/>
                      <w:lock w:val="sdtLocked"/>
                      <w:richText/>
                    </w:sdtPr>
                    <w:sdtContent>
                      <w:r>
                        <w:rPr>
                          <w:b/>
                          <w:bCs/>
                          <w:color w:val="000000"/>
                          <w:sz w:val="22"/>
                          <w:szCs w:val="22"/>
                          <w:lang w:eastAsia="lt-LT"/>
                        </w:rPr>
                        <w:t>Transporto objektų nuosavybė</w:t>
                      </w:r>
                    </w:sdtContent>
                  </w:sdt>
                </w:p>
                <w:sdt>
                  <w:sdtPr>
                    <w:alias w:val="6 str. 1 d."/>
                    <w:tag w:val="part_1def29abade94f16b663b1af9665c9f9"/>
                    <w:lock w:val="sdtLocked"/>
                    <w:richText/>
                  </w:sdtPr>
                  <w:sdtContent>
                    <w:p>
                      <w:pPr>
                        <w:ind w:firstLine="720"/>
                        <w:jc w:val="both"/>
                        <w:rPr>
                          <w:color w:val="000000"/>
                          <w:sz w:val="22"/>
                          <w:szCs w:val="22"/>
                          <w:lang w:eastAsia="lt-LT"/>
                        </w:rPr>
                      </w:pPr>
                      <w:sdt>
                        <w:sdtPr>
                          <w:alias w:val="Numeris"/>
                          <w:tag w:val="nr_1def29abade94f16b663b1af9665c9f9"/>
                          <w:lock w:val="sdtLocked"/>
                          <w:richText/>
                        </w:sdtPr>
                        <w:sdtContent>
                          <w:r>
                            <w:rPr>
                              <w:color w:val="000000"/>
                              <w:sz w:val="22"/>
                              <w:szCs w:val="22"/>
                              <w:lang w:eastAsia="lt-LT"/>
                            </w:rPr>
                            <w:t>1</w:t>
                          </w:r>
                        </w:sdtContent>
                      </w:sdt>
                      <w:r>
                        <w:rPr>
                          <w:color w:val="000000"/>
                          <w:sz w:val="22"/>
                          <w:szCs w:val="22"/>
                          <w:lang w:eastAsia="lt-LT"/>
                        </w:rPr>
                        <w:t>. Transporto objektai nuosavybės teise gali priklausyti Lietuvos valstybei, savivaldybėms, Lietuvos Respublikos ir užsienio fiziniams asmenims ir juridiniams asmenims.</w:t>
                      </w:r>
                    </w:p>
                  </w:sdtContent>
                </w:sdt>
                <w:sdt>
                  <w:sdtPr>
                    <w:alias w:val="6 str. 2 d."/>
                    <w:tag w:val="part_47b23a413af44668b8d35c68de9d5494"/>
                    <w:lock w:val="sdtLocked"/>
                    <w:richText/>
                  </w:sdtPr>
                  <w:sdtContent>
                    <w:p>
                      <w:pPr>
                        <w:ind w:firstLine="720"/>
                        <w:jc w:val="both"/>
                        <w:rPr>
                          <w:color w:val="000000"/>
                          <w:sz w:val="22"/>
                          <w:szCs w:val="22"/>
                          <w:lang w:eastAsia="lt-LT"/>
                        </w:rPr>
                      </w:pPr>
                      <w:sdt>
                        <w:sdtPr>
                          <w:alias w:val="Numeris"/>
                          <w:tag w:val="nr_47b23a413af44668b8d35c68de9d5494"/>
                          <w:lock w:val="sdtLocked"/>
                          <w:richText/>
                        </w:sdtPr>
                        <w:sdtContent>
                          <w:r>
                            <w:rPr>
                              <w:color w:val="000000"/>
                              <w:sz w:val="22"/>
                              <w:szCs w:val="22"/>
                              <w:lang w:eastAsia="lt-LT"/>
                            </w:rPr>
                            <w:t>2</w:t>
                          </w:r>
                        </w:sdtContent>
                      </w:sdt>
                      <w:r>
                        <w:rPr>
                          <w:color w:val="000000"/>
                          <w:sz w:val="22"/>
                          <w:szCs w:val="22"/>
                          <w:lang w:eastAsia="lt-LT"/>
                        </w:rPr>
                        <w:t>. Lietuvos valstybei išimtine nuosavybės teise priklauso valstybinės reikšmės vidaus vandenų keliai, viešoji geležinkelių infrastruktūra, Lietuvos valstybei nuosavybės teise priklausantys geležinkelių paslaugų įrenginiai, valstybinės reikšmės keliai ir šiems objektams priskirta žemė.</w:t>
                      </w:r>
                    </w:p>
                  </w:sdtContent>
                </w:sdt>
                <w:sdt>
                  <w:sdtPr>
                    <w:alias w:val="6 str. 3 d."/>
                    <w:tag w:val="part_dd47bf7268944a63b29988c3b79eada5"/>
                    <w:lock w:val="sdtLocked"/>
                    <w:richText/>
                  </w:sdtPr>
                  <w:sdtContent>
                    <w:p>
                      <w:pPr>
                        <w:ind w:firstLine="720"/>
                        <w:jc w:val="both"/>
                        <w:rPr>
                          <w:color w:val="000000"/>
                          <w:sz w:val="22"/>
                          <w:szCs w:val="22"/>
                          <w:lang w:eastAsia="lt-LT"/>
                        </w:rPr>
                      </w:pPr>
                      <w:sdt>
                        <w:sdtPr>
                          <w:alias w:val="Numeris"/>
                          <w:tag w:val="nr_dd47bf7268944a63b29988c3b79eada5"/>
                          <w:lock w:val="sdtLocked"/>
                          <w:richText/>
                        </w:sdtPr>
                        <w:sdtContent>
                          <w:r>
                            <w:rPr>
                              <w:color w:val="000000"/>
                              <w:sz w:val="22"/>
                              <w:szCs w:val="22"/>
                              <w:lang w:eastAsia="lt-LT"/>
                            </w:rPr>
                            <w:t>3</w:t>
                          </w:r>
                        </w:sdtContent>
                      </w:sdt>
                      <w:r>
                        <w:rPr>
                          <w:color w:val="000000"/>
                          <w:sz w:val="22"/>
                          <w:szCs w:val="22"/>
                          <w:lang w:eastAsia="lt-LT"/>
                        </w:rPr>
                        <w:t>. Viešosios transporto infrastruktūros objektai, išskyrus nurodytus šio straipsnio 2 dalyje, nuosavybės teise gali priklausyti Lietuvos valstybei, savivaldybei, uždarajai akcinei bendrovei ar akcinei bendrovei, kurių visos akcijos nuosavybės teise priklauso valstybei ar savivaldybei (toliau – valstybės ar savivaldybės valdoma bendrovė), ir uždarajai akcinei bendrovei ar akcinei bendrovei, kurių visos akcijos nuosavybės teise priklauso valstybės ar savivaldybės valdomai bendrovei. Kai viešosios transporto infrastruktūros objektai nuosavybės teise priklauso valstybės ar savivaldybės valdomai bendrovei, uždarajai akcinei bendrovei ar akcinei bendrovei, kurių visos akcijos nuosavybės teise priklauso valstybės ar savivaldybės valdomai bendrovei, šių bendrovių visos akcijos gali nuosavybės teise priklausyti tik valstybei, savivaldybei ar valstybės ar savivaldybės valdomai bendrovei.</w:t>
                      </w:r>
                    </w:p>
                  </w:sdtContent>
                </w:sdt>
                <w:sdt>
                  <w:sdtPr>
                    <w:alias w:val="6 str. 4 d."/>
                    <w:tag w:val="part_1a61c84d2f2a44aa8fe4242991aed22a"/>
                    <w:lock w:val="sdtLocked"/>
                    <w:richText/>
                  </w:sdtPr>
                  <w:sdtContent>
                    <w:p>
                      <w:pPr>
                        <w:ind w:firstLine="720"/>
                        <w:jc w:val="both"/>
                        <w:rPr>
                          <w:color w:val="000000"/>
                          <w:sz w:val="22"/>
                          <w:szCs w:val="22"/>
                          <w:lang w:eastAsia="lt-LT"/>
                        </w:rPr>
                      </w:pPr>
                      <w:sdt>
                        <w:sdtPr>
                          <w:alias w:val="Numeris"/>
                          <w:tag w:val="nr_1a61c84d2f2a44aa8fe4242991aed22a"/>
                          <w:lock w:val="sdtLocked"/>
                          <w:richText/>
                        </w:sdtPr>
                        <w:sdtContent>
                          <w:r>
                            <w:rPr>
                              <w:color w:val="000000"/>
                              <w:sz w:val="22"/>
                              <w:szCs w:val="22"/>
                              <w:lang w:eastAsia="lt-LT"/>
                            </w:rPr>
                            <w:t>4</w:t>
                          </w:r>
                        </w:sdtContent>
                      </w:sdt>
                      <w:r>
                        <w:rPr>
                          <w:color w:val="000000"/>
                          <w:sz w:val="22"/>
                          <w:szCs w:val="22"/>
                          <w:lang w:eastAsia="lt-LT"/>
                        </w:rPr>
                        <w:t>. Viešosios transporto infrastruktūros objektai, žemė, akvatorija (vandens plotai), kitas priskirtas ar sukurtas turtas yra valdomi nuosavybės teise arba valdomi, naudojami ir disponuojama jais turto patikėjimo teise vadovaujantis šiuo ir kitais įstatymais.</w:t>
                      </w:r>
                    </w:p>
                  </w:sdtContent>
                </w:sdt>
                <w:sdt>
                  <w:sdtPr>
                    <w:alias w:val="6 str. 5 d."/>
                    <w:tag w:val="part_6b833bdb7a4949738ce8fb9369cb1bad"/>
                    <w:lock w:val="sdtLocked"/>
                    <w:richText/>
                  </w:sdtPr>
                  <w:sdtContent>
                    <w:p>
                      <w:pPr>
                        <w:ind w:firstLine="720"/>
                        <w:jc w:val="both"/>
                        <w:rPr>
                          <w:color w:val="000000"/>
                          <w:sz w:val="22"/>
                          <w:szCs w:val="22"/>
                          <w:lang w:eastAsia="lt-LT"/>
                        </w:rPr>
                      </w:pPr>
                      <w:sdt>
                        <w:sdtPr>
                          <w:alias w:val="Numeris"/>
                          <w:tag w:val="nr_6b833bdb7a4949738ce8fb9369cb1bad"/>
                          <w:lock w:val="sdtLocked"/>
                          <w:richText/>
                        </w:sdtPr>
                        <w:sdtContent>
                          <w:r>
                            <w:rPr>
                              <w:color w:val="000000"/>
                              <w:sz w:val="22"/>
                              <w:szCs w:val="22"/>
                              <w:lang w:eastAsia="lt-LT"/>
                            </w:rPr>
                            <w:t>5</w:t>
                          </w:r>
                        </w:sdtContent>
                      </w:sdt>
                      <w:r>
                        <w:rPr>
                          <w:color w:val="000000"/>
                          <w:sz w:val="22"/>
                          <w:szCs w:val="22"/>
                          <w:lang w:eastAsia="lt-LT"/>
                        </w:rPr>
                        <w:t>. Viešosios transporto infrastruktūros objektais negali būti užtikrinamas kitų nei juos nuosavybės ar patikėjimo teise valdančių asmenų prievolių įvykdymas. Viešosios transporto infrastruktūros objektus, kurie pagal Lietuvos Respublikos nacionaliniam saugumui užtikrinti svarbių objektų apsaugos įstatymą pripažįstami nacionaliniam saugumui užtikrinti svarbiais įrenginiais ir turtu, nuosavybės ar patikėjimo teise valdančių asmenų prievolės šiais objektais gali būti užtikrinamos tik gavus Nacionaliniam saugumui užtikrinti svarbių objektų apsaugos koordinavimo komisijos leidimą. Į viešosios transporto infrastruktūros objektus negali būti nukreipti išieškojimai pagal kreditorių reikalavimus.</w:t>
                      </w:r>
                    </w:p>
                  </w:sdtContent>
                </w:sdt>
                <w:sdt>
                  <w:sdtPr>
                    <w:alias w:val="6 str. 6 d."/>
                    <w:tag w:val="part_dd57f27919ce4e6980bed032df1f65cb"/>
                    <w:lock w:val="sdtLocked"/>
                    <w:richText/>
                  </w:sdtPr>
                  <w:sdtContent>
                    <w:p>
                      <w:pPr>
                        <w:ind w:firstLine="720"/>
                        <w:jc w:val="both"/>
                      </w:pPr>
                      <w:sdt>
                        <w:sdtPr>
                          <w:alias w:val="Numeris"/>
                          <w:tag w:val="nr_dd57f27919ce4e6980bed032df1f65cb"/>
                          <w:lock w:val="sdtLocked"/>
                          <w:richText/>
                        </w:sdtPr>
                        <w:sdtContent>
                          <w:r>
                            <w:rPr>
                              <w:color w:val="000000"/>
                              <w:sz w:val="22"/>
                              <w:szCs w:val="22"/>
                              <w:lang w:eastAsia="lt-LT"/>
                            </w:rPr>
                            <w:t>6</w:t>
                          </w:r>
                        </w:sdtContent>
                      </w:sdt>
                      <w:r>
                        <w:rPr>
                          <w:color w:val="000000"/>
                          <w:sz w:val="22"/>
                          <w:szCs w:val="22"/>
                          <w:lang w:eastAsia="lt-LT"/>
                        </w:rPr>
                        <w:t>. Privačios transporto infrastruktūros savininkas yra fizinis ar juridinis asmuo.</w:t>
                      </w:r>
                    </w:p>
                  </w:sdtContent>
                </w:sdt>
                <w:p>
                  <w:pPr>
                    <w:jc w:val="both"/>
                    <w:rPr>
                      <w:i/>
                      <w:iCs/>
                      <w:color w:val="000000"/>
                      <w:sz w:val="20"/>
                      <w:lang w:eastAsia="lt-LT"/>
                    </w:rPr>
                  </w:pPr>
                  <w:r>
                    <w:rPr>
                      <w:i/>
                      <w:iCs/>
                      <w:color w:val="000000"/>
                      <w:sz w:val="20"/>
                      <w:lang w:eastAsia="lt-LT"/>
                    </w:rPr>
                    <w:t>Straipsnio pakeitimai:</w:t>
                  </w:r>
                </w:p>
                <w:p>
                  <w:pPr>
                    <w:jc w:val="both"/>
                    <w:rPr>
                      <w:i/>
                      <w:iCs/>
                      <w:color w:val="000000"/>
                      <w:sz w:val="20"/>
                      <w:lang w:eastAsia="lt-LT"/>
                    </w:rPr>
                  </w:pPr>
                  <w:r>
                    <w:rPr>
                      <w:i/>
                      <w:iCs/>
                      <w:color w:val="000000"/>
                      <w:sz w:val="20"/>
                      <w:lang w:eastAsia="lt-LT"/>
                    </w:rPr>
                    <w:t xml:space="preserve">Nr. </w:t>
                  </w:r>
                  <w:hyperlink r:id="rId23" w:history="1">
                    <w:r>
                      <w:rPr>
                        <w:rStyle w:val="Hipersaitas"/>
                        <w:i/>
                        <w:iCs/>
                        <w:sz w:val="20"/>
                        <w:lang w:eastAsia="lt-LT"/>
                      </w:rPr>
                      <w:t>IX-1866</w:t>
                    </w:r>
                  </w:hyperlink>
                  <w:r>
                    <w:rPr>
                      <w:i/>
                      <w:iCs/>
                      <w:color w:val="000000"/>
                      <w:sz w:val="20"/>
                      <w:lang w:eastAsia="lt-LT"/>
                    </w:rPr>
                    <w:t>, 2003-12-02, Žin., 2003, Nr. 119-5403 (2003-12-18)</w:t>
                  </w:r>
                </w:p>
                <w:p>
                  <w:pPr>
                    <w:jc w:val="both"/>
                    <w:rPr>
                      <w:i/>
                      <w:iCs/>
                      <w:color w:val="000000"/>
                      <w:sz w:val="20"/>
                      <w:lang w:eastAsia="lt-LT"/>
                    </w:rPr>
                  </w:pPr>
                  <w:r>
                    <w:rPr>
                      <w:i/>
                      <w:iCs/>
                      <w:color w:val="000000"/>
                      <w:sz w:val="20"/>
                      <w:lang w:eastAsia="lt-LT"/>
                    </w:rPr>
                    <w:t xml:space="preserve">Nr. </w:t>
                  </w:r>
                  <w:hyperlink r:id="rId24" w:history="1">
                    <w:r>
                      <w:rPr>
                        <w:rStyle w:val="Hipersaitas"/>
                        <w:i/>
                        <w:iCs/>
                        <w:sz w:val="20"/>
                        <w:lang w:eastAsia="lt-LT"/>
                      </w:rPr>
                      <w:t>IX-2196</w:t>
                    </w:r>
                  </w:hyperlink>
                  <w:r>
                    <w:rPr>
                      <w:i/>
                      <w:iCs/>
                      <w:color w:val="000000"/>
                      <w:sz w:val="20"/>
                      <w:lang w:eastAsia="lt-LT"/>
                    </w:rPr>
                    <w:t>, 2004-04-29, Žin., 2004, Nr. 73-2530 (2004-04-30)</w:t>
                  </w:r>
                </w:p>
                <w:p>
                  <w:pPr>
                    <w:jc w:val="both"/>
                    <w:rPr>
                      <w:color w:val="000000"/>
                      <w:sz w:val="22"/>
                    </w:rPr>
                  </w:pPr>
                  <w:r>
                    <w:rPr>
                      <w:i/>
                      <w:color w:val="000000"/>
                      <w:sz w:val="20"/>
                      <w:lang w:eastAsia="lt-LT"/>
                    </w:rPr>
                    <w:t xml:space="preserve">Nr. </w:t>
                  </w:r>
                  <w:hyperlink r:id="rId25" w:history="1">
                    <w:r>
                      <w:rPr>
                        <w:rStyle w:val="Hipersaitas"/>
                        <w:i/>
                        <w:sz w:val="20"/>
                        <w:lang w:eastAsia="lt-LT"/>
                      </w:rPr>
                      <w:t>XI-1832</w:t>
                    </w:r>
                  </w:hyperlink>
                  <w:r>
                    <w:rPr>
                      <w:i/>
                      <w:color w:val="000000"/>
                      <w:sz w:val="20"/>
                      <w:lang w:eastAsia="lt-LT"/>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2ff461262de94a2a95ddbf0e63d4d96d"/>
                    <w:lock w:val="sdtLocked"/>
                    <w:richText/>
                  </w:sdtPr>
                  <w:sdtContent>
                    <w:p>
                      <w:pPr>
                        <w:ind w:firstLine="720"/>
                        <w:jc w:val="both"/>
                        <w:rPr>
                          <w:b/>
                          <w:color w:val="000000"/>
                          <w:sz w:val="22"/>
                        </w:rPr>
                      </w:pPr>
                      <w:sdt>
                        <w:sdtPr>
                          <w:alias w:val="Numeris"/>
                          <w:tag w:val="nr_2ff461262de94a2a95ddbf0e63d4d96d"/>
                          <w:lock w:val="sdtLocked"/>
                          <w:richText/>
                        </w:sdtPr>
                        <w:sdtContent>
                          <w:r>
                            <w:rPr>
                              <w:sz w:val="22"/>
                              <w:szCs w:val="22"/>
                            </w:rPr>
                            <w:t>3</w:t>
                          </w:r>
                        </w:sdtContent>
                      </w:sdt>
                      <w:r>
                        <w:rPr>
                          <w:sz w:val="22"/>
                          <w:szCs w:val="22"/>
                        </w:rPr>
                        <w:t xml:space="preserve">. Lėšos, gautos už naudojimąsi viešąja transporto infrastruktūra, naudojamos tik šios infrastruktūros funkcionavimui užtikrinti ir šio Įstatymo 15 straipsnio 2 dalyje numatytoms programoms finansuoti. Šis reikalavimas netaikomas tais atvejais,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 kai viešosios</w:t>
                      </w:r>
                      <w:r>
                        <w:rPr>
                          <w:sz w:val="22"/>
                          <w:szCs w:val="22"/>
                        </w:rPr>
                        <w:t xml:space="preserve"> transporto infrastruktūros valdymas perduodamas investuotojui teisės aktų nustatyta tvarka pagal koncesijos ar valdžios ir privataus subjektų partnerystės sutartį, kurioje nustatoma pareiga investuotojui užtikrinti tinkamą perduotos viešosios transporto infrastruktūros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8e8ae3e743114a49ba8b924349cd5d40"/>
                    <w:lock w:val="sdtLocked"/>
                    <w:richText/>
                  </w:sdtPr>
                  <w:sdtContent>
                    <w:p>
                      <w:pPr>
                        <w:ind w:firstLine="720"/>
                        <w:jc w:val="both"/>
                        <w:rPr>
                          <w:sz w:val="22"/>
                          <w:szCs w:val="22"/>
                        </w:rPr>
                      </w:pPr>
                      <w:sdt>
                        <w:sdtPr>
                          <w:alias w:val="Numeris"/>
                          <w:tag w:val="nr_8e8ae3e743114a49ba8b924349cd5d40"/>
                          <w:lock w:val="sdtLocked"/>
                          <w:richText/>
                        </w:sdtPr>
                        <w:sdtContent>
                          <w:r>
                            <w:rPr>
                              <w:sz w:val="22"/>
                              <w:szCs w:val="22"/>
                              <w:lang w:eastAsia="lt-LT"/>
                            </w:rPr>
                            <w:t>3</w:t>
                          </w:r>
                        </w:sdtContent>
                      </w:sdt>
                      <w:r>
                        <w:rPr>
                          <w:sz w:val="22"/>
                          <w:szCs w:val="22"/>
                          <w:lang w:eastAsia="lt-LT"/>
                        </w:rPr>
                        <w:t>. Asmens duomenys intelektinių transporto sistemų srityje tvarkomi vadovaujantis</w:t>
                      </w:r>
                      <w:r>
                        <w:rPr>
                          <w:rFonts w:eastAsia="Calibri"/>
                          <w:sz w:val="22"/>
                          <w:szCs w:val="22"/>
                          <w:shd w:val="clear" w:color="auto" w:fill="FFFFFF"/>
                        </w:rPr>
                        <w:t xml:space="preserve"> </w:t>
                      </w:r>
                      <w:r>
                        <w:rPr>
                          <w:sz w:val="22"/>
                          <w:szCs w:val="22"/>
                          <w:lang w:eastAsia="lt-LT"/>
                        </w:rPr>
                        <w:t xml:space="preserve">Lietuvos Respublikos asmens duomenų teisinės apsaugos įstatymo, Lietuvos Respublikos elektroninių ryšių įstatymo ir </w:t>
                      </w:r>
                      <w:r>
                        <w:rPr>
                          <w:rFonts w:eastAsia="Calibri"/>
                          <w:sz w:val="22"/>
                          <w:szCs w:val="22"/>
                        </w:rP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rFonts w:eastAsia="Calibri"/>
                          <w:sz w:val="22"/>
                          <w:szCs w:val="22"/>
                          <w:shd w:val="clear" w:color="auto" w:fill="FFFFFF"/>
                        </w:rPr>
                        <w:t>(OL 2016 L 119, p. 1)</w:t>
                      </w:r>
                      <w:r>
                        <w:rPr>
                          <w:sz w:val="22"/>
                          <w:szCs w:val="22"/>
                          <w:lang w:eastAsia="lt-LT"/>
                        </w:rPr>
                        <w:t xml:space="preserve"> nuostatomis. Tais atvejais, kai nėra būtini asmens tapatybę nustatantys duomenys, intelektinių transporto sistemų srityje tvarkomi tokie duomenys, iš kurių negalima nustatyti asmens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a06729cd3fbf430bb1d685695c995329"/>
                    <w:lock w:val="sdtLocked"/>
                    <w:richText/>
                  </w:sdtPr>
                  <w:sdtContent>
                    <w:p>
                      <w:pPr>
                        <w:ind w:firstLine="720"/>
                        <w:jc w:val="both"/>
                        <w:rPr>
                          <w:sz w:val="22"/>
                          <w:szCs w:val="22"/>
                        </w:rPr>
                      </w:pPr>
                      <w:sdt>
                        <w:sdtPr>
                          <w:alias w:val="Numeris"/>
                          <w:tag w:val="nr_a06729cd3fbf430bb1d685695c995329"/>
                          <w:lock w:val="sdtLocked"/>
                          <w:richText/>
                        </w:sdtPr>
                        <w:sdtContent>
                          <w:r>
                            <w:rPr>
                              <w:sz w:val="22"/>
                              <w:szCs w:val="22"/>
                            </w:rPr>
                            <w:t>1</w:t>
                          </w:r>
                        </w:sdtContent>
                      </w:sdt>
                      <w:r>
                        <w:rPr>
                          <w:sz w:val="22"/>
                          <w:szCs w:val="22"/>
                        </w:rPr>
                        <w:t xml:space="preserve">. Kombinuotasis krovinių vežimas – krovinių vežimas ne mažiau kaip dviejų rūšių transporto priemonėmis, kai tas pats krovinys, esantis sunkvežimyje, priekaboje ar puspriekabėje (su vilkiku ar be jo), keičiamoje talpykloje arba 20 ar daugiau pėdų konteineryje, didžiąją maršruto dalį yra vežamas geležinkelių, vidaus vandenų arba jūrų transportu, o pradinę ir (arba) galutinę maršruto dalį – kelių transporto priemonėmis. </w:t>
                      </w:r>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7"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8"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9"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a7346243fe134a1b831520b6bff9622f"/>
                <w:lock w:val="sdtLocked"/>
                <w:richText/>
              </w:sdtPr>
              <w:sdtContent>
                <w:p>
                  <w:pPr>
                    <w:ind w:firstLine="720"/>
                    <w:jc w:val="both"/>
                    <w:rPr>
                      <w:bCs/>
                      <w:sz w:val="22"/>
                      <w:szCs w:val="22"/>
                      <w:lang w:eastAsia="lt-LT"/>
                    </w:rPr>
                  </w:pPr>
                  <w:sdt>
                    <w:sdtPr>
                      <w:alias w:val="Numeris"/>
                      <w:tag w:val="nr_a7346243fe134a1b831520b6bff9622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a7346243fe134a1b831520b6bff9622f"/>
                      <w:lock w:val="sdtLocked"/>
                      <w:richText/>
                    </w:sdtPr>
                    <w:sdtContent>
                      <w:r>
                        <w:rPr>
                          <w:b/>
                          <w:bCs/>
                          <w:sz w:val="22"/>
                          <w:szCs w:val="22"/>
                          <w:lang w:eastAsia="lt-LT"/>
                        </w:rPr>
                        <w:t>Transporto infrastruktūros rūšys ir valdytojai</w:t>
                      </w:r>
                    </w:sdtContent>
                  </w:sdt>
                </w:p>
                <w:sdt>
                  <w:sdtPr>
                    <w:alias w:val="14 str. 1 d."/>
                    <w:tag w:val="part_18fb133142bd4d2c98c91eeff11cff17"/>
                    <w:lock w:val="sdtLocked"/>
                    <w:richText/>
                  </w:sdtPr>
                  <w:sdtContent>
                    <w:p>
                      <w:pPr>
                        <w:ind w:firstLine="720"/>
                        <w:jc w:val="both"/>
                        <w:rPr>
                          <w:sz w:val="22"/>
                          <w:szCs w:val="22"/>
                          <w:lang w:eastAsia="lt-LT"/>
                        </w:rPr>
                      </w:pPr>
                      <w:sdt>
                        <w:sdtPr>
                          <w:alias w:val="Numeris"/>
                          <w:tag w:val="nr_18fb133142bd4d2c98c91eeff11cff17"/>
                          <w:lock w:val="sdtLocked"/>
                          <w:richText/>
                        </w:sdtPr>
                        <w:sdtContent>
                          <w:r>
                            <w:rPr>
                              <w:sz w:val="22"/>
                              <w:szCs w:val="22"/>
                              <w:lang w:eastAsia="lt-LT"/>
                            </w:rPr>
                            <w:t>1</w:t>
                          </w:r>
                        </w:sdtContent>
                      </w:sdt>
                      <w:r>
                        <w:rPr>
                          <w:sz w:val="22"/>
                          <w:szCs w:val="22"/>
                          <w:lang w:eastAsia="lt-LT"/>
                        </w:rPr>
                        <w:t>. Transporto infrastruktūra yra viešoji ir privati.</w:t>
                      </w:r>
                    </w:p>
                  </w:sdtContent>
                </w:sdt>
                <w:sdt>
                  <w:sdtPr>
                    <w:alias w:val="14 str. 2 d."/>
                    <w:tag w:val="part_d277f3cf6d554877b94e6f443f72361c"/>
                    <w:lock w:val="sdtLocked"/>
                    <w:richText/>
                  </w:sdtPr>
                  <w:sdtContent>
                    <w:p>
                      <w:pPr>
                        <w:ind w:firstLine="720"/>
                        <w:jc w:val="both"/>
                        <w:rPr>
                          <w:b/>
                          <w:color w:val="000000"/>
                          <w:sz w:val="22"/>
                        </w:rPr>
                      </w:pPr>
                      <w:sdt>
                        <w:sdtPr>
                          <w:alias w:val="Numeris"/>
                          <w:tag w:val="nr_d277f3cf6d554877b94e6f443f72361c"/>
                          <w:lock w:val="sdtLocked"/>
                          <w:richText/>
                        </w:sdtPr>
                        <w:sdtContent>
                          <w:r>
                            <w:rPr>
                              <w:sz w:val="22"/>
                              <w:szCs w:val="22"/>
                            </w:rPr>
                            <w:t>2</w:t>
                          </w:r>
                        </w:sdtContent>
                      </w:sdt>
                      <w:r>
                        <w:rPr>
                          <w:sz w:val="22"/>
                          <w:szCs w:val="22"/>
                        </w:rPr>
                        <w:t>. Lietuvos valstybei išimtine nuosavybės teise arba savivaldybei nuosavybės teise priklausančios viešosios transporto infrastruktūros valdytoją skiria Vyriausybė arba savivaldybės institucija. Valdytojui parinkti skelbiamas konkursas arba viešajai transporto infrastruktūrai valdyti steigiama įmonė.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54ff8ee7f86640ae90a72b02d6aa18b5"/>
                    <w:lock w:val="sdtLocked"/>
                    <w:richText/>
                  </w:sdtPr>
                  <w:sdtContent>
                    <w:p>
                      <w:pPr>
                        <w:ind w:firstLine="720"/>
                        <w:jc w:val="both"/>
                        <w:rPr>
                          <w:sz w:val="22"/>
                          <w:szCs w:val="22"/>
                        </w:rPr>
                      </w:pPr>
                      <w:sdt>
                        <w:sdtPr>
                          <w:alias w:val="Numeris"/>
                          <w:tag w:val="nr_54ff8ee7f86640ae90a72b02d6aa18b5"/>
                          <w:lock w:val="sdtLocked"/>
                          <w:richText/>
                        </w:sdtPr>
                        <w:sdtContent>
                          <w:r>
                            <w:rPr>
                              <w:sz w:val="22"/>
                              <w:szCs w:val="22"/>
                            </w:rPr>
                            <w:t>2</w:t>
                          </w:r>
                        </w:sdtContent>
                      </w:sdt>
                      <w:r>
                        <w:rPr>
                          <w:sz w:val="22"/>
                          <w:szCs w:val="22"/>
                        </w:rPr>
                        <w:t xml:space="preserve">. Lėšas, gautas už naudojimąsi viešąja transporto infrastruktūra, viešosios transporto infrastruktūros valdytojas naudoja pagal viešosios transporto infrastruktūros savininko ar jo įgaliotos institucijos patvirtintą pajamų ir išlaidų sąmatą bei patvirtintas programas šio straipsnio 1 dalyje numatytiems tikslams, išskyrus atvejus, </w:t>
                      </w:r>
                      <w:r>
                        <w:rPr>
                          <w:bCs/>
                          <w:sz w:val="22"/>
                          <w:szCs w:val="22"/>
                        </w:rPr>
                        <w:t>kai viešosios transporto infrastruktūros savininkė yra valstybės ar savivaldybės valdoma bendrovė arba uždaroji akcinė bendrovė ar akcinė bendrovė, kurių visos akcijos nuosavybės teise priklauso valstybės ar savivaldybės valdomai bendrovei, arba</w:t>
                      </w:r>
                      <w:r>
                        <w:rPr>
                          <w:sz w:val="22"/>
                          <w:szCs w:val="22"/>
                        </w:rPr>
                        <w:t xml:space="preserve"> kai viešosios transporto infrastruktūros valdymas perduodamas investuotojui, kaip tai numatyta šio Įstatymo 9 straipsnio 3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30"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ff2f24e158a14933a2df71493fe0d9e0"/>
                <w:lock w:val="sdtLocked"/>
                <w:richText/>
              </w:sdtPr>
              <w:sdtContent>
                <w:p>
                  <w:pPr>
                    <w:ind w:left="2127" w:hanging="1407"/>
                    <w:jc w:val="both"/>
                    <w:rPr>
                      <w:b/>
                      <w:sz w:val="22"/>
                      <w:szCs w:val="22"/>
                    </w:rPr>
                  </w:pPr>
                  <w:sdt>
                    <w:sdtPr>
                      <w:alias w:val="Numeris"/>
                      <w:tag w:val="nr_ff2f24e158a14933a2df71493fe0d9e0"/>
                      <w:lock w:val="sdtLocked"/>
                      <w:richText/>
                    </w:sdtPr>
                    <w:sdtContent>
                      <w:r>
                        <w:rPr>
                          <w:b/>
                          <w:sz w:val="22"/>
                          <w:szCs w:val="22"/>
                        </w:rPr>
                        <w:t>18</w:t>
                      </w:r>
                    </w:sdtContent>
                  </w:sdt>
                  <w:r>
                    <w:rPr>
                      <w:b/>
                      <w:sz w:val="22"/>
                      <w:szCs w:val="22"/>
                    </w:rPr>
                    <w:t xml:space="preserve"> straipsnis. </w:t>
                  </w:r>
                  <w:sdt>
                    <w:sdtPr>
                      <w:alias w:val="Pavadinimas"/>
                      <w:tag w:val="title_ff2f24e158a14933a2df71493fe0d9e0"/>
                      <w:lock w:val="sdtLocked"/>
                      <w:richText/>
                    </w:sdtPr>
                    <w:sdtContent>
                      <w:r>
                        <w:rPr>
                          <w:b/>
                          <w:sz w:val="22"/>
                          <w:szCs w:val="22"/>
                        </w:rPr>
                        <w:t>Viešosios transporto infrastruktūros valdytojo santykiai su transporto infrastruktūros savininku</w:t>
                      </w:r>
                    </w:sdtContent>
                  </w:sdt>
                </w:p>
                <w:sdt>
                  <w:sdtPr>
                    <w:alias w:val="18 str. 1 d."/>
                    <w:tag w:val="part_d872c789062b4b5d8f30dd86734fc70c"/>
                    <w:lock w:val="sdtLocked"/>
                    <w:richText/>
                  </w:sdtPr>
                  <w:sdtContent>
                    <w:p>
                      <w:pPr>
                        <w:ind w:firstLine="720"/>
                        <w:jc w:val="both"/>
                        <w:rPr>
                          <w:rFonts w:eastAsia="MS Mincho"/>
                          <w:bCs/>
                          <w:i/>
                          <w:iCs/>
                          <w:sz w:val="20"/>
                        </w:rPr>
                      </w:pPr>
                      <w:r>
                        <w:rPr>
                          <w:bCs/>
                          <w:sz w:val="22"/>
                          <w:szCs w:val="22"/>
                        </w:rPr>
                        <w:t xml:space="preserve">Kai viešoji transporto infrastruktūra </w:t>
                      </w:r>
                      <w:r>
                        <w:rPr>
                          <w:bCs/>
                          <w:sz w:val="22"/>
                          <w:szCs w:val="22"/>
                          <w:lang w:eastAsia="lt-LT"/>
                        </w:rPr>
                        <w:t>priklauso Lietuvos valstybei išimtine nuosavybės teise</w:t>
                      </w:r>
                      <w:r>
                        <w:rPr>
                          <w:bCs/>
                          <w:sz w:val="22"/>
                          <w:szCs w:val="22"/>
                        </w:rPr>
                        <w:t xml:space="preserve"> arba savivaldybei nuosavybės teise, </w:t>
                      </w:r>
                      <w:r>
                        <w:rPr>
                          <w:bCs/>
                          <w:sz w:val="22"/>
                          <w:szCs w:val="22"/>
                          <w:lang w:eastAsia="lt-LT"/>
                        </w:rPr>
                        <w:t>viešosios transporto infrastruktūros savininko ir valdytojo tarpusavio santykiai nustatomi turto patikėjimo sutartyje, jeigu kiti įstatymai nenustato kitaip</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7ddbd017b211ec9f09e7df20500045">
                    <w:r w:rsidRPr="00532B9F">
                      <w:rPr>
                        <w:rFonts w:ascii="Times New Roman" w:eastAsia="MS Mincho" w:hAnsi="Times New Roman"/>
                        <w:sz w:val="20"/>
                        <w:i/>
                        <w:iCs/>
                        <w:color w:val="0000FF" w:themeColor="hyperlink"/>
                        <w:u w:val="single"/>
                      </w:rPr>
                      <w:t>XIV-524</w:t>
                    </w:r>
                  </w:fldSimple>
                  <w:r>
                    <w:rPr>
                      <w:rFonts w:ascii="Times New Roman" w:eastAsia="MS Mincho" w:hAnsi="Times New Roman"/>
                      <w:sz w:val="20"/>
                      <w:i/>
                      <w:iCs/>
                    </w:rPr>
                    <w:t>,
2021-09-16,
paskelbta TAR 2021-09-17, i. k. 2021-19617            </w:t>
                  </w:r>
                </w:p>
                <w:p/>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31"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37ebde3d3eef41edae7a3d14e7b6181d"/>
                <w:lock w:val="sdtLocked"/>
                <w:richText/>
              </w:sdtPr>
              <w:sdtContent>
                <w:p>
                  <w:pPr>
                    <w:ind w:left="2410" w:hanging="1690"/>
                    <w:jc w:val="both"/>
                    <w:rPr>
                      <w:sz w:val="22"/>
                      <w:szCs w:val="22"/>
                      <w:lang w:eastAsia="lt-LT"/>
                    </w:rPr>
                  </w:pPr>
                  <w:sdt>
                    <w:sdtPr>
                      <w:alias w:val="Numeris"/>
                      <w:tag w:val="nr_37ebde3d3eef41edae7a3d14e7b6181d"/>
                      <w:lock w:val="sdtLocked"/>
                      <w:richText/>
                    </w:sdtPr>
                    <w:sdtContent>
                      <w:r>
                        <w:rPr>
                          <w:b/>
                          <w:bCs/>
                          <w:sz w:val="22"/>
                          <w:szCs w:val="22"/>
                          <w:lang w:eastAsia="lt-LT"/>
                        </w:rPr>
                        <w:t>19</w:t>
                      </w:r>
                      <w:r>
                        <w:rPr>
                          <w:b/>
                          <w:bCs/>
                          <w:sz w:val="22"/>
                          <w:szCs w:val="22"/>
                          <w:vertAlign w:val="superscript"/>
                          <w:lang w:eastAsia="lt-LT"/>
                        </w:rPr>
                        <w:t>1</w:t>
                      </w:r>
                    </w:sdtContent>
                  </w:sdt>
                  <w:r>
                    <w:rPr>
                      <w:b/>
                      <w:bCs/>
                      <w:sz w:val="22"/>
                      <w:szCs w:val="22"/>
                      <w:lang w:eastAsia="lt-LT"/>
                    </w:rPr>
                    <w:t xml:space="preserve"> straipsnis. </w:t>
                  </w:r>
                  <w:sdt>
                    <w:sdtPr>
                      <w:alias w:val="Pavadinimas"/>
                      <w:tag w:val="title_37ebde3d3eef41edae7a3d14e7b6181d"/>
                      <w:lock w:val="sdtLocked"/>
                      <w:richText/>
                    </w:sdtPr>
                    <w:sdtContent>
                      <w:r>
                        <w:rPr>
                          <w:b/>
                          <w:bCs/>
                          <w:sz w:val="22"/>
                          <w:szCs w:val="22"/>
                          <w:lang w:eastAsia="lt-LT"/>
                        </w:rPr>
                        <w:t>Vežėjų, kurie verčiasi keleivių vežimu oro keliais, pareiga teikti informaciją</w:t>
                      </w:r>
                    </w:sdtContent>
                  </w:sdt>
                </w:p>
                <w:sdt>
                  <w:sdtPr>
                    <w:alias w:val="19-1 str. 1 d."/>
                    <w:tag w:val="part_a999e0081f704848b7b38d3301113ac3"/>
                    <w:lock w:val="sdtLocked"/>
                    <w:richText/>
                  </w:sdtPr>
                  <w:sdtContent>
                    <w:p>
                      <w:pPr>
                        <w:ind w:firstLine="720"/>
                        <w:jc w:val="both"/>
                        <w:rPr>
                          <w:sz w:val="22"/>
                          <w:szCs w:val="22"/>
                          <w:lang w:eastAsia="lt-LT"/>
                        </w:rPr>
                      </w:pPr>
                      <w:sdt>
                        <w:sdtPr>
                          <w:alias w:val="Numeris"/>
                          <w:tag w:val="nr_a999e0081f704848b7b38d3301113ac3"/>
                          <w:lock w:val="sdtLocked"/>
                          <w:richText/>
                        </w:sdtPr>
                        <w:sdtContent>
                          <w:r>
                            <w:rPr>
                              <w:sz w:val="22"/>
                              <w:szCs w:val="22"/>
                              <w:lang w:eastAsia="lt-LT"/>
                            </w:rPr>
                            <w:t>1</w:t>
                          </w:r>
                        </w:sdtContent>
                      </w:sdt>
                      <w:r>
                        <w:rPr>
                          <w:sz w:val="22"/>
                          <w:szCs w:val="22"/>
                          <w:lang w:eastAsia="lt-LT"/>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p>
                      <w:pPr>
                        <w:jc w:val="both"/>
                        <w:rPr>
                          <w:i/>
                          <w:sz w:val="20"/>
                          <w:lang w:eastAsia="lt-LT"/>
                        </w:rPr>
                      </w:pPr>
                      <w:r>
                        <w:rPr>
                          <w:b/>
                          <w:i/>
                          <w:sz w:val="20"/>
                          <w:lang w:eastAsia="lt-LT"/>
                        </w:rPr>
                        <w:t>TAR pastaba.</w:t>
                      </w:r>
                      <w:r>
                        <w:rPr>
                          <w:i/>
                          <w:sz w:val="20"/>
                          <w:lang w:eastAsia="lt-LT"/>
                        </w:rPr>
                        <w:t xml:space="preserve"> Bylos dėl Lietuvos Respublikos transporto veiklos pagrindų 19</w:t>
                      </w:r>
                      <w:r>
                        <w:rPr>
                          <w:i/>
                          <w:sz w:val="20"/>
                          <w:vertAlign w:val="superscript"/>
                          <w:lang w:eastAsia="lt-LT"/>
                        </w:rPr>
                        <w:t xml:space="preserve">1 </w:t>
                      </w:r>
                      <w:r>
                        <w:rPr>
                          <w:i/>
                          <w:sz w:val="20"/>
                          <w:lang w:eastAsia="lt-LT"/>
                        </w:rPr>
                        <w:t>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19-1 str. 2 d."/>
                    <w:tag w:val="part_3a99126cb32946f0b9873e738f2516dd"/>
                    <w:lock w:val="sdtLocked"/>
                    <w:richText/>
                  </w:sdtPr>
                  <w:sdtContent>
                    <w:p>
                      <w:pPr>
                        <w:ind w:firstLine="720"/>
                        <w:jc w:val="both"/>
                        <w:rPr>
                          <w:sz w:val="22"/>
                          <w:szCs w:val="22"/>
                          <w:lang w:eastAsia="lt-LT"/>
                        </w:rPr>
                      </w:pPr>
                      <w:sdt>
                        <w:sdtPr>
                          <w:alias w:val="Numeris"/>
                          <w:tag w:val="nr_3a99126cb32946f0b9873e738f2516dd"/>
                          <w:lock w:val="sdtLocked"/>
                          <w:richText/>
                        </w:sdtPr>
                        <w:sdtContent>
                          <w:r>
                            <w:rPr>
                              <w:color w:val="000000"/>
                              <w:sz w:val="22"/>
                              <w:szCs w:val="22"/>
                            </w:rPr>
                            <w:t>2</w:t>
                          </w:r>
                        </w:sdtContent>
                      </w:sdt>
                      <w:r>
                        <w:rPr>
                          <w:color w:val="000000"/>
                          <w:sz w:val="22"/>
                          <w:szCs w:val="22"/>
                        </w:rPr>
                        <w:t>. Įgaliotas padalinys yra Lietuvos policijos generalinio komisaro įsakymu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90b3d023e311eabe008ea93139d588">
                        <w:r w:rsidRPr="00532B9F">
                          <w:rPr>
                            <w:rFonts w:ascii="Times New Roman" w:eastAsia="MS Mincho" w:hAnsi="Times New Roman"/>
                            <w:sz w:val="20"/>
                            <w:i/>
                            <w:iCs/>
                            <w:color w:val="0000FF" w:themeColor="hyperlink"/>
                            <w:u w:val="single"/>
                          </w:rPr>
                          <w:t>XIII-2662</w:t>
                        </w:r>
                      </w:fldSimple>
                      <w:r>
                        <w:rPr>
                          <w:rFonts w:ascii="Times New Roman" w:eastAsia="MS Mincho" w:hAnsi="Times New Roman"/>
                          <w:sz w:val="20"/>
                          <w:i/>
                          <w:iCs/>
                        </w:rPr>
                        <w:t>,
2019-12-12,
paskelbta TAR 2019-12-21, i. k. 2019-20997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db01e0c2de11eba2bad9a0748ee64d">
                        <w:r w:rsidRPr="00532B9F">
                          <w:rPr>
                            <w:rFonts w:ascii="Times New Roman" w:eastAsia="MS Mincho" w:hAnsi="Times New Roman"/>
                            <w:sz w:val="20"/>
                            <w:i/>
                            <w:iCs/>
                            <w:color w:val="0000FF" w:themeColor="hyperlink"/>
                            <w:u w:val="single"/>
                          </w:rPr>
                          <w:t>XIV-330</w:t>
                        </w:r>
                      </w:fldSimple>
                      <w:r>
                        <w:rPr>
                          <w:rFonts w:ascii="Times New Roman" w:eastAsia="MS Mincho" w:hAnsi="Times New Roman"/>
                          <w:sz w:val="20"/>
                          <w:i/>
                          <w:iCs/>
                        </w:rPr>
                        <w:t>,
2021-05-20,
paskelbta TAR 2021-06-01, i. k. 2021-12501            </w:t>
                      </w:r>
                    </w:p>
                    <w:p/>
                  </w:sdtContent>
                </w:sdt>
                <w:sdt>
                  <w:sdtPr>
                    <w:alias w:val="19-1 str. 3 d."/>
                    <w:tag w:val="part_3a583b93acf241afa2abcf094fbee227"/>
                    <w:lock w:val="sdtLocked"/>
                    <w:richText/>
                  </w:sdtPr>
                  <w:sdtContent>
                    <w:p>
                      <w:pPr>
                        <w:ind w:firstLine="720"/>
                        <w:jc w:val="both"/>
                        <w:rPr>
                          <w:sz w:val="22"/>
                          <w:szCs w:val="22"/>
                          <w:lang w:eastAsia="lt-LT"/>
                        </w:rPr>
                      </w:pPr>
                      <w:sdt>
                        <w:sdtPr>
                          <w:alias w:val="Numeris"/>
                          <w:tag w:val="nr_3a583b93acf241afa2abcf094fbee227"/>
                          <w:lock w:val="sdtLocked"/>
                          <w:richText/>
                        </w:sdtPr>
                        <w:sdtContent>
                          <w:r>
                            <w:rPr>
                              <w:sz w:val="22"/>
                              <w:szCs w:val="22"/>
                              <w:lang w:eastAsia="lt-LT"/>
                            </w:rPr>
                            <w:t>3</w:t>
                          </w:r>
                        </w:sdtContent>
                      </w:sdt>
                      <w:r>
                        <w:rPr>
                          <w:sz w:val="22"/>
                          <w:szCs w:val="22"/>
                          <w:lang w:eastAsia="lt-LT"/>
                        </w:rPr>
                        <w:t>. Šio Įstatymo 1 priede nurodyti duomenys tvarkomi teroristinių nusikaltimų ir su teroristine veikla susijusių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03b95942ee0c42cfae31fa20e4231a5d"/>
                    <w:lock w:val="sdtLocked"/>
                    <w:richText/>
                  </w:sdtPr>
                  <w:sdtContent>
                    <w:p>
                      <w:pPr>
                        <w:ind w:firstLine="720"/>
                        <w:jc w:val="both"/>
                        <w:rPr>
                          <w:sz w:val="22"/>
                          <w:szCs w:val="22"/>
                          <w:lang w:eastAsia="lt-LT"/>
                        </w:rPr>
                      </w:pPr>
                      <w:sdt>
                        <w:sdtPr>
                          <w:alias w:val="Numeris"/>
                          <w:tag w:val="nr_03b95942ee0c42cfae31fa20e4231a5d"/>
                          <w:lock w:val="sdtLocked"/>
                          <w:richText/>
                        </w:sdtPr>
                        <w:sdtContent>
                          <w:r>
                            <w:rPr>
                              <w:sz w:val="22"/>
                              <w:szCs w:val="22"/>
                              <w:lang w:eastAsia="lt-LT"/>
                            </w:rPr>
                            <w:t>4</w:t>
                          </w:r>
                        </w:sdtContent>
                      </w:sdt>
                      <w:r>
                        <w:rPr>
                          <w:sz w:val="22"/>
                          <w:szCs w:val="22"/>
                          <w:lang w:eastAsia="lt-LT"/>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161bf42b0f214092a06b1cde3076342c"/>
                    <w:lock w:val="sdtLocked"/>
                    <w:richText/>
                  </w:sdtPr>
                  <w:sdtContent>
                    <w:p>
                      <w:pPr>
                        <w:ind w:firstLine="720"/>
                        <w:jc w:val="both"/>
                        <w:rPr>
                          <w:sz w:val="22"/>
                          <w:szCs w:val="22"/>
                          <w:lang w:eastAsia="lt-LT"/>
                        </w:rPr>
                      </w:pPr>
                      <w:sdt>
                        <w:sdtPr>
                          <w:alias w:val="Numeris"/>
                          <w:tag w:val="nr_161bf42b0f214092a06b1cde3076342c"/>
                          <w:lock w:val="sdtLocked"/>
                          <w:richText/>
                        </w:sdtPr>
                        <w:sdtContent>
                          <w:r>
                            <w:rPr>
                              <w:sz w:val="22"/>
                              <w:szCs w:val="22"/>
                              <w:lang w:eastAsia="lt-LT"/>
                            </w:rPr>
                            <w:t>5</w:t>
                          </w:r>
                        </w:sdtContent>
                      </w:sdt>
                      <w:r>
                        <w:rPr>
                          <w:sz w:val="22"/>
                          <w:szCs w:val="22"/>
                          <w:lang w:eastAsia="lt-LT"/>
                        </w:rPr>
                        <w:t>. Atliekant keleivių įvertinimą prieš jiems atvykstant į Lietuvos Respubliką ar išvykstant iš jos, šio Įstatymo 1 priede nurodyti duomenys automatizuotu būdu yra palyginami su duomenimis, tvarkomais valstybės ir žinybiniuose registruose, informacinėse sistemose teroristinių ar labai sunkių ir sunkių nusikaltimų prevencijos, nustatymo, tyrimo ar patraukimo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a7d2348ab1354f05951e9a748b7f1fce"/>
                    <w:lock w:val="sdtLocked"/>
                    <w:richText/>
                  </w:sdtPr>
                  <w:sdtContent>
                    <w:p>
                      <w:pPr>
                        <w:ind w:firstLine="720"/>
                        <w:jc w:val="both"/>
                        <w:rPr>
                          <w:sz w:val="22"/>
                          <w:szCs w:val="22"/>
                          <w:lang w:eastAsia="lt-LT"/>
                        </w:rPr>
                      </w:pPr>
                      <w:sdt>
                        <w:sdtPr>
                          <w:alias w:val="Numeris"/>
                          <w:tag w:val="nr_a7d2348ab1354f05951e9a748b7f1fce"/>
                          <w:lock w:val="sdtLocked"/>
                          <w:richText/>
                        </w:sdtPr>
                        <w:sdtContent>
                          <w:r>
                            <w:rPr>
                              <w:sz w:val="22"/>
                              <w:szCs w:val="22"/>
                              <w:lang w:eastAsia="lt-LT"/>
                            </w:rPr>
                            <w:t>6</w:t>
                          </w:r>
                        </w:sdtContent>
                      </w:sdt>
                      <w:r>
                        <w:rPr>
                          <w:sz w:val="22"/>
                          <w:szCs w:val="22"/>
                          <w:lang w:eastAsia="lt-LT"/>
                        </w:rPr>
                        <w:t>. Šio Įstatymo 1 priede nurodyti duomenys tvarkomi teisės aktų nustatyta tvarka įsteigtoje informacinėje sistemoje ir saugomi 5 metus. Šio Įstatymo 1 priedo 1.2, 1.4, 1.5 papunkčiuose ir 3 punkte nurodyti duomenys po 6 mėnesių nuo jų įrašymo į informacinę sistemą yra nuasmeninami ir užmaskuojami, išskyrus atvejus, kai šie duomenys yra naudojami konkrečiais teroristinių ar labai sunkių ir sunkių nusikaltimų prevencijos,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6a305bfc77cb4e48ba033690c475f9e1"/>
                    <w:lock w:val="sdtLocked"/>
                    <w:richText/>
                  </w:sdtPr>
                  <w:sdtContent>
                    <w:p>
                      <w:pPr>
                        <w:ind w:firstLine="720"/>
                        <w:jc w:val="both"/>
                        <w:rPr>
                          <w:sz w:val="22"/>
                          <w:szCs w:val="22"/>
                          <w:lang w:eastAsia="lt-LT"/>
                        </w:rPr>
                      </w:pPr>
                      <w:sdt>
                        <w:sdtPr>
                          <w:alias w:val="Numeris"/>
                          <w:tag w:val="nr_6a305bfc77cb4e48ba033690c475f9e1"/>
                          <w:lock w:val="sdtLocked"/>
                          <w:richText/>
                        </w:sdtPr>
                        <w:sdtContent>
                          <w:r>
                            <w:rPr>
                              <w:sz w:val="22"/>
                              <w:szCs w:val="22"/>
                              <w:lang w:eastAsia="lt-LT"/>
                            </w:rPr>
                            <w:t>7</w:t>
                          </w:r>
                        </w:sdtContent>
                      </w:sdt>
                      <w:r>
                        <w:rPr>
                          <w:sz w:val="22"/>
                          <w:szCs w:val="22"/>
                          <w:lang w:eastAsia="lt-LT"/>
                        </w:rPr>
                        <w:t>. Įgaliotas padalinys šio Įstatymo 1 priede nurodytus duomenis ar tų duomenų tvarkymo rezultatus šio Įstatymo 2 priede nurodytoms kompetentingoms institucijoms ar kitų valstybių narių įgaliotiems padaliniams ar Europos policijos biurui (Europolui) teikia pagrįsto prašymo pagrindu tik konkrečiais teroristinių nusikaltimų ar labai sunkių ir sunkių nusikaltimų prevencijos, nustatymo, tyrimo ar patraukimo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vykdant policijos ir teisminį bendradarbiavimą baudžiamosiose bylose, teisinės apsaugos įstatyme nustatytų sąlygų. Šio Įstatymo 1 priede nurodytų duomenų teikimo kompetentingoms institucijoms ir jų naudojimo sąlygas, būdus ir tvarką nustato Lietuvos Respublikos Vyriausybė.</w:t>
                      </w:r>
                    </w:p>
                  </w:sdtContent>
                </w:sdt>
                <w:sdt>
                  <w:sdtPr>
                    <w:alias w:val="19-1 str. 8 d."/>
                    <w:tag w:val="part_2b556d89bb1d48f49d6857c52972a2a1"/>
                    <w:lock w:val="sdtLocked"/>
                    <w:richText/>
                  </w:sdtPr>
                  <w:sdtContent>
                    <w:p>
                      <w:pPr>
                        <w:ind w:firstLine="720"/>
                        <w:jc w:val="both"/>
                        <w:rPr>
                          <w:sz w:val="22"/>
                          <w:szCs w:val="22"/>
                          <w:lang w:eastAsia="lt-LT"/>
                        </w:rPr>
                      </w:pPr>
                      <w:sdt>
                        <w:sdtPr>
                          <w:alias w:val="Numeris"/>
                          <w:tag w:val="nr_2b556d89bb1d48f49d6857c52972a2a1"/>
                          <w:lock w:val="sdtLocked"/>
                          <w:richText/>
                        </w:sdtPr>
                        <w:sdtContent>
                          <w:r>
                            <w:rPr>
                              <w:sz w:val="22"/>
                              <w:szCs w:val="22"/>
                              <w:lang w:eastAsia="lt-LT"/>
                            </w:rPr>
                            <w:t>8</w:t>
                          </w:r>
                        </w:sdtContent>
                      </w:sdt>
                      <w:r>
                        <w:rPr>
                          <w:sz w:val="22"/>
                          <w:szCs w:val="22"/>
                          <w:lang w:eastAsia="lt-LT"/>
                        </w:rPr>
                        <w:t>. Šio Įstatymo 1 priede nurodyti duomenys įgaliotam padaliniui teikiami ir tvarkomi Lietuvos policijos generalinio komisaro nustatyta tvarka.</w:t>
                      </w:r>
                    </w:p>
                  </w:sdtContent>
                </w:sdt>
                <w:sdt>
                  <w:sdtPr>
                    <w:alias w:val="19-1 str. 9 d."/>
                    <w:tag w:val="part_ba7cd2ca20fa4240bd6c61ddffe9e5fc"/>
                    <w:lock w:val="sdtLocked"/>
                    <w:richText/>
                  </w:sdtPr>
                  <w:sdtContent>
                    <w:p>
                      <w:pPr>
                        <w:ind w:firstLine="720"/>
                        <w:jc w:val="both"/>
                        <w:rPr>
                          <w:sz w:val="22"/>
                          <w:szCs w:val="22"/>
                          <w:lang w:eastAsia="lt-LT"/>
                        </w:rPr>
                      </w:pPr>
                      <w:sdt>
                        <w:sdtPr>
                          <w:alias w:val="Numeris"/>
                          <w:tag w:val="nr_ba7cd2ca20fa4240bd6c61ddffe9e5fc"/>
                          <w:lock w:val="sdtLocked"/>
                          <w:richText/>
                        </w:sdtPr>
                        <w:sdtContent>
                          <w:r>
                            <w:rPr>
                              <w:sz w:val="22"/>
                              <w:szCs w:val="22"/>
                              <w:lang w:eastAsia="lt-LT"/>
                            </w:rPr>
                            <w:t>9</w:t>
                          </w:r>
                        </w:sdtContent>
                      </w:sdt>
                      <w:r>
                        <w:rPr>
                          <w:sz w:val="22"/>
                          <w:szCs w:val="22"/>
                          <w:lang w:eastAsia="lt-LT"/>
                        </w:rPr>
                        <w:t>. Vežėjas, kuris verčiasi keleivių vežimu oro keliais, Lietuvos Respublikos asmens duomenų teisinės apsaugos įstatymo 24 straipsnyje nustatyta tvarka privalo informuoti keleivius apie numatomą jų asmens duomenų, nurodytų šio straipsnio 1 dalyje, tvarkymą.</w:t>
                      </w:r>
                    </w:p>
                  </w:sdtContent>
                </w:sdt>
                <w:sdt>
                  <w:sdtPr>
                    <w:alias w:val="19-1 str. 10 d."/>
                    <w:tag w:val="part_fa489cfd5cf34a3184623b0a3424fb6f"/>
                    <w:lock w:val="sdtLocked"/>
                    <w:richText/>
                  </w:sdtPr>
                  <w:sdtContent>
                    <w:p>
                      <w:pPr>
                        <w:ind w:firstLine="720"/>
                        <w:jc w:val="both"/>
                        <w:rPr>
                          <w:sz w:val="22"/>
                          <w:szCs w:val="22"/>
                          <w:lang w:eastAsia="lt-LT"/>
                        </w:rPr>
                      </w:pPr>
                      <w:sdt>
                        <w:sdtPr>
                          <w:alias w:val="Numeris"/>
                          <w:tag w:val="nr_fa489cfd5cf34a3184623b0a3424fb6f"/>
                          <w:lock w:val="sdtLocked"/>
                          <w:richText/>
                        </w:sdtPr>
                        <w:sdtContent>
                          <w:r>
                            <w:rPr>
                              <w:sz w:val="22"/>
                              <w:szCs w:val="22"/>
                              <w:lang w:eastAsia="lt-LT"/>
                            </w:rPr>
                            <w:t>10</w:t>
                          </w:r>
                        </w:sdtContent>
                      </w:sdt>
                      <w:r>
                        <w:rPr>
                          <w:sz w:val="22"/>
                          <w:szCs w:val="22"/>
                          <w:lang w:eastAsia="lt-LT"/>
                        </w:rPr>
                        <w:t>. Savo teises dėl asmens duomenų tvarkymo keleivis įgyvendina Lietuvos Respublikos asmens duomenų teisinės apsaugos įstatymo nustatyta tvarka.</w:t>
                      </w:r>
                    </w:p>
                  </w:sdtContent>
                </w:sdt>
                <w:sdt>
                  <w:sdtPr>
                    <w:alias w:val="19-1 str. 11 d."/>
                    <w:tag w:val="part_09c0148a8f764ed78e7caa1a6b0d717d"/>
                    <w:lock w:val="sdtLocked"/>
                    <w:richText/>
                  </w:sdtPr>
                  <w:sdtContent>
                    <w:p>
                      <w:pPr>
                        <w:ind w:firstLine="720"/>
                        <w:jc w:val="both"/>
                      </w:pPr>
                      <w:sdt>
                        <w:sdtPr>
                          <w:alias w:val="Numeris"/>
                          <w:tag w:val="nr_09c0148a8f764ed78e7caa1a6b0d717d"/>
                          <w:lock w:val="sdtLocked"/>
                          <w:richText/>
                        </w:sdtPr>
                        <w:sdtContent>
                          <w:r>
                            <w:rPr>
                              <w:sz w:val="22"/>
                              <w:szCs w:val="22"/>
                              <w:lang w:eastAsia="lt-LT"/>
                            </w:rPr>
                            <w:t>11</w:t>
                          </w:r>
                        </w:sdtContent>
                      </w:sdt>
                      <w:r>
                        <w:rPr>
                          <w:sz w:val="22"/>
                          <w:szCs w:val="22"/>
                          <w:lang w:eastAsia="lt-LT"/>
                        </w:rPr>
                        <w:t>. Asmenims, pažeidusiems duomenų tvarkymo nuostatas, taikoma įstatymų nustatyta atsakomybė.</w:t>
                      </w:r>
                    </w:p>
                  </w:sdtContent>
                </w:sdt>
                <w:p>
                  <w:pPr>
                    <w:jc w:val="both"/>
                    <w:rPr>
                      <w:bCs/>
                      <w:i/>
                      <w:iCs/>
                      <w:sz w:val="20"/>
                    </w:rPr>
                  </w:pPr>
                  <w:r>
                    <w:rPr>
                      <w:bCs/>
                      <w:i/>
                      <w:iCs/>
                      <w:sz w:val="20"/>
                    </w:rPr>
                    <w:t xml:space="preserve"> Įstatymas papildytas straipsniu:</w:t>
                  </w:r>
                </w:p>
                <w:p>
                  <w:pPr>
                    <w:jc w:val="both"/>
                    <w:rPr>
                      <w:bCs/>
                      <w:sz w:val="22"/>
                    </w:rPr>
                  </w:pPr>
                  <w:r>
                    <w:rPr>
                      <w:bCs/>
                      <w:i/>
                      <w:iCs/>
                      <w:sz w:val="20"/>
                    </w:rPr>
                    <w:t xml:space="preserve">Nr. </w:t>
                  </w:r>
                  <w:hyperlink r:id="rId33" w:history="1">
                    <w:r>
                      <w:rPr>
                        <w:rStyle w:val="Hipersaitas"/>
                        <w:bCs/>
                        <w:i/>
                        <w:iCs/>
                        <w:sz w:val="20"/>
                      </w:rPr>
                      <w:t>X-747</w:t>
                    </w:r>
                  </w:hyperlink>
                  <w:r>
                    <w:rPr>
                      <w:bCs/>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df04a77883f74131b4f14c384d5ff3d2"/>
                    <w:lock w:val="sdtLocked"/>
                    <w:richText/>
                  </w:sdtPr>
                  <w:sdtContent>
                    <w:p>
                      <w:pPr>
                        <w:ind w:firstLine="720"/>
                        <w:jc w:val="both"/>
                      </w:pPr>
                      <w:sdt>
                        <w:sdtPr>
                          <w:alias w:val="Numeris"/>
                          <w:tag w:val="nr_df04a77883f74131b4f14c384d5ff3d2"/>
                          <w:lock w:val="sdtLocked"/>
                          <w:richText/>
                        </w:sdtPr>
                        <w:sdtContent>
                          <w:r>
                            <w:rPr>
                              <w:sz w:val="22"/>
                              <w:szCs w:val="22"/>
                            </w:rPr>
                            <w:t>4</w:t>
                          </w:r>
                        </w:sdtContent>
                      </w:sdt>
                      <w:r>
                        <w:rPr>
                          <w:sz w:val="22"/>
                          <w:szCs w:val="22"/>
                        </w:rPr>
                        <w:t>. Jeigu policijos įstaiga</w:t>
                      </w:r>
                      <w:r>
                        <w:rPr>
                          <w:color w:val="FF0000"/>
                          <w:sz w:val="22"/>
                          <w:szCs w:val="22"/>
                        </w:rPr>
                        <w:t xml:space="preserve"> </w:t>
                      </w:r>
                      <w:r>
                        <w:rPr>
                          <w:sz w:val="22"/>
                          <w:szCs w:val="22"/>
                        </w:rPr>
                        <w:t>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7"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8"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30053e31fbd245c58a2e81958887a142"/>
        <w:lock w:val="sdtLocked"/>
        <w:richText/>
      </w:sdtPr>
      <w:sdtContent>
        <w:p>
          <w:pPr>
            <w:ind w:firstLine="5760"/>
            <w:jc w:val="both"/>
            <w:sectPr>
              <w:headerReference w:type="even" r:id="rId54"/>
              <w:headerReference w:type="default" r:id="rId55"/>
              <w:footerReference w:type="even" r:id="rId56"/>
              <w:footerReference w:type="default" r:id="rId57"/>
              <w:headerReference w:type="first" r:id="rId58"/>
              <w:footerReference w:type="first" r:id="rId59"/>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30053e31fbd245c58a2e81958887a142"/>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30053e31fbd245c58a2e81958887a142"/>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6e32d98e6d314f37a4485565b46ef821"/>
                <w:lock w:val="sdtLocked"/>
                <w:richText/>
              </w:sdtPr>
              <w:sdtContent>
                <w:p>
                  <w:pPr>
                    <w:ind w:firstLine="720"/>
                    <w:jc w:val="both"/>
                    <w:rPr>
                      <w:sz w:val="22"/>
                      <w:szCs w:val="22"/>
                    </w:rPr>
                  </w:pPr>
                  <w:sdt>
                    <w:sdtPr>
                      <w:alias w:val="Numeris"/>
                      <w:tag w:val="nr_6e32d98e6d314f37a4485565b46ef821"/>
                      <w:lock w:val="sdtLocked"/>
                      <w:richText/>
                    </w:sdtPr>
                    <w:sdtContent>
                      <w:r>
                        <w:rPr>
                          <w:sz w:val="22"/>
                          <w:szCs w:val="22"/>
                        </w:rPr>
                        <w:t>2.3</w:t>
                      </w:r>
                    </w:sdtContent>
                  </w:sdt>
                  <w:r>
                    <w:rPr>
                      <w:sz w:val="22"/>
                      <w:szCs w:val="22"/>
                    </w:rPr>
                    <w:t>. skrydį vykdantis faktinis oro vežėjas (pavadinimas, kodas);</w:t>
                  </w:r>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b0e4d92ac981457d9d764ef1f2c00d0e"/>
        <w:lock w:val="sdtLocked"/>
        <w:richText/>
      </w:sdtPr>
      <w:sdtContent>
        <w:p>
          <w:pPr>
            <w:ind w:firstLine="5760"/>
            <w:jc w:val="both"/>
          </w:pPr>
        </w:p>
        <w:p>
          <w:pPr>
            <w:ind w:firstLine="5760"/>
            <w:jc w:val="both"/>
          </w:pPr>
        </w:p>
        <w:p>
          <w:pPr>
            <w:ind w:firstLine="5760"/>
            <w:jc w:val="both"/>
            <w:rPr>
              <w:sz w:val="22"/>
              <w:szCs w:val="22"/>
              <w:lang w:eastAsia="lt-LT"/>
            </w:rPr>
            <w:sectPr>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0e4d92ac981457d9d764ef1f2c00d0e"/>
              <w:lock w:val="sdtLocked"/>
              <w:richText/>
            </w:sdtPr>
            <w:sdtContent>
              <w:r>
                <w:rPr>
                  <w:sz w:val="22"/>
                  <w:szCs w:val="22"/>
                  <w:lang w:eastAsia="lt-LT"/>
                </w:rPr>
                <w:t>3</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b0e4d92ac981457d9d764ef1f2c00d0e"/>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7dbd54cd05864c14b5fc28588284c610"/>
            <w:lock w:val="sdtLocked"/>
            <w:richText/>
          </w:sdtPr>
          <w:sdtContent>
            <w:p>
              <w:pPr>
                <w:ind w:firstLine="720"/>
                <w:jc w:val="both"/>
                <w:rPr>
                  <w:sz w:val="22"/>
                  <w:szCs w:val="22"/>
                </w:rPr>
              </w:pPr>
              <w:sdt>
                <w:sdtPr>
                  <w:alias w:val="Numeris"/>
                  <w:tag w:val="nr_7dbd54cd05864c14b5fc28588284c610"/>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w:t>
              </w:r>
              <w:r>
                <w:rPr>
                  <w:i/>
                  <w:sz w:val="22"/>
                  <w:szCs w:val="22"/>
                </w:rPr>
                <w:t>2004 m. specialusis leidimas</w:t>
              </w:r>
              <w:r>
                <w:rPr>
                  <w:sz w:val="22"/>
                  <w:szCs w:val="22"/>
                </w:rPr>
                <w:t>, 19 skyrius, 4 tomas, p. 160).</w:t>
              </w:r>
            </w:p>
          </w:sdtContent>
        </w:sdt>
        <w:sdt>
          <w:sdtPr>
            <w:alias w:val="3 pr. 2 p."/>
            <w:tag w:val="part_e12a68acf33a450789893e95f9976a16"/>
            <w:lock w:val="sdtLocked"/>
            <w:richText/>
          </w:sdtPr>
          <w:sdtContent>
            <w:p>
              <w:pPr>
                <w:ind w:firstLine="720"/>
                <w:jc w:val="both"/>
                <w:rPr>
                  <w:sz w:val="22"/>
                  <w:szCs w:val="22"/>
                </w:rPr>
              </w:pPr>
              <w:sdt>
                <w:sdtPr>
                  <w:alias w:val="Numeris"/>
                  <w:tag w:val="nr_e12a68acf33a450789893e95f9976a16"/>
                  <w:lock w:val="sdtLocked"/>
                  <w:richText/>
                </w:sdtPr>
                <w:sdtContent>
                  <w:r>
                    <w:rPr>
                      <w:sz w:val="22"/>
                      <w:szCs w:val="22"/>
                    </w:rPr>
                    <w:t>2</w:t>
                  </w:r>
                </w:sdtContent>
              </w:sdt>
              <w:r>
                <w:rPr>
                  <w:sz w:val="22"/>
                  <w:szCs w:val="22"/>
                </w:rPr>
                <w:t xml:space="preserve">. 2004 m. balandžio 29 d. Tarybos direktyva 2004/82/EB dėl vežėjų įpareigojimo perduoti keleivių duomenis (OL </w:t>
              </w:r>
              <w:r>
                <w:rPr>
                  <w:i/>
                  <w:sz w:val="22"/>
                  <w:szCs w:val="22"/>
                </w:rPr>
                <w:t>2004 m. specialusis leidimas</w:t>
              </w:r>
              <w:r>
                <w:rPr>
                  <w:sz w:val="22"/>
                  <w:szCs w:val="22"/>
                </w:rPr>
                <w:t>, 19 skyrius, 7 tomas, p. 74).</w:t>
              </w:r>
            </w:p>
          </w:sdtContent>
        </w:sdt>
        <w:sdt>
          <w:sdtPr>
            <w:alias w:val="3 pr. 3 p."/>
            <w:tag w:val="part_1945fbbd57fd49599d068a478f4c4853"/>
            <w:lock w:val="sdtLocked"/>
            <w:richText/>
          </w:sdtPr>
          <w:sdtContent>
            <w:p>
              <w:pPr>
                <w:ind w:firstLine="720"/>
                <w:jc w:val="both"/>
                <w:rPr>
                  <w:sz w:val="22"/>
                  <w:szCs w:val="22"/>
                </w:rPr>
              </w:pPr>
              <w:sdt>
                <w:sdtPr>
                  <w:alias w:val="Numeris"/>
                  <w:tag w:val="nr_1945fbbd57fd49599d068a478f4c4853"/>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sdt>
          <w:sdtPr>
            <w:alias w:val="3 pr. 4 p."/>
            <w:tag w:val="part_8de7dafd87d148569d7e8a743f2957be"/>
            <w:lock w:val="sdtLocked"/>
            <w:richText/>
          </w:sdtPr>
          <w:sdtContent>
            <w:p>
              <w:pPr>
                <w:ind w:firstLine="720"/>
                <w:jc w:val="both"/>
              </w:pPr>
              <w:sdt>
                <w:sdtPr>
                  <w:alias w:val="Numeris"/>
                  <w:tag w:val="nr_8de7dafd87d148569d7e8a743f2957be"/>
                  <w:lock w:val="sdtLocked"/>
                  <w:richText/>
                </w:sdtPr>
                <w:sdtContent>
                  <w:r>
                    <w:rPr>
                      <w:sz w:val="22"/>
                      <w:szCs w:val="22"/>
                    </w:rPr>
                    <w:t>4</w:t>
                  </w:r>
                </w:sdtContent>
              </w:sdt>
              <w:r>
                <w:rPr>
                  <w:sz w:val="22"/>
                  <w:szCs w:val="22"/>
                </w:rPr>
                <w:t>. 2016 m. balandžio 27 d. Europos Parlamento ir Tarybos direktyva 2016/681 dėl keleivio duomenų įrašo (PNR) duomenų naudojimo teroristinių nusikaltimų ir sunkių nusikaltimų prevencijos, nustatymo, tyrimo ir patraukimo už juos baudžiamojon atsakomybėn tikslais (OL 2016 L 119, p. 132).</w:t>
              </w:r>
            </w:p>
          </w:sdtContent>
        </w:sdt>
        <w:p>
          <w:pPr>
            <w:jc w:val="both"/>
            <w:rPr>
              <w:bCs/>
              <w:i/>
              <w:iCs/>
              <w:sz w:val="20"/>
            </w:rPr>
          </w:pPr>
          <w:r>
            <w:rPr>
              <w:bCs/>
              <w:i/>
              <w:iCs/>
              <w:sz w:val="20"/>
            </w:rPr>
            <w:t>Įstatymas papildytas priedu:</w:t>
          </w:r>
        </w:p>
        <w:p>
          <w:pPr>
            <w:jc w:val="both"/>
            <w:rPr>
              <w:bCs/>
              <w:i/>
              <w:iCs/>
              <w:sz w:val="20"/>
            </w:rPr>
          </w:pPr>
          <w:r>
            <w:rPr>
              <w:bCs/>
              <w:i/>
              <w:iCs/>
              <w:sz w:val="20"/>
            </w:rPr>
            <w:t xml:space="preserve">Nr. </w:t>
          </w:r>
          <w:hyperlink r:id="rId39" w:history="1">
            <w:r>
              <w:rPr>
                <w:rStyle w:val="Hipersaitas"/>
                <w:bCs/>
                <w:i/>
                <w:iCs/>
                <w:sz w:val="20"/>
              </w:rPr>
              <w:t>X-214</w:t>
            </w:r>
          </w:hyperlink>
          <w:r>
            <w:rPr>
              <w:bCs/>
              <w:i/>
              <w:iCs/>
              <w:sz w:val="20"/>
            </w:rPr>
            <w:t>, 2005-05-19, Žin., 2005, Nr. 71-2560 (2005-06-07)</w:t>
          </w:r>
        </w:p>
        <w:p>
          <w:pPr>
            <w:jc w:val="both"/>
            <w:rPr>
              <w:bCs/>
              <w:i/>
              <w:iCs/>
              <w:sz w:val="20"/>
            </w:rPr>
          </w:pPr>
          <w:r>
            <w:rPr>
              <w:bCs/>
              <w:i/>
              <w:iCs/>
              <w:sz w:val="20"/>
            </w:rPr>
            <w:t>Priedo pakeitimai:</w:t>
          </w:r>
        </w:p>
        <w:p>
          <w:pPr>
            <w:jc w:val="both"/>
            <w:rPr>
              <w:i/>
              <w:iCs/>
              <w:sz w:val="20"/>
            </w:rPr>
          </w:pPr>
          <w:r>
            <w:rPr>
              <w:i/>
              <w:iCs/>
              <w:sz w:val="20"/>
            </w:rPr>
            <w:t xml:space="preserve">Nr. </w:t>
          </w:r>
          <w:hyperlink r:id="rId40" w:history="1">
            <w:r>
              <w:rPr>
                <w:rStyle w:val="Hipersaitas"/>
                <w:i/>
                <w:iCs/>
                <w:sz w:val="20"/>
              </w:rPr>
              <w:t>X-747</w:t>
            </w:r>
          </w:hyperlink>
          <w:r>
            <w:rPr>
              <w:i/>
              <w:iCs/>
              <w:sz w:val="20"/>
            </w:rPr>
            <w:t>, 2006-07-04, Žin., 2006, Nr. 82-3250 (2006-07-27)</w:t>
          </w:r>
        </w:p>
        <w:p>
          <w:pPr>
            <w:jc w:val="both"/>
            <w:rPr>
              <w:i/>
              <w:sz w:val="20"/>
            </w:rPr>
          </w:pPr>
          <w:r>
            <w:rPr>
              <w:i/>
              <w:sz w:val="20"/>
            </w:rPr>
            <w:t xml:space="preserve">Nr. </w:t>
          </w:r>
          <w:hyperlink r:id="rId41" w:history="1">
            <w:r>
              <w:rPr>
                <w:rStyle w:val="Hipersaitas"/>
                <w:i/>
                <w:sz w:val="20"/>
              </w:rPr>
              <w:t>XI-1744</w:t>
            </w:r>
          </w:hyperlink>
          <w:r>
            <w:rPr>
              <w:i/>
              <w:sz w:val="20"/>
            </w:rPr>
            <w:t>, 2011-11-29, Žin., 2011, Nr. 150-7049 (2011-12-08)</w:t>
          </w:r>
        </w:p>
        <w:p>
          <w:pPr>
            <w:jc w:val="both"/>
            <w:rPr>
              <w:sz w:val="20"/>
            </w:rPr>
          </w:pPr>
          <w:r>
            <w:rPr>
              <w:i/>
              <w:sz w:val="20"/>
            </w:rPr>
            <w:t xml:space="preserve">Nr. </w:t>
          </w:r>
          <w:hyperlink r:id="rId42" w:history="1">
            <w:r>
              <w:rPr>
                <w:rStyle w:val="Hipersaitas"/>
                <w:i/>
                <w:sz w:val="20"/>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8"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52"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7ddbd017b211ec9f09e7df20500045">
            <w:r w:rsidRPr="00532B9F">
              <w:rPr>
                <w:rFonts w:ascii="Times New Roman" w:eastAsia="MS Mincho" w:hAnsi="Times New Roman"/>
                <w:sz w:val="20"/>
                <w:iCs/>
                <w:color w:val="0000FF" w:themeColor="hyperlink"/>
                <w:u w:val="single"/>
              </w:rPr>
              <w:t>XIV-524</w:t>
            </w:r>
          </w:fldSimple>
          <w:r>
            <w:rPr>
              <w:rFonts w:ascii="Times New Roman" w:eastAsia="MS Mincho" w:hAnsi="Times New Roman"/>
              <w:sz w:val="20"/>
              <w:iCs/>
            </w:rPr>
            <w:t>,
2021-09-16,
paskelbta TAR 2021-09-17, i. k. 2021-19617                </w:t>
          </w:r>
        </w:p>
        <w:p>
          <w:pPr>
            <w:jc w:val="both"/>
            <w:rPr>
              <w:rFonts w:ascii="Times New Roman" w:hAnsi="Times New Roman"/>
            </w:rPr>
          </w:pPr>
          <w:r>
            <w:rPr>
              <w:rFonts w:ascii="Times New Roman" w:hAnsi="Times New Roman"/>
              <w:sz w:val="20"/>
            </w:rPr>
            <w:t>Lietuvos Respublikos transporto veiklos pagrindų įstatymo Nr. I-1863 2, 4, 6, 9, 14, 15 ir 18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jc w:val="center"/>
    </w:pPr>
    <w:r>
      <w:fldChar w:fldCharType="begin"/>
    </w:r>
    <w:r>
      <w:instrText>PAGE   \* MERGEFORMAT</w:instrText>
    </w:r>
    <w:r>
      <w:fldChar w:fldCharType="separate"/>
    </w:r>
    <w:r>
      <w:t>5</w:t>
    </w:r>
    <w:r>
      <w:fldChar w:fldCharType="end"/>
    </w: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yperlink" TargetMode="External" Target="http://www3.lrs.lt/cgi-bin/preps2?a=162207&amp;b="/>
  <Relationship Id="rId13" Type="http://schemas.openxmlformats.org/officeDocument/2006/relationships/hyperlink" TargetMode="External" Target="http://www3.lrs.lt/cgi-bin/preps2?a=256808&amp;b="/>
  <Relationship Id="rId14" Type="http://schemas.openxmlformats.org/officeDocument/2006/relationships/hyperlink" TargetMode="External" Target="http://www3.lrs.lt/cgi-bin/preps2?a=280576&amp;b="/>
  <Relationship Id="rId15" Type="http://schemas.openxmlformats.org/officeDocument/2006/relationships/hyperlink" TargetMode="External" Target="http://www3.lrs.lt/cgi-bin/preps2?a=412853&amp;b="/>
  <Relationship Id="rId16" Type="http://schemas.openxmlformats.org/officeDocument/2006/relationships/hyperlink" TargetMode="External" Target="http://www3.lrs.lt/cgi-bin/preps2?a=415670&amp;b="/>
  <Relationship Id="rId17" Type="http://schemas.openxmlformats.org/officeDocument/2006/relationships/hyperlink" TargetMode="External" Target="http://www3.lrs.lt/cgi-bin/preps2?a=256808&amp;b="/>
  <Relationship Id="rId18" Type="http://schemas.openxmlformats.org/officeDocument/2006/relationships/hyperlink" TargetMode="External" Target="http://www3.lrs.lt/cgi-bin/preps2?a=412853&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437381&amp;b="/>
  <Relationship Id="rId21" Type="http://schemas.openxmlformats.org/officeDocument/2006/relationships/hyperlink" TargetMode="External" Target="http://www3.lrs.lt/cgi-bin/preps2?a=415670&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223787&amp;b="/>
  <Relationship Id="rId24" Type="http://schemas.openxmlformats.org/officeDocument/2006/relationships/hyperlink" TargetMode="External" Target="http://www3.lrs.lt/cgi-bin/preps2?a=232365&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2853&amp;b="/>
  <Relationship Id="rId28" Type="http://schemas.openxmlformats.org/officeDocument/2006/relationships/hyperlink" TargetMode="External" Target="http://www3.lrs.lt/cgi-bin/preps2?a=415670&amp;b="/>
  <Relationship Id="rId29" Type="http://schemas.openxmlformats.org/officeDocument/2006/relationships/hyperlink" TargetMode="External" Target="http://www3.lrs.lt/cgi-bin/preps2?a=415670&amp;b="/>
  <Relationship Id="rId3" Type="http://schemas.openxmlformats.org/officeDocument/2006/relationships/footnotes" Target="footnotes.xml"/>
  <Relationship Id="rId30" Type="http://schemas.openxmlformats.org/officeDocument/2006/relationships/hyperlink" TargetMode="External" Target="http://www3.lrs.lt/cgi-bin/preps2?a=415670&amp;b="/>
  <Relationship Id="rId31" Type="http://schemas.openxmlformats.org/officeDocument/2006/relationships/hyperlink" TargetMode="External" Target="http://www3.lrs.lt/cgi-bin/preps2?a=256808&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80576&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280576&amp;b="/>
  <Relationship Id="rId39" Type="http://schemas.openxmlformats.org/officeDocument/2006/relationships/hyperlink" TargetMode="External" Target="http://www3.lrs.lt/cgi-bin/preps2?a=256808&amp;b="/>
  <Relationship Id="rId4" Type="http://schemas.openxmlformats.org/officeDocument/2006/relationships/hyperlink" TargetMode="External" Target="http://www3.lrs.lt/cgi-bin/preps2?a=223787&amp;b="/>
  <Relationship Id="rId40" Type="http://schemas.openxmlformats.org/officeDocument/2006/relationships/hyperlink" TargetMode="External" Target="http://www3.lrs.lt/cgi-bin/preps2?a=280576&amp;b="/>
  <Relationship Id="rId41" Type="http://schemas.openxmlformats.org/officeDocument/2006/relationships/hyperlink" TargetMode="External" Target="http://www3.lrs.lt/cgi-bin/preps2?a=412853&amp;b="/>
  <Relationship Id="rId42" Type="http://schemas.openxmlformats.org/officeDocument/2006/relationships/hyperlink" TargetMode="External" Target="http://www3.lrs.lt/cgi-bin/preps2?a=415670&amp;b="/>
  <Relationship Id="rId43" Type="http://schemas.openxmlformats.org/officeDocument/2006/relationships/hyperlink" TargetMode="External" Target="http://www3.lrs.lt/cgi-bin/preps2?a=22555&amp;b="/>
  <Relationship Id="rId44" Type="http://schemas.openxmlformats.org/officeDocument/2006/relationships/hyperlink" TargetMode="External" Target="http://www3.lrs.lt/cgi-bin/preps2?a=44935&amp;b="/>
  <Relationship Id="rId45" Type="http://schemas.openxmlformats.org/officeDocument/2006/relationships/hyperlink" TargetMode="External" Target="http://www3.lrs.lt/cgi-bin/preps2?a=67695&amp;b="/>
  <Relationship Id="rId46" Type="http://schemas.openxmlformats.org/officeDocument/2006/relationships/hyperlink" TargetMode="External" Target="http://www3.lrs.lt/cgi-bin/preps2?a=162207&amp;b="/>
  <Relationship Id="rId47" Type="http://schemas.openxmlformats.org/officeDocument/2006/relationships/hyperlink" TargetMode="External" Target="http://www3.lrs.lt/cgi-bin/preps2?a=223787&amp;b="/>
  <Relationship Id="rId48" Type="http://schemas.openxmlformats.org/officeDocument/2006/relationships/hyperlink" TargetMode="External" Target="http://www3.lrs.lt/cgi-bin/preps2?a=232365&amp;b="/>
  <Relationship Id="rId49" Type="http://schemas.openxmlformats.org/officeDocument/2006/relationships/hyperlink" TargetMode="External" Target="http://www3.lrs.lt/cgi-bin/preps2?a=256808&amp;b="/>
  <Relationship Id="rId5" Type="http://schemas.openxmlformats.org/officeDocument/2006/relationships/hyperlink" TargetMode="External" Target="http://www3.lrs.lt/cgi-bin/preps2?a=232365&amp;b="/>
  <Relationship Id="rId50" Type="http://schemas.openxmlformats.org/officeDocument/2006/relationships/hyperlink" TargetMode="External" Target="http://www3.lrs.lt/cgi-bin/preps2?a=280576&amp;b="/>
  <Relationship Id="rId51" Type="http://schemas.openxmlformats.org/officeDocument/2006/relationships/hyperlink" TargetMode="External" Target="http://www3.lrs.lt/cgi-bin/preps2?a=412853&amp;b="/>
  <Relationship Id="rId52" Type="http://schemas.openxmlformats.org/officeDocument/2006/relationships/hyperlink" TargetMode="External" Target="http://www3.lrs.lt/cgi-bin/preps2?a=415670&amp;b="/>
  <Relationship Id="rId53" Type="http://schemas.openxmlformats.org/officeDocument/2006/relationships/hyperlink" TargetMode="External" Target="http://www3.lrs.lt/cgi-bin/preps2?a=437381&amp;b="/>
  <Relationship Id="rId54" Type="http://schemas.openxmlformats.org/officeDocument/2006/relationships/header" Target="header4.xml"/>
  <Relationship Id="rId55" Type="http://schemas.openxmlformats.org/officeDocument/2006/relationships/header" Target="header5.xml"/>
  <Relationship Id="rId56" Type="http://schemas.openxmlformats.org/officeDocument/2006/relationships/footer" Target="footer4.xml"/>
  <Relationship Id="rId57" Type="http://schemas.openxmlformats.org/officeDocument/2006/relationships/footer" Target="footer5.xml"/>
  <Relationship Id="rId58" Type="http://schemas.openxmlformats.org/officeDocument/2006/relationships/header" Target="header6.xml"/>
  <Relationship Id="rId59" Type="http://schemas.openxmlformats.org/officeDocument/2006/relationships/footer" Target="footer6.xml"/>
  <Relationship Id="rId6" Type="http://schemas.openxmlformats.org/officeDocument/2006/relationships/hyperlink" TargetMode="External" Target="http://www3.lrs.lt/cgi-bin/preps2?a=415670&amp;b="/>
  <Relationship Id="rId60" Type="http://schemas.openxmlformats.org/officeDocument/2006/relationships/customXml" Target="../customXml/item1.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612bc2c9cab74cc684eaa0d1c5336e44"/>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70b0c9021ab34f3d858f7c66f798c3b7"/>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b8dd35f96ee44b818bceb5a00cf496ce">
        <Part Type="strDalis" Nr="1" Abbr="6 str. 1 d." DocPartId="607d98cb5f664280b204a23de8c0e62b" PartId="1def29abade94f16b663b1af9665c9f9"/>
        <Part Type="strDalis" Nr="2" Abbr="6 str. 2 d." DocPartId="556c1cf256984b5b927793b8775343b9" PartId="47b23a413af44668b8d35c68de9d5494"/>
        <Part Type="strDalis" Nr="3" Abbr="6 str. 3 d." DocPartId="d5a5da2d183148e9af1183e774d7d8f0" PartId="dd47bf7268944a63b29988c3b79eada5"/>
        <Part Type="strDalis" Nr="4" Abbr="6 str. 4 d." DocPartId="8500a8149bd04946ac28228684e189a0" PartId="1a61c84d2f2a44aa8fe4242991aed22a"/>
        <Part Type="strDalis" Nr="5" Abbr="6 str. 5 d." DocPartId="5d925ca0d53b464f857ffeff13b9a138" PartId="6b833bdb7a4949738ce8fb9369cb1bad"/>
        <Part Type="strDalis" Nr="6" Abbr="6 str. 6 d." DocPartId="751ddff4879243208ef7ef0e6116d4da" PartId="dd57f27919ce4e6980bed032df1f65cb"/>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2ff461262de94a2a95ddbf0e63d4d96d"/>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8e8ae3e743114a49ba8b924349cd5d40"/>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a06729cd3fbf430bb1d685695c995329"/>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a7346243fe134a1b831520b6bff9622f">
        <Part Type="strDalis" Nr="1" Abbr="14 str. 1 d." DocPartId="5b2e2853dd264eb1b62e67df390894f5" PartId="18fb133142bd4d2c98c91eeff11cff17"/>
        <Part Type="strDalis" Nr="2" Abbr="14 str. 2 d." DocPartId="d23e207b665f47cca2ce92720da57a18" PartId="d277f3cf6d554877b94e6f443f72361c"/>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54ff8ee7f86640ae90a72b02d6aa18b5"/>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ff2f24e158a14933a2df71493fe0d9e0">
        <Part Type="strDalis" Nr="1" Abbr="18 str. 1 d." DocPartId="3cdbceff62354b368e3678f0716b5c28" PartId="d872c789062b4b5d8f30dd86734fc70c"/>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informaciją" DocPartId="d1be95cc91ea432da5312dd0e7fc9b30" PartId="37ebde3d3eef41edae7a3d14e7b6181d">
        <Part Type="strDalis" Nr="1" Abbr="19-1 str. 1 d." DocPartId="5634351f6576460a8b2917d08238763e" PartId="a999e0081f704848b7b38d3301113ac3"/>
        <Part Type="strDalis" Nr="2" Abbr="19-1 str. 2 d." DocPartId="ef6342ec2f974828af0646622b217ea7" PartId="3a99126cb32946f0b9873e738f2516dd"/>
        <Part Type="strDalis" Nr="3" Abbr="19-1 str. 3 d." DocPartId="c341bed406c94fc4bbf8e80324b51b8d" PartId="3a583b93acf241afa2abcf094fbee227"/>
        <Part Type="strDalis" Nr="4" Abbr="19-1 str. 4 d." DocPartId="6761079f8ea0402da95dc43331e17688" PartId="03b95942ee0c42cfae31fa20e4231a5d"/>
        <Part Type="strDalis" Nr="5" Abbr="19-1 str. 5 d." DocPartId="69d446c65a44401a9a42ec450b0af93c" PartId="161bf42b0f214092a06b1cde3076342c"/>
        <Part Type="strDalis" Nr="6" Abbr="19-1 str. 6 d." DocPartId="3f00972a676841158791dfa901572003" PartId="a7d2348ab1354f05951e9a748b7f1fce"/>
        <Part Type="strDalis" Nr="7" Abbr="19-1 str. 7 d." DocPartId="5321ae0e390d41e8accbd529690cb603" PartId="6a305bfc77cb4e48ba033690c475f9e1"/>
        <Part Type="strDalis" Nr="8" Abbr="19-1 str. 8 d." DocPartId="8736a2b4ad614a60a68eb44ec3f1931d" PartId="2b556d89bb1d48f49d6857c52972a2a1"/>
        <Part Type="strDalis" Nr="9" Abbr="19-1 str. 9 d." DocPartId="4c852ad525eb48949acea59d0cebece4" PartId="ba7cd2ca20fa4240bd6c61ddffe9e5fc"/>
        <Part Type="strDalis" Nr="10" Abbr="19-1 str. 10 d." DocPartId="7dca09ed37504ac697283ee7d44be9b4" PartId="fa489cfd5cf34a3184623b0a3424fb6f"/>
        <Part Type="strDalis" Nr="11" Abbr="19-1 str. 11 d." DocPartId="0314c006ea4d4c3c8bd1e11d1076e9a9" PartId="09c0148a8f764ed78e7caa1a6b0d717d"/>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df04a77883f74131b4f14c384d5ff3d2"/>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30053e31fbd245c58a2e81958887a142">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6e32d98e6d314f37a4485565b46ef821"/>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b0e4d92ac981457d9d764ef1f2c00d0e">
    <Part Type="punktas" Nr="1" Abbr="3 pr. 1 p." DocPartId="1c9b2a7bd19e4f52877ec4a28551b91d" PartId="7dbd54cd05864c14b5fc28588284c610"/>
    <Part Type="punktas" Nr="2" Abbr="3 pr. 2 p." DocPartId="3607e5e0d15740f3b49d29037a3c0d6e" PartId="e12a68acf33a450789893e95f9976a16"/>
    <Part Type="punktas" Nr="3" Abbr="3 pr. 3 p." DocPartId="09ed7fd3c3d647b7ac82566dbc59e2f3" PartId="1945fbbd57fd49599d068a478f4c4853"/>
    <Part Type="punktas" Nr="4" Abbr="3 pr. 4 p." DocPartId="4792688e5b444634b824b74cca115e6c" PartId="8de7dafd87d148569d7e8a743f2957be"/>
  </Part>
  <Part Type="skirsnis" Title="Pakeitimai:" DocPartId="778fb1c051164604aab0bf202ccab10e" PartId="97b64698ac8c4aad859eb1570779fc0f"/>
</Parts>
</file>

<file path=customXml/itemProps1.xml><?xml version="1.0" encoding="utf-8"?>
<ds:datastoreItem xmlns:ds="http://schemas.openxmlformats.org/officeDocument/2006/customXml" ds:itemID="{6C641CA6-18CF-4C32-9D76-D0A3355B8103}">
  <ds:schemaRefs>
    <ds:schemaRef ds:uri="http://lrs.lt/TAIS/DocParts"/>
  </ds:schemaRefs>
</ds:datastoreItem>
</file>

<file path=docProps/app.xml><?xml version="1.0" encoding="utf-8"?>
<Properties xmlns="http://schemas.openxmlformats.org/officeDocument/2006/extended-properties">
  <Template>Normal.dotm</Template>
  <TotalTime>35</TotalTime>
  <Pages>15</Pages>
  <Words>6501</Words>
  <Characters>50976</Characters>
  <Application>Microsoft Office Word</Application>
  <DocSecurity>0</DocSecurity>
  <Lines>424</Lines>
  <Paragraphs>114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57363</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GUMBYTĖ Danguolė</lastModifiedBy>
  <lastPrinted>2254-05-16T19:52:00Z</lastPrinted>
  <dcterms:modified xsi:type="dcterms:W3CDTF">2021-09-20T13:04:00Z</dcterms:modified>
  <revision>12</revision>
  <dc:title>Redagavo: Ramun? L??ait? (1997</dc:title>
</coreProperties>
</file>