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2025-07-15 iki 2025-11-28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8"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9"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1"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67ca364af2c34cb2a9fa9d9d6412f758"/>
                <w:lock w:val="sdtLocked"/>
                <w:richText/>
              </w:sdtPr>
              <w:sdtContent>
                <w:p>
                  <w:pPr>
                    <w:ind w:firstLine="720"/>
                    <w:contextualSpacing/>
                    <w:rPr>
                      <w:b/>
                      <w:bCs/>
                      <w:color w:val="000000"/>
                      <w:sz w:val="22"/>
                      <w:szCs w:val="22"/>
                      <w:lang w:eastAsia="lt-LT"/>
                    </w:rPr>
                  </w:pPr>
                  <w:sdt>
                    <w:sdtPr>
                      <w:alias w:val="Numeris"/>
                      <w:tag w:val="nr_67ca364af2c34cb2a9fa9d9d6412f758"/>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67ca364af2c34cb2a9fa9d9d6412f758"/>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1-1 d."/>
                    <w:tag w:val="part_2b9fe930b1bf4b15af42ab3cc7e9a0ee"/>
                    <w:lock w:val="sdtLocked"/>
                    <w:richText/>
                  </w:sdtPr>
                  <w:sdtContent>
                    <w:p>
                      <w:pPr>
                        <w:ind w:firstLine="720"/>
                        <w:jc w:val="both"/>
                      </w:pPr>
                      <w:sdt>
                        <w:sdtPr>
                          <w:alias w:val="Numeris"/>
                          <w:tag w:val="nr_2b9fe930b1bf4b15af42ab3cc7e9a0ee"/>
                          <w:lock w:val="sdtLocked"/>
                          <w:richText/>
                        </w:sdtPr>
                        <w:sdtContent>
                          <w:r>
                            <w:rPr>
                              <w:sz w:val="22"/>
                              <w:szCs w:val="22"/>
                              <w:shd w:val="clear" w:color="auto" w:fill="FFFFFF"/>
                            </w:rPr>
                            <w:t>1</w:t>
                          </w:r>
                          <w:r>
                            <w:rPr>
                              <w:sz w:val="22"/>
                              <w:szCs w:val="22"/>
                              <w:shd w:val="clear" w:color="auto" w:fill="FFFFFF"/>
                              <w:vertAlign w:val="superscript"/>
                            </w:rPr>
                            <w:t>1</w:t>
                          </w:r>
                        </w:sdtContent>
                      </w:sdt>
                      <w:r>
                        <w:rPr>
                          <w:sz w:val="22"/>
                          <w:szCs w:val="22"/>
                          <w:shd w:val="clear" w:color="auto" w:fill="FFFFFF"/>
                        </w:rPr>
                        <w:t xml:space="preserve">. </w:t>
                      </w:r>
                      <w:r>
                        <w:rPr>
                          <w:b/>
                          <w:bCs/>
                          <w:sz w:val="22"/>
                          <w:szCs w:val="22"/>
                          <w:shd w:val="clear" w:color="auto" w:fill="FFFFFF"/>
                        </w:rPr>
                        <w:t>Europos Sąjungos išorės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 nereguliarus iš trečiosios šalies teritorijos vykdomas skrydis, kurio suplanuota nusileidimo vieta yra Europos Sąjungos valstybės narės teritorijoje, arba iš Europos Sąjungos valstybės narės teritorijos vykdomas skrydis, kurio suplanuota nusileidimo vieta yra trečiojoje šalyje, abiem atvejais įskaitant skrydžius su bet kokiais nusileidimais Europos Sąjungos valstybių narių arba trečiųjų šalių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2 d."/>
                    <w:tag w:val="part_a0066a4bf7984635a51acc3635faa9e6"/>
                    <w:lock w:val="sdtLocked"/>
                    <w:richText/>
                  </w:sdtPr>
                  <w:sdtContent>
                    <w:p>
                      <w:pPr>
                        <w:ind w:firstLine="720"/>
                        <w:jc w:val="both"/>
                        <w:rPr>
                          <w:rFonts w:eastAsia="Calibri"/>
                          <w:sz w:val="22"/>
                          <w:szCs w:val="22"/>
                        </w:rPr>
                      </w:pPr>
                      <w:sdt>
                        <w:sdtPr>
                          <w:alias w:val="Numeris"/>
                          <w:tag w:val="nr_a0066a4bf7984635a51acc3635faa9e6"/>
                          <w:lock w:val="sdtLocked"/>
                          <w:richText/>
                        </w:sdtPr>
                        <w:sdtContent>
                          <w:r>
                            <w:rPr>
                              <w:bCs/>
                              <w:sz w:val="22"/>
                              <w:szCs w:val="22"/>
                            </w:rPr>
                            <w:t>1</w:t>
                          </w:r>
                          <w:r>
                            <w:rPr>
                              <w:bCs/>
                              <w:sz w:val="22"/>
                              <w:szCs w:val="22"/>
                              <w:vertAlign w:val="superscript"/>
                            </w:rPr>
                            <w:t>2</w:t>
                          </w:r>
                        </w:sdtContent>
                      </w:sdt>
                      <w:r>
                        <w:rPr>
                          <w:bCs/>
                          <w:sz w:val="22"/>
                          <w:szCs w:val="22"/>
                        </w:rPr>
                        <w:t xml:space="preserve">. </w:t>
                      </w:r>
                      <w:r>
                        <w:rPr>
                          <w:b/>
                          <w:bCs/>
                          <w:sz w:val="22"/>
                          <w:szCs w:val="22"/>
                          <w:shd w:val="clear" w:color="auto" w:fill="FFFFFF"/>
                        </w:rPr>
                        <w:t>Europos Sąjungos vidaus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arba nereguliarus iš Europos Sąjungos valstybės narės teritorijos vykdomas skrydis, kurio suplanuota nusileidimo vieta yra vienos arba kelių kitų Europos Sąjungos valstybių narių teritorijoje, be jokių nusileidimų trečiosios šalies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6 d."/>
                    <w:tag w:val="part_a29c428b8cad45e399b0debd761d7a2e"/>
                    <w:lock w:val="sdtLocked"/>
                    <w:richText/>
                  </w:sdtPr>
                  <w:sdtContent>
                    <w:p>
                      <w:pPr>
                        <w:ind w:firstLine="720"/>
                        <w:jc w:val="both"/>
                        <w:rPr>
                          <w:sz w:val="22"/>
                          <w:szCs w:val="22"/>
                        </w:rPr>
                      </w:pPr>
                      <w:sdt>
                        <w:sdtPr>
                          <w:alias w:val="Numeris"/>
                          <w:tag w:val="nr_a29c428b8cad45e399b0debd761d7a2e"/>
                          <w:lock w:val="sdtLocked"/>
                          <w:richText/>
                        </w:sdtPr>
                        <w:sdtContent>
                          <w:r>
                            <w:rPr>
                              <w:color w:val="000000"/>
                              <w:sz w:val="22"/>
                              <w:szCs w:val="22"/>
                              <w:lang w:eastAsia="lt-LT"/>
                            </w:rPr>
                            <w:t>6</w:t>
                          </w:r>
                        </w:sdtContent>
                      </w:sdt>
                      <w:r>
                        <w:rPr>
                          <w:color w:val="000000"/>
                          <w:sz w:val="22"/>
                          <w:szCs w:val="22"/>
                          <w:lang w:eastAsia="lt-LT"/>
                        </w:rPr>
                        <w:t xml:space="preserve">. </w:t>
                      </w:r>
                      <w:r>
                        <w:rPr>
                          <w:b/>
                          <w:bCs/>
                          <w:sz w:val="22"/>
                          <w:szCs w:val="22"/>
                        </w:rPr>
                        <w:t>Riboto judumo asmuo</w:t>
                      </w:r>
                      <w:r>
                        <w:rPr>
                          <w:sz w:val="22"/>
                          <w:szCs w:val="22"/>
                        </w:rP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7 d."/>
                    <w:tag w:val="part_20b967f7ef5c444cb5adb9931f04834a"/>
                    <w:lock w:val="sdtLocked"/>
                    <w:richText/>
                  </w:sdtPr>
                  <w:sdtContent>
                    <w:p>
                      <w:pPr>
                        <w:tabs>
                          <w:tab w:val="left" w:pos="993"/>
                        </w:tabs>
                        <w:ind w:firstLine="720"/>
                        <w:contextualSpacing/>
                        <w:jc w:val="both"/>
                        <w:rPr>
                          <w:sz w:val="22"/>
                          <w:szCs w:val="22"/>
                        </w:rPr>
                      </w:pPr>
                      <w:sdt>
                        <w:sdtPr>
                          <w:alias w:val="Numeris"/>
                          <w:tag w:val="nr_20b967f7ef5c444cb5adb9931f04834a"/>
                          <w:lock w:val="sdtLocked"/>
                          <w:richText/>
                        </w:sdtPr>
                        <w:sdtContent>
                          <w:r>
                            <w:rPr>
                              <w:sz w:val="22"/>
                              <w:szCs w:val="22"/>
                            </w:rPr>
                            <w:t>7</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8 d."/>
                    <w:tag w:val="part_328f7d1f881b45e9b18dd9cb6f1d76fb"/>
                    <w:lock w:val="sdtLocked"/>
                    <w:richText/>
                  </w:sdtPr>
                  <w:sdtContent>
                    <w:p>
                      <w:pPr>
                        <w:tabs>
                          <w:tab w:val="left" w:pos="993"/>
                        </w:tabs>
                        <w:ind w:firstLine="720"/>
                        <w:contextualSpacing/>
                        <w:jc w:val="both"/>
                        <w:rPr>
                          <w:sz w:val="22"/>
                          <w:szCs w:val="22"/>
                        </w:rPr>
                      </w:pPr>
                      <w:sdt>
                        <w:sdtPr>
                          <w:alias w:val="Numeris"/>
                          <w:tag w:val="nr_328f7d1f881b45e9b18dd9cb6f1d76fb"/>
                          <w:lock w:val="sdtLocked"/>
                          <w:richText/>
                        </w:sdtPr>
                        <w:sdtContent>
                          <w:r>
                            <w:rPr>
                              <w:sz w:val="22"/>
                              <w:szCs w:val="22"/>
                            </w:rPr>
                            <w:t>8</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9 d."/>
                    <w:tag w:val="part_4dfea91fac29425a86532c44b9bf2902"/>
                    <w:lock w:val="sdtLocked"/>
                    <w:richText/>
                  </w:sdtPr>
                  <w:sdtContent>
                    <w:p>
                      <w:pPr>
                        <w:tabs>
                          <w:tab w:val="left" w:pos="993"/>
                        </w:tabs>
                        <w:ind w:firstLine="720"/>
                        <w:contextualSpacing/>
                        <w:jc w:val="both"/>
                        <w:rPr>
                          <w:sz w:val="22"/>
                          <w:szCs w:val="22"/>
                        </w:rPr>
                      </w:pPr>
                      <w:sdt>
                        <w:sdtPr>
                          <w:alias w:val="Numeris"/>
                          <w:tag w:val="nr_4dfea91fac29425a86532c44b9bf2902"/>
                          <w:lock w:val="sdtLocked"/>
                          <w:richText/>
                        </w:sdtPr>
                        <w:sdtContent>
                          <w:r>
                            <w:rPr>
                              <w:sz w:val="22"/>
                              <w:szCs w:val="22"/>
                            </w:rPr>
                            <w:t>9</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0 d."/>
                    <w:tag w:val="part_7c48d618ca924f8e8f0142a781a44511"/>
                    <w:lock w:val="sdtLocked"/>
                    <w:richText/>
                  </w:sdtPr>
                  <w:sdtContent>
                    <w:p>
                      <w:pPr>
                        <w:tabs>
                          <w:tab w:val="left" w:pos="993"/>
                        </w:tabs>
                        <w:ind w:firstLine="720"/>
                        <w:contextualSpacing/>
                        <w:jc w:val="both"/>
                        <w:rPr>
                          <w:sz w:val="22"/>
                          <w:szCs w:val="22"/>
                        </w:rPr>
                      </w:pPr>
                      <w:sdt>
                        <w:sdtPr>
                          <w:alias w:val="Numeris"/>
                          <w:tag w:val="nr_7c48d618ca924f8e8f0142a781a44511"/>
                          <w:lock w:val="sdtLocked"/>
                          <w:richText/>
                        </w:sdtPr>
                        <w:sdtContent>
                          <w:r>
                            <w:rPr>
                              <w:sz w:val="22"/>
                              <w:szCs w:val="22"/>
                            </w:rPr>
                            <w:t>10</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1 d."/>
                    <w:tag w:val="part_b44c895c6a6743bb8b41c3cb45b6c612"/>
                    <w:lock w:val="sdtLocked"/>
                    <w:richText/>
                  </w:sdtPr>
                  <w:sdtContent>
                    <w:p>
                      <w:pPr>
                        <w:tabs>
                          <w:tab w:val="left" w:pos="1134"/>
                        </w:tabs>
                        <w:ind w:firstLine="720"/>
                        <w:contextualSpacing/>
                        <w:jc w:val="both"/>
                        <w:rPr>
                          <w:sz w:val="22"/>
                          <w:szCs w:val="22"/>
                        </w:rPr>
                      </w:pPr>
                      <w:sdt>
                        <w:sdtPr>
                          <w:alias w:val="Numeris"/>
                          <w:tag w:val="nr_b44c895c6a6743bb8b41c3cb45b6c612"/>
                          <w:lock w:val="sdtLocked"/>
                          <w:richText/>
                        </w:sdtPr>
                        <w:sdtContent>
                          <w:r>
                            <w:rPr>
                              <w:sz w:val="22"/>
                              <w:szCs w:val="22"/>
                            </w:rPr>
                            <w:t>11</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2 d."/>
                    <w:tag w:val="part_14e21fa1c00b41b1a3449eef914db4d6"/>
                    <w:lock w:val="sdtLocked"/>
                    <w:richText/>
                  </w:sdtPr>
                  <w:sdtContent>
                    <w:p>
                      <w:pPr>
                        <w:tabs>
                          <w:tab w:val="left" w:pos="1134"/>
                        </w:tabs>
                        <w:ind w:firstLine="720"/>
                        <w:contextualSpacing/>
                        <w:jc w:val="both"/>
                        <w:rPr>
                          <w:sz w:val="22"/>
                          <w:szCs w:val="22"/>
                        </w:rPr>
                      </w:pPr>
                      <w:sdt>
                        <w:sdtPr>
                          <w:alias w:val="Numeris"/>
                          <w:tag w:val="nr_14e21fa1c00b41b1a3449eef914db4d6"/>
                          <w:lock w:val="sdtLocked"/>
                          <w:richText/>
                        </w:sdtPr>
                        <w:sdtContent>
                          <w:r>
                            <w:rPr>
                              <w:sz w:val="22"/>
                              <w:szCs w:val="22"/>
                            </w:rPr>
                            <w:t>12</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3 d."/>
                    <w:tag w:val="part_2c689f98a26a4812a7b1c2fe5b6d9aa2"/>
                    <w:lock w:val="sdtLocked"/>
                    <w:richText/>
                  </w:sdtPr>
                  <w:sdtContent>
                    <w:p>
                      <w:pPr>
                        <w:tabs>
                          <w:tab w:val="left" w:pos="1134"/>
                        </w:tabs>
                        <w:ind w:firstLine="720"/>
                        <w:contextualSpacing/>
                        <w:jc w:val="both"/>
                        <w:rPr>
                          <w:sz w:val="22"/>
                          <w:szCs w:val="22"/>
                        </w:rPr>
                      </w:pPr>
                      <w:sdt>
                        <w:sdtPr>
                          <w:alias w:val="Numeris"/>
                          <w:tag w:val="nr_2c689f98a26a4812a7b1c2fe5b6d9aa2"/>
                          <w:lock w:val="sdtLocked"/>
                          <w:richText/>
                        </w:sdtPr>
                        <w:sdtContent>
                          <w:r>
                            <w:rPr>
                              <w:sz w:val="22"/>
                              <w:szCs w:val="22"/>
                            </w:rPr>
                            <w:t>13</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4 d."/>
                    <w:tag w:val="part_f31f90c2a0884c2491e006f0ee24bc61"/>
                    <w:lock w:val="sdtLocked"/>
                    <w:richText/>
                  </w:sdtPr>
                  <w:sdtContent>
                    <w:p>
                      <w:pPr>
                        <w:tabs>
                          <w:tab w:val="left" w:pos="1134"/>
                        </w:tabs>
                        <w:ind w:firstLine="720"/>
                        <w:contextualSpacing/>
                        <w:jc w:val="both"/>
                        <w:rPr>
                          <w:sz w:val="22"/>
                          <w:szCs w:val="22"/>
                        </w:rPr>
                      </w:pPr>
                      <w:sdt>
                        <w:sdtPr>
                          <w:alias w:val="Numeris"/>
                          <w:tag w:val="nr_f31f90c2a0884c2491e006f0ee24bc61"/>
                          <w:lock w:val="sdtLocked"/>
                          <w:richText/>
                        </w:sdtPr>
                        <w:sdtContent>
                          <w:r>
                            <w:rPr>
                              <w:sz w:val="22"/>
                              <w:szCs w:val="22"/>
                            </w:rPr>
                            <w:t>14</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5 d."/>
                    <w:tag w:val="part_710f53e8bb694ecd93b8597cbafb7ea4"/>
                    <w:lock w:val="sdtLocked"/>
                    <w:richText/>
                  </w:sdtPr>
                  <w:sdtContent>
                    <w:p>
                      <w:pPr>
                        <w:tabs>
                          <w:tab w:val="left" w:pos="1134"/>
                        </w:tabs>
                        <w:ind w:firstLine="720"/>
                        <w:contextualSpacing/>
                        <w:jc w:val="both"/>
                        <w:rPr>
                          <w:sz w:val="22"/>
                          <w:szCs w:val="22"/>
                        </w:rPr>
                      </w:pPr>
                      <w:sdt>
                        <w:sdtPr>
                          <w:alias w:val="Numeris"/>
                          <w:tag w:val="nr_710f53e8bb694ecd93b8597cbafb7ea4"/>
                          <w:lock w:val="sdtLocked"/>
                          <w:richText/>
                        </w:sdtPr>
                        <w:sdtContent>
                          <w:r>
                            <w:rPr>
                              <w:sz w:val="22"/>
                              <w:szCs w:val="22"/>
                            </w:rPr>
                            <w:t>15</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6 d."/>
                    <w:tag w:val="part_cdbe71574e724832ae6c59d501f0fa4b"/>
                    <w:lock w:val="sdtLocked"/>
                    <w:richText/>
                  </w:sdtPr>
                  <w:sdtContent>
                    <w:p>
                      <w:pPr>
                        <w:tabs>
                          <w:tab w:val="left" w:pos="1134"/>
                        </w:tabs>
                        <w:ind w:firstLine="720"/>
                        <w:contextualSpacing/>
                        <w:jc w:val="both"/>
                        <w:rPr>
                          <w:sz w:val="22"/>
                          <w:szCs w:val="22"/>
                        </w:rPr>
                      </w:pPr>
                      <w:sdt>
                        <w:sdtPr>
                          <w:alias w:val="Numeris"/>
                          <w:tag w:val="nr_cdbe71574e724832ae6c59d501f0fa4b"/>
                          <w:lock w:val="sdtLocked"/>
                          <w:richText/>
                        </w:sdtPr>
                        <w:sdtContent>
                          <w:r>
                            <w:rPr>
                              <w:sz w:val="22"/>
                              <w:szCs w:val="22"/>
                            </w:rPr>
                            <w:t>16</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7 d."/>
                    <w:tag w:val="part_526ff95822434ef0b4ff7bbab8f3c7d4"/>
                    <w:lock w:val="sdtLocked"/>
                    <w:richText/>
                  </w:sdtPr>
                  <w:sdtContent>
                    <w:p>
                      <w:pPr>
                        <w:tabs>
                          <w:tab w:val="left" w:pos="1134"/>
                        </w:tabs>
                        <w:ind w:firstLine="720"/>
                        <w:contextualSpacing/>
                        <w:jc w:val="both"/>
                        <w:rPr>
                          <w:sz w:val="22"/>
                          <w:szCs w:val="22"/>
                        </w:rPr>
                      </w:pPr>
                      <w:sdt>
                        <w:sdtPr>
                          <w:alias w:val="Numeris"/>
                          <w:tag w:val="nr_526ff95822434ef0b4ff7bbab8f3c7d4"/>
                          <w:lock w:val="sdtLocked"/>
                          <w:richText/>
                        </w:sdtPr>
                        <w:sdtContent>
                          <w:r>
                            <w:rPr>
                              <w:sz w:val="22"/>
                              <w:szCs w:val="22"/>
                            </w:rPr>
                            <w:t>17</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8 d."/>
                    <w:tag w:val="part_88ead12975f744efaa064631613f6ca5"/>
                    <w:lock w:val="sdtLocked"/>
                    <w:richText/>
                  </w:sdtPr>
                  <w:sdtContent>
                    <w:p>
                      <w:pPr>
                        <w:tabs>
                          <w:tab w:val="left" w:pos="1134"/>
                        </w:tabs>
                        <w:ind w:firstLine="720"/>
                        <w:contextualSpacing/>
                        <w:jc w:val="both"/>
                        <w:rPr>
                          <w:sz w:val="22"/>
                          <w:szCs w:val="22"/>
                        </w:rPr>
                      </w:pPr>
                      <w:sdt>
                        <w:sdtPr>
                          <w:alias w:val="Numeris"/>
                          <w:tag w:val="nr_88ead12975f744efaa064631613f6ca5"/>
                          <w:lock w:val="sdtLocked"/>
                          <w:richText/>
                        </w:sdtPr>
                        <w:sdtContent>
                          <w:r>
                            <w:rPr>
                              <w:sz w:val="22"/>
                              <w:szCs w:val="22"/>
                            </w:rPr>
                            <w:t>18</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9 d."/>
                    <w:tag w:val="part_bf81ff3b1bc94ed6ba501d25037393e0"/>
                    <w:lock w:val="sdtLocked"/>
                    <w:richText/>
                  </w:sdtPr>
                  <w:sdtContent>
                    <w:p>
                      <w:pPr>
                        <w:ind w:firstLine="720"/>
                        <w:jc w:val="both"/>
                        <w:rPr>
                          <w:sz w:val="22"/>
                          <w:szCs w:val="22"/>
                        </w:rPr>
                      </w:pPr>
                      <w:sdt>
                        <w:sdtPr>
                          <w:alias w:val="Numeris"/>
                          <w:tag w:val="nr_bf81ff3b1bc94ed6ba501d25037393e0"/>
                          <w:lock w:val="sdtLocked"/>
                          <w:richText/>
                        </w:sdtPr>
                        <w:sdtContent>
                          <w:r>
                            <w:rPr>
                              <w:bCs/>
                              <w:sz w:val="22"/>
                              <w:szCs w:val="22"/>
                            </w:rPr>
                            <w:t>19</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20 d."/>
                    <w:tag w:val="part_b73fea3dd000446fa16cbca20608a417"/>
                    <w:lock w:val="sdtLocked"/>
                    <w:richText/>
                  </w:sdtPr>
                  <w:sdtContent>
                    <w:p>
                      <w:pPr>
                        <w:ind w:firstLine="720"/>
                        <w:jc w:val="both"/>
                      </w:pPr>
                      <w:sdt>
                        <w:sdtPr>
                          <w:alias w:val="Numeris"/>
                          <w:tag w:val="nr_b73fea3dd000446fa16cbca20608a417"/>
                          <w:lock w:val="sdtLocked"/>
                          <w:richText/>
                        </w:sdtPr>
                        <w:sdtContent>
                          <w:r>
                            <w:rPr>
                              <w:sz w:val="22"/>
                              <w:szCs w:val="22"/>
                            </w:rPr>
                            <w:t>20</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5"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6"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19"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0"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1"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b1ca0ed19518447bbbea78a62b408826"/>
                <w:lock w:val="sdtLocked"/>
                <w:richText/>
              </w:sdtPr>
              <w:sdtContent>
                <w:p>
                  <w:pPr>
                    <w:ind w:firstLine="720"/>
                    <w:jc w:val="both"/>
                    <w:rPr>
                      <w:sz w:val="22"/>
                      <w:szCs w:val="22"/>
                    </w:rPr>
                  </w:pPr>
                  <w:sdt>
                    <w:sdtPr>
                      <w:alias w:val="Numeris"/>
                      <w:tag w:val="nr_b1ca0ed19518447bbbea78a62b408826"/>
                      <w:lock w:val="sdtLocked"/>
                      <w:richText/>
                    </w:sdtPr>
                    <w:sdtContent>
                      <w:r>
                        <w:rPr>
                          <w:b/>
                          <w:sz w:val="22"/>
                          <w:szCs w:val="22"/>
                        </w:rPr>
                        <w:t>11</w:t>
                      </w:r>
                    </w:sdtContent>
                  </w:sdt>
                  <w:r>
                    <w:rPr>
                      <w:b/>
                      <w:sz w:val="22"/>
                      <w:szCs w:val="22"/>
                    </w:rPr>
                    <w:t xml:space="preserve"> straipsnis. </w:t>
                  </w:r>
                  <w:sdt>
                    <w:sdtPr>
                      <w:alias w:val="Pavadinimas"/>
                      <w:tag w:val="title_b1ca0ed19518447bbbea78a62b408826"/>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79baf92a5b234a848b74265ae5865740"/>
                    <w:lock w:val="sdtLocked"/>
                    <w:richText/>
                  </w:sdtPr>
                  <w:sdtContent>
                    <w:p>
                      <w:pPr>
                        <w:ind w:firstLine="720"/>
                        <w:jc w:val="both"/>
                        <w:rPr>
                          <w:sz w:val="22"/>
                          <w:szCs w:val="22"/>
                        </w:rPr>
                      </w:pPr>
                      <w:sdt>
                        <w:sdtPr>
                          <w:alias w:val="Numeris"/>
                          <w:tag w:val="nr_79baf92a5b234a848b74265ae5865740"/>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 ir riboto judumo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1 d."/>
                    <w:tag w:val="part_822b77fa7edc459a96cf9fbe93b3476c"/>
                    <w:lock w:val="sdtLocked"/>
                    <w:richText/>
                  </w:sdtPr>
                  <w:sdtContent>
                    <w:p>
                      <w:pPr>
                        <w:ind w:firstLine="720"/>
                        <w:jc w:val="both"/>
                      </w:pPr>
                      <w:sdt>
                        <w:sdtPr>
                          <w:alias w:val="Numeris"/>
                          <w:tag w:val="nr_822b77fa7edc459a96cf9fbe93b3476c"/>
                          <w:lock w:val="sdtLocked"/>
                          <w:richText/>
                        </w:sdtPr>
                        <w:sdtContent>
                          <w:r>
                            <w:rPr>
                              <w:sz w:val="22"/>
                              <w:szCs w:val="22"/>
                            </w:rPr>
                            <w:t>2</w:t>
                          </w:r>
                          <w:r>
                            <w:rPr>
                              <w:sz w:val="22"/>
                              <w:szCs w:val="22"/>
                              <w:vertAlign w:val="superscript"/>
                            </w:rPr>
                            <w:t>1</w:t>
                          </w:r>
                        </w:sdtContent>
                      </w:sdt>
                      <w:r>
                        <w:rPr>
                          <w:sz w:val="22"/>
                          <w:szCs w:val="22"/>
                        </w:rP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r>
                        <w:t xml:space="preserve"> </w:t>
                      </w:r>
                    </w:p>
                    <w:p>
                      <w:pPr>
                        <w:jc w:val="both"/>
                      </w:pPr>
                      <w:r>
                        <w:rPr>
                          <w:b/>
                          <w:i/>
                          <w:sz w:val="20"/>
                        </w:rPr>
                        <w:t>TAR pastaba.</w:t>
                      </w:r>
                      <w:r>
                        <w:rPr>
                          <w:i/>
                          <w:sz w:val="20"/>
                        </w:rPr>
                        <w:t xml:space="preserve"> 11 straipsnio 2</w:t>
                      </w:r>
                      <w:r>
                        <w:rPr>
                          <w:i/>
                          <w:sz w:val="20"/>
                          <w:vertAlign w:val="superscript"/>
                        </w:rPr>
                        <w:t>1</w:t>
                      </w:r>
                      <w:r>
                        <w:rPr>
                          <w:i/>
                          <w:sz w:val="20"/>
                        </w:rPr>
                        <w:t xml:space="preserve"> dalies nuostatos taikomos įsigaliojus (2022-11-01) įstatymui Nr. </w:t>
                      </w:r>
                      <w:r>
                        <w:rPr>
                          <w:i/>
                          <w:sz w:val="20"/>
                          <w:lang w:val="en-US"/>
                        </w:rPr>
                        <w:t>XIV-1141</w:t>
                      </w:r>
                      <w:r>
                        <w:rPr>
                          <w:i/>
                          <w:sz w:val="20"/>
                        </w:rPr>
                        <w:t xml:space="preserve"> pirmą kartą Lietuvos Respublikoje registruojamoms viešojo transporto priemonėms, išskyrus atvejus, kai Lietuvos Respublikos teisės aktais reglamentuojamos transporto priemonių pirkimo procedūros buvo pradėtos iki įsigaliojant (2022-11-01) įstatymui Nr.</w:t>
                      </w:r>
                      <w:r>
                        <w:rPr>
                          <w:i/>
                          <w:sz w:val="20"/>
                          <w:lang w:val="en-US"/>
                        </w:rPr>
                        <w:t xml:space="preserve"> XIV-1141.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2 d."/>
                    <w:tag w:val="part_a15185cbc1724a15a0a3d069afa81972"/>
                    <w:lock w:val="sdtLocked"/>
                    <w:richText/>
                  </w:sdtPr>
                  <w:sdtContent>
                    <w:p>
                      <w:pPr>
                        <w:ind w:firstLine="720"/>
                        <w:jc w:val="both"/>
                        <w:rPr>
                          <w:sz w:val="22"/>
                          <w:szCs w:val="22"/>
                        </w:rPr>
                      </w:pPr>
                      <w:sdt>
                        <w:sdtPr>
                          <w:alias w:val="Numeris"/>
                          <w:tag w:val="nr_a15185cbc1724a15a0a3d069afa81972"/>
                          <w:lock w:val="sdtLocked"/>
                          <w:richText/>
                        </w:sdtPr>
                        <w:sdtContent>
                          <w:r>
                            <w:rPr>
                              <w:sz w:val="22"/>
                              <w:szCs w:val="22"/>
                            </w:rPr>
                            <w:t>2</w:t>
                          </w:r>
                          <w:r>
                            <w:rPr>
                              <w:sz w:val="22"/>
                              <w:szCs w:val="22"/>
                              <w:vertAlign w:val="superscript"/>
                            </w:rPr>
                            <w:t>2</w:t>
                          </w:r>
                        </w:sdtContent>
                      </w:sdt>
                      <w:r>
                        <w:rPr>
                          <w:sz w:val="22"/>
                          <w:szCs w:val="22"/>
                        </w:rP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11 str. 3 d."/>
                    <w:tag w:val="part_fa2ca050ca0b403a991e1fe8d77b267a"/>
                    <w:lock w:val="sdtLocked"/>
                    <w:richText/>
                  </w:sdtPr>
                  <w:sdtContent>
                    <w:p>
                      <w:pPr>
                        <w:ind w:firstLine="720"/>
                        <w:jc w:val="both"/>
                        <w:rPr>
                          <w:sz w:val="22"/>
                          <w:szCs w:val="22"/>
                        </w:rPr>
                      </w:pPr>
                      <w:sdt>
                        <w:sdtPr>
                          <w:alias w:val="Numeris"/>
                          <w:tag w:val="nr_fa2ca050ca0b403a991e1fe8d77b267a"/>
                          <w:lock w:val="sdtLocked"/>
                          <w:richText/>
                        </w:sdtPr>
                        <w:sdtContent>
                          <w:r>
                            <w:rPr>
                              <w:sz w:val="22"/>
                              <w:szCs w:val="22"/>
                            </w:rPr>
                            <w:t>3</w:t>
                          </w:r>
                        </w:sdtContent>
                      </w:sdt>
                      <w:r>
                        <w:rPr>
                          <w:sz w:val="22"/>
                          <w:szCs w:val="22"/>
                        </w:rPr>
                        <w:t>. Asmens duomenys intelektinių transporto sistemų srityje tvarkomi vadovaujantis</w:t>
                      </w:r>
                      <w:r>
                        <w:rPr>
                          <w:sz w:val="22"/>
                          <w:szCs w:val="22"/>
                          <w:shd w:val="clear" w:color="auto" w:fill="FFFFFF"/>
                        </w:rPr>
                        <w:t xml:space="preserve"> </w:t>
                      </w:r>
                      <w:r>
                        <w:rPr>
                          <w:sz w:val="22"/>
                          <w:szCs w:val="22"/>
                        </w:rPr>
                        <w:t xml:space="preserve">Lietuvos Respublikos asmens duomenų teisinės apsaugos įstatymo, Lietuvos Respublikos elektroninių ryšių įstatymo ir 2016 m. balandžio 27 d. Europos Parlamento ir Tarybos reglamento </w:t>
                      </w:r>
                      <w:hyperlink r:id="rId23" w:tgtFrame="_blank" w:history="1">
                        <w:r>
                          <w:rPr>
                            <w:color w:val="0000FF" w:themeColor="hyperlink"/>
                            <w:sz w:val="22"/>
                            <w:szCs w:val="22"/>
                            <w:u w:val="single"/>
                          </w:rPr>
                          <w:t>(ES) 2016/679</w:t>
                        </w:r>
                      </w:hyperlink>
                      <w:r>
                        <w:rPr>
                          <w:sz w:val="22"/>
                          <w:szCs w:val="22"/>
                        </w:rPr>
                        <w:t xml:space="preserve"> dėl fizinių asmenų apsaugos tvarkant asmens duomenis ir dėl laisvo tokių duomenų judėjimo ir kuriuo panaikinama Direktyva </w:t>
                      </w:r>
                      <w:hyperlink r:id="rId24" w:tgtFrame="_blank" w:history="1">
                        <w:r>
                          <w:rPr>
                            <w:color w:val="0000FF" w:themeColor="hyperlink"/>
                            <w:sz w:val="22"/>
                            <w:szCs w:val="22"/>
                            <w:u w:val="single"/>
                          </w:rPr>
                          <w:t>95/46/EB</w:t>
                        </w:r>
                      </w:hyperlink>
                      <w:r>
                        <w:rPr>
                          <w:sz w:val="22"/>
                          <w:szCs w:val="22"/>
                        </w:rPr>
                        <w:t xml:space="preserve"> (Bendrojo duomenų apsaugos reglamento) nuostatomis. Tais atvejais, kai nėra būtini asmens tapatybę nustatantys duomenys, intelektinių transporto sistemų srityje tvarkomi tokie duomenys, iš kurių negalima nustatyti asmens tapatybės.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dfb9d35dc4ac4bdf84cc720ca68e5261"/>
                    <w:lock w:val="sdtLocked"/>
                    <w:richText/>
                  </w:sdtPr>
                  <w:sdtContent>
                    <w:p>
                      <w:pPr>
                        <w:ind w:firstLine="720"/>
                        <w:jc w:val="both"/>
                        <w:rPr>
                          <w:bCs/>
                          <w:sz w:val="22"/>
                          <w:szCs w:val="22"/>
                        </w:rPr>
                      </w:pPr>
                      <w:sdt>
                        <w:sdtPr>
                          <w:alias w:val="Numeris"/>
                          <w:tag w:val="nr_dfb9d35dc4ac4bdf84cc720ca68e5261"/>
                          <w:lock w:val="sdtLocked"/>
                          <w:richText/>
                        </w:sdtPr>
                        <w:sdtContent>
                          <w:r>
                            <w:rPr>
                              <w:sz w:val="22"/>
                              <w:szCs w:val="22"/>
                            </w:rPr>
                            <w:t>1</w:t>
                          </w:r>
                        </w:sdtContent>
                      </w:sdt>
                      <w:r>
                        <w:rPr>
                          <w:sz w:val="22"/>
                          <w:szCs w:val="22"/>
                        </w:rPr>
                        <w:t xml:space="preserve">. Kombinuotasis vežimas – krovinių vežimas tarp Europos Sąjungos valstybių narių </w:t>
                      </w:r>
                      <w:r>
                        <w:rPr>
                          <w:bCs/>
                          <w:sz w:val="22"/>
                          <w:szCs w:val="22"/>
                        </w:rPr>
                        <w:t>tuo pačiu</w:t>
                      </w:r>
                      <w:r>
                        <w:rPr>
                          <w:sz w:val="22"/>
                          <w:szCs w:val="22"/>
                        </w:rPr>
                        <w:t xml:space="preserve"> sunkvežimiu, priekaba ar puspriekabe (su vilkiku ar be jo), taip pat ta pačia keičiama talpykla arba konteineriu</w:t>
                      </w:r>
                      <w:r>
                        <w:rPr>
                          <w:bCs/>
                          <w:sz w:val="22"/>
                          <w:szCs w:val="22"/>
                        </w:rPr>
                        <w:t>, kurių ilgis 6,096 m (20 pėdų) ar didesnis, kai pradinė ir (arba) paskutinė maršruto dalis vyksta keliu (-iais), o kita maršruto dalis turi vykti geležinkelio linija (</w:t>
                        <w:noBreakHyphen/>
                        <w:t>omis), vidaus vandenų keliu (</w:t>
                        <w:noBreakHyphen/>
                        <w:t>iais) arba jūrų keliu (-iais) ir kai geležinkelio linija (-omis), vidaus vandenų keliu (-iais) arba jūrų keliu (-iais) nuvažiuojamas didesnis nei 100 km atstumas matuojant tiesia linija. Kroviniai keliu (</w:t>
                        <w:noBreakHyphen/>
                        <w:t>iais) turi būti vežami:</w:t>
                      </w:r>
                    </w:p>
                    <w:sdt>
                      <w:sdtPr>
                        <w:alias w:val="12 str. 1 d. 1 p."/>
                        <w:tag w:val="part_ee571627dbf04a38a90dd23bfc0dc847"/>
                        <w:lock w:val="sdtLocked"/>
                        <w:richText/>
                      </w:sdtPr>
                      <w:sdtContent>
                        <w:p>
                          <w:pPr>
                            <w:ind w:firstLine="720"/>
                            <w:jc w:val="both"/>
                            <w:rPr>
                              <w:bCs/>
                              <w:sz w:val="22"/>
                              <w:szCs w:val="22"/>
                            </w:rPr>
                          </w:pPr>
                          <w:sdt>
                            <w:sdtPr>
                              <w:alias w:val="Numeris"/>
                              <w:tag w:val="nr_ee571627dbf04a38a90dd23bfc0dc847"/>
                              <w:lock w:val="sdtLocked"/>
                              <w:richText/>
                            </w:sdtPr>
                            <w:sdtContent>
                              <w:r>
                                <w:rPr>
                                  <w:bCs/>
                                  <w:sz w:val="22"/>
                                  <w:szCs w:val="22"/>
                                </w:rPr>
                                <w:t>1</w:t>
                              </w:r>
                            </w:sdtContent>
                          </w:sdt>
                          <w:r>
                            <w:rPr>
                              <w:bCs/>
                              <w:sz w:val="22"/>
                              <w:szCs w:val="22"/>
                            </w:rPr>
                            <w:t>) pradinėje maršruto dalyje iš pakrovimo vietos iki artimiausios tinkamos geležinkelio pakrovimo stoties ir (arba) iš artimiausios tinkamos geležinkelio iškrovimo stoties iki iškrovimo vietos paskutinėje maršruto dalyje;</w:t>
                          </w:r>
                        </w:p>
                      </w:sdtContent>
                    </w:sdt>
                    <w:sdt>
                      <w:sdtPr>
                        <w:alias w:val="12 str. 1 d. 2 p."/>
                        <w:tag w:val="part_5ca0111eecd041f9971e161b3598b970"/>
                        <w:lock w:val="sdtLocked"/>
                        <w:richText/>
                      </w:sdtPr>
                      <w:sdtContent>
                        <w:p>
                          <w:pPr>
                            <w:ind w:firstLine="720"/>
                            <w:jc w:val="both"/>
                            <w:rPr>
                              <w:sz w:val="22"/>
                              <w:szCs w:val="22"/>
                            </w:rPr>
                          </w:pPr>
                          <w:sdt>
                            <w:sdtPr>
                              <w:alias w:val="Numeris"/>
                              <w:tag w:val="nr_5ca0111eecd041f9971e161b3598b970"/>
                              <w:lock w:val="sdtLocked"/>
                              <w:richText/>
                            </w:sdtPr>
                            <w:sdtContent>
                              <w:r>
                                <w:rPr>
                                  <w:bCs/>
                                  <w:sz w:val="22"/>
                                  <w:szCs w:val="22"/>
                                </w:rPr>
                                <w:t>2</w:t>
                              </w:r>
                            </w:sdtContent>
                          </w:sdt>
                          <w:r>
                            <w:rPr>
                              <w:bCs/>
                              <w:sz w:val="22"/>
                              <w:szCs w:val="22"/>
                            </w:rPr>
                            <w:t>) ne didesniu kaip 150 km atstumu matuojant tiesia linija iš pakrovimo ar iškrovimo vidaus vandenų uosto arba jūrų uosto.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7"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8"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9"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f672875a260f413bbe29c93e35218f9a"/>
                <w:lock w:val="sdtLocked"/>
                <w:richText/>
              </w:sdtPr>
              <w:sdtContent>
                <w:p>
                  <w:pPr>
                    <w:ind w:left="2268" w:hanging="1548"/>
                    <w:jc w:val="both"/>
                    <w:rPr>
                      <w:b/>
                      <w:bCs/>
                      <w:sz w:val="22"/>
                      <w:szCs w:val="22"/>
                    </w:rPr>
                  </w:pPr>
                  <w:sdt>
                    <w:sdtPr>
                      <w:alias w:val="Numeris"/>
                      <w:tag w:val="nr_f672875a260f413bbe29c93e35218f9a"/>
                      <w:lock w:val="sdtLocked"/>
                      <w:richText/>
                    </w:sdtPr>
                    <w:sdtContent>
                      <w:r>
                        <w:rPr>
                          <w:b/>
                          <w:bCs/>
                          <w:sz w:val="22"/>
                          <w:szCs w:val="22"/>
                        </w:rPr>
                        <w:t>19</w:t>
                      </w:r>
                      <w:r>
                        <w:rPr>
                          <w:b/>
                          <w:bCs/>
                          <w:sz w:val="22"/>
                          <w:szCs w:val="22"/>
                          <w:vertAlign w:val="superscript"/>
                        </w:rPr>
                        <w:t>1</w:t>
                      </w:r>
                    </w:sdtContent>
                  </w:sdt>
                  <w:r>
                    <w:rPr>
                      <w:b/>
                      <w:bCs/>
                      <w:sz w:val="22"/>
                      <w:szCs w:val="22"/>
                    </w:rPr>
                    <w:t xml:space="preserve"> straipsnis. </w:t>
                  </w:r>
                  <w:sdt>
                    <w:sdtPr>
                      <w:alias w:val="Pavadinimas"/>
                      <w:tag w:val="title_f672875a260f413bbe29c93e35218f9a"/>
                      <w:lock w:val="sdtLocked"/>
                      <w:richText/>
                    </w:sdtPr>
                    <w:sdtContent>
                      <w:r>
                        <w:rPr>
                          <w:b/>
                          <w:bCs/>
                          <w:sz w:val="22"/>
                          <w:szCs w:val="22"/>
                        </w:rPr>
                        <w:t>Vežėjų, kurie verčiasi keleivių vežimu oro keliais, pareiga teikti bilietų užsakymo ir išvykimo kontrolės, keleivių skrydžio duomenis ir šių duomenų tvarkymas</w:t>
                      </w:r>
                    </w:sdtContent>
                  </w:sdt>
                </w:p>
                <w:sdt>
                  <w:sdtPr>
                    <w:alias w:val="19-1 str. 1 d."/>
                    <w:tag w:val="part_213a7459f32642bab536478ca5ea8dac"/>
                    <w:lock w:val="sdtLocked"/>
                    <w:richText/>
                  </w:sdtPr>
                  <w:sdtContent>
                    <w:p>
                      <w:pPr>
                        <w:widowControl w:val="0"/>
                        <w:ind w:firstLine="720"/>
                        <w:jc w:val="both"/>
                        <w:rPr>
                          <w:sz w:val="22"/>
                          <w:szCs w:val="22"/>
                        </w:rPr>
                      </w:pPr>
                      <w:sdt>
                        <w:sdtPr>
                          <w:alias w:val="Numeris"/>
                          <w:tag w:val="nr_213a7459f32642bab536478ca5ea8dac"/>
                          <w:lock w:val="sdtLocked"/>
                          <w:richText/>
                        </w:sdtPr>
                        <w:sdtContent>
                          <w:r>
                            <w:rPr>
                              <w:sz w:val="22"/>
                              <w:szCs w:val="22"/>
                            </w:rPr>
                            <w:t>1</w:t>
                          </w:r>
                        </w:sdtContent>
                      </w:sdt>
                      <w:r>
                        <w:rPr>
                          <w:sz w:val="22"/>
                          <w:szCs w:val="22"/>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(toliau – įgaliotas padalinys)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sdtContent>
                </w:sdt>
                <w:sdt>
                  <w:sdtPr>
                    <w:alias w:val="19-1 str. 2 d."/>
                    <w:tag w:val="part_e4500b9556bb4ebdbe51b497b2591ee6"/>
                    <w:lock w:val="sdtLocked"/>
                    <w:richText/>
                  </w:sdtPr>
                  <w:sdtContent>
                    <w:p>
                      <w:pPr>
                        <w:widowControl w:val="0"/>
                        <w:ind w:firstLine="720"/>
                        <w:jc w:val="both"/>
                        <w:rPr>
                          <w:sz w:val="22"/>
                          <w:szCs w:val="22"/>
                        </w:rPr>
                      </w:pPr>
                      <w:sdt>
                        <w:sdtPr>
                          <w:alias w:val="Numeris"/>
                          <w:tag w:val="nr_e4500b9556bb4ebdbe51b497b2591ee6"/>
                          <w:lock w:val="sdtLocked"/>
                          <w:richText/>
                        </w:sdtPr>
                        <w:sdtContent>
                          <w:r>
                            <w:rPr>
                              <w:sz w:val="22"/>
                              <w:szCs w:val="22"/>
                            </w:rPr>
                            <w:t>2</w:t>
                          </w:r>
                        </w:sdtContent>
                      </w:sdt>
                      <w:r>
                        <w:rPr>
                          <w:sz w:val="22"/>
                          <w:szCs w:val="22"/>
                        </w:rPr>
                        <w:t>. Įgaliotas padalinys yra Lietuvos policijos generalinio komisaro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sdtContent>
                </w:sdt>
                <w:sdt>
                  <w:sdtPr>
                    <w:alias w:val="19-1 str. 3 d."/>
                    <w:tag w:val="part_4b2ffaeb457c4467801f35235cfcc1a8"/>
                    <w:lock w:val="sdtLocked"/>
                    <w:richText/>
                  </w:sdtPr>
                  <w:sdtContent>
                    <w:p>
                      <w:pPr>
                        <w:widowControl w:val="0"/>
                        <w:ind w:firstLine="720"/>
                        <w:jc w:val="both"/>
                        <w:rPr>
                          <w:sz w:val="22"/>
                          <w:szCs w:val="22"/>
                        </w:rPr>
                      </w:pPr>
                      <w:sdt>
                        <w:sdtPr>
                          <w:alias w:val="Numeris"/>
                          <w:tag w:val="nr_4b2ffaeb457c4467801f35235cfcc1a8"/>
                          <w:lock w:val="sdtLocked"/>
                          <w:richText/>
                        </w:sdtPr>
                        <w:sdtContent>
                          <w:r>
                            <w:rPr>
                              <w:sz w:val="22"/>
                              <w:szCs w:val="22"/>
                            </w:rPr>
                            <w:t>3</w:t>
                          </w:r>
                        </w:sdtContent>
                      </w:sdt>
                      <w:r>
                        <w:rPr>
                          <w:sz w:val="22"/>
                          <w:szCs w:val="22"/>
                        </w:rPr>
                        <w:t>. Šio Įstatymo 1 priede nurodyti duomenys tvarkomi teroristinių nusikaltimų ir su teroristine veikla susijusių nusikaltimų, taip pat labai sunkių ir sunkių nusikaltimų, kaip jie apibrėžiami Lietuvos Respublikos baudžiamajame kodekse, prevencijos, nustatymo, tyrimo ir patraukimo už juos baudžiamojon atsakomybėn tikslais.</w:t>
                      </w:r>
                    </w:p>
                  </w:sdtContent>
                </w:sdt>
                <w:sdt>
                  <w:sdtPr>
                    <w:alias w:val="19-1 str. 4 d."/>
                    <w:tag w:val="part_4adbf8ec814b48698db477eb585ed777"/>
                    <w:lock w:val="sdtLocked"/>
                    <w:richText/>
                  </w:sdtPr>
                  <w:sdtContent>
                    <w:p>
                      <w:pPr>
                        <w:widowControl w:val="0"/>
                        <w:ind w:firstLine="720"/>
                        <w:jc w:val="both"/>
                        <w:rPr>
                          <w:sz w:val="22"/>
                          <w:szCs w:val="22"/>
                        </w:rPr>
                      </w:pPr>
                      <w:sdt>
                        <w:sdtPr>
                          <w:alias w:val="Numeris"/>
                          <w:tag w:val="nr_4adbf8ec814b48698db477eb585ed777"/>
                          <w:lock w:val="sdtLocked"/>
                          <w:richText/>
                        </w:sdtPr>
                        <w:sdtContent>
                          <w:r>
                            <w:rPr>
                              <w:sz w:val="22"/>
                              <w:szCs w:val="22"/>
                            </w:rPr>
                            <w:t>4</w:t>
                          </w:r>
                        </w:sdtContent>
                      </w:sdt>
                      <w:r>
                        <w:rPr>
                          <w:sz w:val="22"/>
                          <w:szCs w:val="22"/>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ea470b6d8669415eb4940599fe790086"/>
                    <w:lock w:val="sdtLocked"/>
                    <w:richText/>
                  </w:sdtPr>
                  <w:sdtContent>
                    <w:p>
                      <w:pPr>
                        <w:widowControl w:val="0"/>
                        <w:ind w:firstLine="720"/>
                        <w:jc w:val="both"/>
                        <w:rPr>
                          <w:sz w:val="22"/>
                          <w:szCs w:val="22"/>
                        </w:rPr>
                      </w:pPr>
                      <w:sdt>
                        <w:sdtPr>
                          <w:alias w:val="Numeris"/>
                          <w:tag w:val="nr_ea470b6d8669415eb4940599fe790086"/>
                          <w:lock w:val="sdtLocked"/>
                          <w:richText/>
                        </w:sdtPr>
                        <w:sdtContent>
                          <w:r>
                            <w:rPr>
                              <w:sz w:val="22"/>
                              <w:szCs w:val="22"/>
                            </w:rPr>
                            <w:t>5</w:t>
                          </w:r>
                        </w:sdtContent>
                      </w:sdt>
                      <w:r>
                        <w:rPr>
                          <w:sz w:val="22"/>
                          <w:szCs w:val="22"/>
                        </w:rPr>
                        <w:t>. Atliekant keleivių įvertinimą prieš jiems atvykstant į Lietuvos Respubliką ar išvykstant iš jos, šio Įstatymo 1 priede nurodyti duomenys automatizuotu būdu yra palyginami su duomenimis, tvarkomais informacinėse sistemose teroristinių nusikaltimų ir su teroristine veikla susijusių nusikaltimų, taip pat labai sunkių ir sunkių nusikaltimų prevencijos, nustatymo, tyrimo ar patraukimo už juos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da245fe490934c65937b2ffd6c4afd91"/>
                    <w:lock w:val="sdtLocked"/>
                    <w:richText/>
                  </w:sdtPr>
                  <w:sdtContent>
                    <w:p>
                      <w:pPr>
                        <w:widowControl w:val="0"/>
                        <w:ind w:firstLine="720"/>
                        <w:jc w:val="both"/>
                        <w:rPr>
                          <w:sz w:val="22"/>
                          <w:szCs w:val="22"/>
                        </w:rPr>
                      </w:pPr>
                      <w:sdt>
                        <w:sdtPr>
                          <w:alias w:val="Numeris"/>
                          <w:tag w:val="nr_da245fe490934c65937b2ffd6c4afd91"/>
                          <w:lock w:val="sdtLocked"/>
                          <w:richText/>
                        </w:sdtPr>
                        <w:sdtContent>
                          <w:r>
                            <w:rPr>
                              <w:sz w:val="22"/>
                              <w:szCs w:val="22"/>
                            </w:rPr>
                            <w:t>6</w:t>
                          </w:r>
                        </w:sdtContent>
                      </w:sdt>
                      <w:r>
                        <w:rPr>
                          <w:sz w:val="22"/>
                          <w:szCs w:val="22"/>
                        </w:rPr>
                        <w:t>. Šio Įstatymo 1 priede nurodyti</w:t>
                      </w:r>
                      <w:r>
                        <w:rPr>
                          <w:sz w:val="22"/>
                          <w:szCs w:val="22"/>
                          <w:lang w:eastAsia="lt-LT"/>
                        </w:rPr>
                        <w:t xml:space="preserve"> Europos Sąjungos išorės skrydžių </w:t>
                      </w:r>
                      <w:r>
                        <w:rPr>
                          <w:iCs/>
                          <w:sz w:val="22"/>
                          <w:szCs w:val="22"/>
                        </w:rPr>
                        <w:t>bilietų užsakymo ir išvykimo kontrolės, keleivių skrydžio</w:t>
                      </w:r>
                      <w:r>
                        <w:rPr>
                          <w:i/>
                          <w:iCs/>
                          <w:sz w:val="22"/>
                          <w:szCs w:val="22"/>
                        </w:rPr>
                        <w:t xml:space="preserve"> </w:t>
                      </w:r>
                      <w:r>
                        <w:rPr>
                          <w:sz w:val="22"/>
                          <w:szCs w:val="22"/>
                        </w:rPr>
                        <w:t>duomenys</w:t>
                      </w:r>
                      <w:r>
                        <w:rPr>
                          <w:sz w:val="22"/>
                          <w:szCs w:val="22"/>
                          <w:lang w:eastAsia="lt-LT"/>
                        </w:rPr>
                        <w:t xml:space="preserve">, </w:t>
                      </w:r>
                      <w:r>
                        <w:rPr>
                          <w:sz w:val="22"/>
                          <w:szCs w:val="22"/>
                        </w:rPr>
                        <w:t>įgalioto padalinio</w:t>
                      </w:r>
                      <w:r>
                        <w:rPr>
                          <w:sz w:val="22"/>
                          <w:szCs w:val="22"/>
                          <w:lang w:eastAsia="lt-LT"/>
                        </w:rPr>
                        <w:t xml:space="preserve"> </w:t>
                      </w:r>
                      <w:r>
                        <w:rPr>
                          <w:sz w:val="22"/>
                          <w:szCs w:val="22"/>
                        </w:rPr>
                        <w:t xml:space="preserve">Lietuvos policijos generalinio komisaro nustatyta tvarka atrinktų </w:t>
                      </w:r>
                      <w:r>
                        <w:rPr>
                          <w:sz w:val="22"/>
                          <w:szCs w:val="22"/>
                          <w:lang w:eastAsia="lt-LT"/>
                        </w:rPr>
                        <w:t xml:space="preserve">Europos Sąjungos vidaus skrydžių </w:t>
                      </w:r>
                      <w:r>
                        <w:rPr>
                          <w:iCs/>
                          <w:sz w:val="22"/>
                          <w:szCs w:val="22"/>
                        </w:rPr>
                        <w:t>bilietų užsakymo ir išvykimo kontrolės, keleivių skrydžio</w:t>
                      </w:r>
                      <w:r>
                        <w:rPr>
                          <w:i/>
                          <w:iCs/>
                          <w:sz w:val="22"/>
                          <w:szCs w:val="22"/>
                        </w:rPr>
                        <w:t xml:space="preserve"> </w:t>
                      </w:r>
                      <w:r>
                        <w:rPr>
                          <w:sz w:val="22"/>
                          <w:szCs w:val="22"/>
                        </w:rPr>
                        <w:t xml:space="preserve">duomenys, o </w:t>
                      </w:r>
                      <w:r>
                        <w:rPr>
                          <w:bCs/>
                          <w:sz w:val="22"/>
                          <w:szCs w:val="22"/>
                        </w:rPr>
                        <w:t xml:space="preserve">kai vadovaujantis Vyriausybės nustatyta tvarka  nustatomas aukštesnis negu žemas teroro akto grėsmės lygis, ir visų Europos Sąjungos vidaus skrydžių </w:t>
                      </w:r>
                      <w:r>
                        <w:rPr>
                          <w:bCs/>
                          <w:iCs/>
                          <w:sz w:val="22"/>
                          <w:szCs w:val="22"/>
                          <w:lang w:eastAsia="lt-LT"/>
                        </w:rPr>
                        <w:t>bilietų užsakymo ir išvykimo kontrolės, keleivių skrydžio</w:t>
                      </w:r>
                      <w:r>
                        <w:rPr>
                          <w:bCs/>
                          <w:sz w:val="22"/>
                          <w:szCs w:val="22"/>
                        </w:rPr>
                        <w:t xml:space="preserve"> duomenys </w:t>
                      </w:r>
                      <w:r>
                        <w:rPr>
                          <w:sz w:val="22"/>
                          <w:szCs w:val="22"/>
                        </w:rPr>
                        <w:t>tvarkomi Lietuvos Respublikos valstybės ir tarnybos paslapčių įstatymo nustatyta tvarka įteisintoje į</w:t>
                      </w:r>
                      <w:r>
                        <w:rPr>
                          <w:bCs/>
                          <w:sz w:val="22"/>
                          <w:szCs w:val="22"/>
                        </w:rPr>
                        <w:t xml:space="preserve">slaptintos informacijos ryšių ir informacinėje sistemoje (toliau – informacinė sistema). Šie duomenys </w:t>
                      </w:r>
                      <w:r>
                        <w:rPr>
                          <w:sz w:val="22"/>
                          <w:szCs w:val="22"/>
                        </w:rPr>
                        <w:t xml:space="preserve">saugomi 3 metus nuo jų įrašymo į informacinę sistemą dienos, </w:t>
                      </w:r>
                      <w:r>
                        <w:rPr>
                          <w:bCs/>
                          <w:sz w:val="22"/>
                          <w:szCs w:val="22"/>
                        </w:rPr>
                        <w:t xml:space="preserve">o įgaliotam padaliniui Lietuvos policijos generalinio komisaro nustatyta tvarka atlikus papildomą įvertinimą ir nustačius, kad šie duomenys yra didelės nusikalstamumo rizikos </w:t>
                      </w:r>
                      <w:r>
                        <w:rPr>
                          <w:bCs/>
                          <w:sz w:val="22"/>
                          <w:szCs w:val="22"/>
                          <w:lang w:eastAsia="lt-LT"/>
                        </w:rPr>
                        <w:t xml:space="preserve">Europos Sąjungos išorės ir (ar) Europos Sąjungos vidaus </w:t>
                      </w:r>
                      <w:r>
                        <w:rPr>
                          <w:bCs/>
                          <w:sz w:val="22"/>
                          <w:szCs w:val="22"/>
                        </w:rPr>
                        <w:t xml:space="preserve">skrydžių </w:t>
                      </w:r>
                      <w:r>
                        <w:rPr>
                          <w:iCs/>
                          <w:sz w:val="22"/>
                          <w:szCs w:val="22"/>
                        </w:rPr>
                        <w:t>bilietų užsakymo ir išvykimo kontrolės, keleivių skrydžio</w:t>
                      </w:r>
                      <w:r>
                        <w:rPr>
                          <w:bCs/>
                          <w:sz w:val="22"/>
                          <w:szCs w:val="22"/>
                        </w:rPr>
                        <w:t xml:space="preserve"> duomenys arba Vyriausybės nustatyta tvarka nustačius aukštesnį negu žemas teroro akto grėsmės lygį, ir visų Europos Sąjungos vidaus skrydžių </w:t>
                      </w:r>
                      <w:r>
                        <w:rPr>
                          <w:bCs/>
                          <w:iCs/>
                          <w:sz w:val="22"/>
                          <w:szCs w:val="22"/>
                          <w:lang w:eastAsia="lt-LT"/>
                        </w:rPr>
                        <w:t>bilietų užsakymo ir išvykimo kontrolės, keleivių skrydžio</w:t>
                      </w:r>
                      <w:r>
                        <w:rPr>
                          <w:bCs/>
                          <w:sz w:val="22"/>
                          <w:szCs w:val="22"/>
                        </w:rPr>
                        <w:t xml:space="preserve"> duomenys, – </w:t>
                      </w:r>
                      <w:r>
                        <w:rPr>
                          <w:sz w:val="22"/>
                          <w:szCs w:val="22"/>
                        </w:rPr>
                        <w:t>5 metus nuo šių duomenų įrašymo į informacinę sistemą dienos.</w:t>
                      </w:r>
                      <w:r>
                        <w:rPr>
                          <w:bCs/>
                          <w:sz w:val="22"/>
                          <w:szCs w:val="22"/>
                        </w:rPr>
                        <w:t xml:space="preserve"> </w:t>
                      </w:r>
                      <w:r>
                        <w:rPr>
                          <w:sz w:val="22"/>
                          <w:szCs w:val="22"/>
                        </w:rPr>
                        <w:t xml:space="preserve">Šio Įstatymo 1 priedo 1.2, 1.4, 1.5 papunkčiuose ir 3 punkte nurodyti duomenys po 6 mėnesių nuo jų įrašymo į informacinę sistemą dienos yra nuasmeninami ir užmaskuojami, išskyrus atvejus, kai šie duomenys yra naudojami konkrečiais teroristinių nusikaltimų ir su teroristine veikla susijusių nusikaltimų, taip pat labai sunkių ir sunkių nusikaltimų prevencijos, nustatymo, tyrimo ar patraukimo baudžiamojon atsakomybėn tikslais. Vežėjo, kuris verčiasi keleivių vežimu oro keliais, pateikti šio Įstatymo 1 priede nenumatyti asmens duomenys informacinėje sistemoje nedelsiant ištrinami. Įgalioto padalinio </w:t>
                      </w:r>
                      <w:r>
                        <w:rPr>
                          <w:bCs/>
                          <w:sz w:val="22"/>
                          <w:szCs w:val="22"/>
                        </w:rPr>
                        <w:t xml:space="preserve">Lietuvos policijos generalinio komisaro nustatyta tvarka neatrinkti </w:t>
                      </w:r>
                      <w:r>
                        <w:rPr>
                          <w:bCs/>
                          <w:sz w:val="22"/>
                          <w:szCs w:val="22"/>
                          <w:lang w:eastAsia="lt-LT"/>
                        </w:rPr>
                        <w:t xml:space="preserve">Europos Sąjungos vidaus skrydžių </w:t>
                      </w:r>
                      <w:r>
                        <w:rPr>
                          <w:bCs/>
                          <w:iCs/>
                          <w:sz w:val="22"/>
                          <w:szCs w:val="22"/>
                          <w:lang w:eastAsia="lt-LT"/>
                        </w:rPr>
                        <w:t>bilietų užsakymo ir išvykimo kontrolės, keleivių skrydžio</w:t>
                      </w:r>
                      <w:r>
                        <w:rPr>
                          <w:bCs/>
                          <w:i/>
                          <w:iCs/>
                          <w:sz w:val="22"/>
                          <w:szCs w:val="22"/>
                          <w:lang w:eastAsia="lt-LT"/>
                        </w:rPr>
                        <w:t xml:space="preserve"> </w:t>
                      </w:r>
                      <w:r>
                        <w:rPr>
                          <w:bCs/>
                          <w:sz w:val="22"/>
                          <w:szCs w:val="22"/>
                        </w:rPr>
                        <w:t>duomenys, nurodyti šio Įstatymo 1 priede,</w:t>
                      </w:r>
                      <w:r>
                        <w:rPr>
                          <w:b/>
                          <w:bCs/>
                          <w:sz w:val="22"/>
                          <w:szCs w:val="22"/>
                        </w:rPr>
                        <w:t xml:space="preserve"> </w:t>
                      </w:r>
                      <w:r>
                        <w:rPr>
                          <w:sz w:val="22"/>
                          <w:szCs w:val="22"/>
                        </w:rPr>
                        <w:t>taip pat duomenys, kurių saugojimo terminas pasibaigia, nedelsiant ištrinami.</w:t>
                      </w:r>
                    </w:p>
                  </w:sdtContent>
                </w:sdt>
                <w:sdt>
                  <w:sdtPr>
                    <w:alias w:val="19-1 str. 7 d."/>
                    <w:tag w:val="part_7fe7baa817a849abae1e18aa4a3d2b22"/>
                    <w:lock w:val="sdtLocked"/>
                    <w:richText/>
                  </w:sdtPr>
                  <w:sdtContent>
                    <w:p>
                      <w:pPr>
                        <w:widowControl w:val="0"/>
                        <w:ind w:firstLine="720"/>
                        <w:jc w:val="both"/>
                        <w:rPr>
                          <w:sz w:val="22"/>
                          <w:szCs w:val="22"/>
                        </w:rPr>
                      </w:pPr>
                      <w:sdt>
                        <w:sdtPr>
                          <w:alias w:val="Numeris"/>
                          <w:tag w:val="nr_7fe7baa817a849abae1e18aa4a3d2b22"/>
                          <w:lock w:val="sdtLocked"/>
                          <w:richText/>
                        </w:sdtPr>
                        <w:sdtContent>
                          <w:r>
                            <w:rPr>
                              <w:sz w:val="22"/>
                              <w:szCs w:val="22"/>
                            </w:rPr>
                            <w:t>7</w:t>
                          </w:r>
                        </w:sdtContent>
                      </w:sdt>
                      <w:r>
                        <w:rPr>
                          <w:sz w:val="22"/>
                          <w:szCs w:val="22"/>
                        </w:rPr>
                        <w:t>. Įgaliotas padalinys šio Įstatymo 1 priede nurodytus duomenis ar tų duomenų tvarkymo rezultatus šio Įstatymo 2 priede nurodytoms kompetentingoms institucijoms ar kitų Europos Sąjungos valstybių narių įgaliotiems padaliniams ar Europos policijos biurui (Europolui) teikia pagrįsto prašymo pagrindu tik konkrečiais teroristinių nusikaltimų ir su teroristine veikla susijusių nusikaltimų, taip pat labai sunkių ir sunkių nusikaltimų prevencijos, nustatymo, tyrimo ar patraukimo už juos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nusikalstamų veikų prevencijos, tyrimo, atskleidimo ar baudžiamojo persekiojimo už jas, bausmių vykdymo arba nacionalinio saugumo ar gynybos tikslais, teisinės apsaugos įstatyme nustatytų sąlygų. Šio Įstatymo 1 priede nurodytų duomenų teikimo kompetentingoms institucijoms, kitų Europos Sąjungos valstybių narių įgaliotiems padaliniams, Europos policijos biurui (Europolui), trečiosioms šalims ir šių duomenų naudojimo sąlygas, būdus ir tvarką nustato Vyriausybė.</w:t>
                      </w:r>
                    </w:p>
                  </w:sdtContent>
                </w:sdt>
                <w:sdt>
                  <w:sdtPr>
                    <w:alias w:val="19-1 str. 8 d."/>
                    <w:tag w:val="part_f7a7b99959424ca9a60a7bee2c564b31"/>
                    <w:lock w:val="sdtLocked"/>
                    <w:richText/>
                  </w:sdtPr>
                  <w:sdtContent>
                    <w:p>
                      <w:pPr>
                        <w:widowControl w:val="0"/>
                        <w:ind w:firstLine="720"/>
                        <w:jc w:val="both"/>
                        <w:rPr>
                          <w:sz w:val="22"/>
                          <w:szCs w:val="22"/>
                        </w:rPr>
                      </w:pPr>
                      <w:sdt>
                        <w:sdtPr>
                          <w:alias w:val="Numeris"/>
                          <w:tag w:val="nr_f7a7b99959424ca9a60a7bee2c564b31"/>
                          <w:lock w:val="sdtLocked"/>
                          <w:richText/>
                        </w:sdtPr>
                        <w:sdtContent>
                          <w:r>
                            <w:rPr>
                              <w:sz w:val="22"/>
                              <w:szCs w:val="22"/>
                            </w:rPr>
                            <w:t>8</w:t>
                          </w:r>
                        </w:sdtContent>
                      </w:sdt>
                      <w:r>
                        <w:rPr>
                          <w:sz w:val="22"/>
                          <w:szCs w:val="22"/>
                        </w:rPr>
                        <w:t>. Šio Įstatymo 1 priede nurodyti duomenys įgaliotam padaliniui teikiami ir tvarkomi Lietuvos policijos generalinio komisaro nustatyta tvarka.</w:t>
                      </w:r>
                    </w:p>
                  </w:sdtContent>
                </w:sdt>
                <w:sdt>
                  <w:sdtPr>
                    <w:alias w:val="19-1 str. 9 d."/>
                    <w:tag w:val="part_e8b2edcdaaf949cbb88c529fac30dc1e"/>
                    <w:lock w:val="sdtLocked"/>
                    <w:richText/>
                  </w:sdtPr>
                  <w:sdtContent>
                    <w:p>
                      <w:pPr>
                        <w:widowControl w:val="0"/>
                        <w:ind w:firstLine="720"/>
                        <w:jc w:val="both"/>
                        <w:rPr>
                          <w:sz w:val="22"/>
                          <w:szCs w:val="22"/>
                        </w:rPr>
                      </w:pPr>
                      <w:sdt>
                        <w:sdtPr>
                          <w:alias w:val="Numeris"/>
                          <w:tag w:val="nr_e8b2edcdaaf949cbb88c529fac30dc1e"/>
                          <w:lock w:val="sdtLocked"/>
                          <w:richText/>
                        </w:sdtPr>
                        <w:sdtContent>
                          <w:r>
                            <w:rPr>
                              <w:sz w:val="22"/>
                              <w:szCs w:val="22"/>
                            </w:rPr>
                            <w:t>9</w:t>
                          </w:r>
                        </w:sdtContent>
                      </w:sdt>
                      <w:r>
                        <w:rPr>
                          <w:sz w:val="22"/>
                          <w:szCs w:val="22"/>
                        </w:rPr>
                        <w:t xml:space="preserve">. Vežėjas, kuris verčiasi keleivių vežimu oro keliais, Reglamento </w:t>
                      </w:r>
                      <w:hyperlink r:id="rId48" w:tgtFrame="_blank" w:history="1">
                        <w:r>
                          <w:rPr>
                            <w:color w:val="0000FF" w:themeColor="hyperlink"/>
                            <w:sz w:val="22"/>
                            <w:szCs w:val="22"/>
                            <w:u w:val="single"/>
                          </w:rPr>
                          <w:t>(ES) 2016/679</w:t>
                        </w:r>
                      </w:hyperlink>
                      <w:r>
                        <w:rPr>
                          <w:sz w:val="22"/>
                          <w:szCs w:val="22"/>
                        </w:rPr>
                        <w:t xml:space="preserve"> nustatyta tvarka privalo informuoti keleivius apie numatomą jų asmens duomenų, nurodytų šio straipsnio 1 dalyje, tvarkymą.</w:t>
                      </w:r>
                    </w:p>
                  </w:sdtContent>
                </w:sdt>
                <w:sdt>
                  <w:sdtPr>
                    <w:alias w:val="19-1 str. 10 d."/>
                    <w:tag w:val="part_2e3b27fffe5b465f8f609fddf614c146"/>
                    <w:lock w:val="sdtLocked"/>
                    <w:richText/>
                  </w:sdtPr>
                  <w:sdtContent>
                    <w:p>
                      <w:pPr>
                        <w:widowControl w:val="0"/>
                        <w:ind w:firstLine="720"/>
                        <w:jc w:val="both"/>
                        <w:rPr>
                          <w:bCs/>
                          <w:sz w:val="22"/>
                        </w:rPr>
                      </w:pPr>
                      <w:sdt>
                        <w:sdtPr>
                          <w:alias w:val="Numeris"/>
                          <w:tag w:val="nr_2e3b27fffe5b465f8f609fddf614c146"/>
                          <w:lock w:val="sdtLocked"/>
                          <w:richText/>
                        </w:sdtPr>
                        <w:sdtContent>
                          <w:r>
                            <w:rPr>
                              <w:sz w:val="22"/>
                              <w:szCs w:val="22"/>
                            </w:rPr>
                            <w:t>10</w:t>
                          </w:r>
                        </w:sdtContent>
                      </w:sdt>
                      <w:r>
                        <w:rPr>
                          <w:sz w:val="22"/>
                          <w:szCs w:val="22"/>
                        </w:rPr>
                        <w:t xml:space="preserve">. Savo teises dėl asmens duomenų tvarkymo keleivis įgyvendina vadovaudamasis duomenų valdytojų, į kuriuos kreipiamasi dėl duomenų subjekto teisių įgyvendinimo, nustatyta tvarka, Reglamentu </w:t>
                      </w:r>
                      <w:hyperlink r:id="rId49" w:tgtFrame="_blank" w:history="1">
                        <w:r>
                          <w:rPr>
                            <w:color w:val="0000FF" w:themeColor="hyperlink"/>
                            <w:sz w:val="22"/>
                            <w:szCs w:val="22"/>
                            <w:u w:val="single"/>
                          </w:rPr>
                          <w:t>(ES) 2016/679</w:t>
                        </w:r>
                      </w:hyperlink>
                      <w:r>
                        <w:rPr>
                          <w:sz w:val="22"/>
                          <w:szCs w:val="22"/>
                        </w:rPr>
                        <w:t xml:space="preserve"> arba Asmens duomenų, tvarkomų nusikalstamų veikų prevencijos, tyrimo, atskleidimo ar baudžiamojo persekiojimo už jas, bausmių vykdymo arba nacionalinio saugumo ar gynybos tikslais, teisinės apsaugos įstatymu.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e43c78642c864da3abfe7bb61bef65b7"/>
                    <w:lock w:val="sdtLocked"/>
                    <w:richText/>
                  </w:sdtPr>
                  <w:sdtContent>
                    <w:p>
                      <w:pPr>
                        <w:widowControl w:val="0"/>
                        <w:ind w:firstLine="720"/>
                        <w:jc w:val="both"/>
                      </w:pPr>
                      <w:sdt>
                        <w:sdtPr>
                          <w:alias w:val="Numeris"/>
                          <w:tag w:val="nr_e43c78642c864da3abfe7bb61bef65b7"/>
                          <w:lock w:val="sdtLocked"/>
                          <w:richText/>
                        </w:sdtPr>
                        <w:sdtContent>
                          <w:r>
                            <w:rPr>
                              <w:sz w:val="22"/>
                              <w:szCs w:val="22"/>
                            </w:rPr>
                            <w:t>4</w:t>
                          </w:r>
                        </w:sdtContent>
                      </w:sdt>
                      <w:r>
                        <w:rPr>
                          <w:sz w:val="22"/>
                          <w:szCs w:val="22"/>
                        </w:rPr>
                        <w:t>. Jeigu Lietuvos policijos generalinio komisaro įgaliota policijos įstaiga (toliau – policijos įstaiga) 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2"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b5806ce929f64d77855bbbdd7ea4106b"/>
        <w:lock w:val="sdtLocked"/>
        <w:richText/>
      </w:sdtPr>
      <w:sdtContent>
        <w:p>
          <w:pPr>
            <w:ind w:firstLine="5760"/>
            <w:jc w:val="both"/>
            <w:sectPr>
              <w:headerReference w:type="default" r:id="rId47"/>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5806ce929f64d77855bbbdd7ea4106b"/>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b5806ce929f64d77855bbbdd7ea4106b"/>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d925a82e9f7143829a54760dd630ce1a"/>
                <w:lock w:val="sdtLocked"/>
                <w:richText/>
              </w:sdtPr>
              <w:sdtContent>
                <w:p>
                  <w:pPr>
                    <w:widowControl w:val="0"/>
                    <w:ind w:firstLine="720"/>
                    <w:jc w:val="both"/>
                    <w:rPr>
                      <w:sz w:val="22"/>
                      <w:szCs w:val="22"/>
                    </w:rPr>
                  </w:pPr>
                  <w:sdt>
                    <w:sdtPr>
                      <w:alias w:val="Numeris"/>
                      <w:tag w:val="nr_d925a82e9f7143829a54760dd630ce1a"/>
                      <w:lock w:val="sdtLocked"/>
                      <w:richText/>
                    </w:sdtPr>
                    <w:sdtContent>
                      <w:r>
                        <w:rPr>
                          <w:sz w:val="22"/>
                          <w:szCs w:val="22"/>
                        </w:rPr>
                        <w:t>2.3</w:t>
                      </w:r>
                    </w:sdtContent>
                  </w:sdt>
                  <w:r>
                    <w:rPr>
                      <w:sz w:val="22"/>
                      <w:szCs w:val="22"/>
                    </w:rPr>
                    <w:t>. skrydį vykdantis faktinis vežėjas, kuris verčiasi keleivių vežimu oro keliais, (pavadinimas, kodas);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796677edb5934aa9b1b5a35bfa949c6d"/>
        <w:lock w:val="sdtLocked"/>
        <w:richText/>
      </w:sdtPr>
      <w:sdtContent>
        <w:p>
          <w:pPr>
            <w:widowControl w:val="0"/>
            <w:ind w:firstLine="5670"/>
            <w:rPr>
              <w:sz w:val="22"/>
              <w:szCs w:val="22"/>
            </w:rPr>
          </w:pPr>
          <w:r>
            <w:rPr>
              <w:sz w:val="22"/>
              <w:szCs w:val="22"/>
            </w:rPr>
            <w:t>Lietuvos Respublikos</w:t>
          </w:r>
        </w:p>
        <w:p>
          <w:pPr>
            <w:widowControl w:val="0"/>
            <w:ind w:firstLine="5670"/>
            <w:rPr>
              <w:sz w:val="22"/>
              <w:szCs w:val="22"/>
            </w:rPr>
          </w:pPr>
          <w:r>
            <w:rPr>
              <w:sz w:val="22"/>
              <w:szCs w:val="22"/>
            </w:rPr>
            <w:t>transporto veiklos pagrindų įstatymo</w:t>
          </w:r>
        </w:p>
        <w:p>
          <w:pPr>
            <w:widowControl w:val="0"/>
            <w:ind w:firstLine="5670"/>
            <w:rPr>
              <w:sz w:val="22"/>
              <w:szCs w:val="22"/>
            </w:rPr>
          </w:pPr>
          <w:sdt>
            <w:sdtPr>
              <w:alias w:val="Numeris"/>
              <w:tag w:val="nr_796677edb5934aa9b1b5a35bfa949c6d"/>
              <w:lock w:val="sdtLocked"/>
              <w:richText/>
            </w:sdtPr>
            <w:sdtContent>
              <w:r>
                <w:rPr>
                  <w:sz w:val="22"/>
                  <w:szCs w:val="22"/>
                </w:rPr>
                <w:t>3</w:t>
              </w:r>
            </w:sdtContent>
          </w:sdt>
          <w:r>
            <w:rPr>
              <w:sz w:val="22"/>
              <w:szCs w:val="22"/>
            </w:rPr>
            <w:t xml:space="preserve"> priedas</w:t>
          </w:r>
        </w:p>
        <w:p>
          <w:pPr>
            <w:widowControl w:val="0"/>
            <w:ind w:firstLine="720"/>
            <w:jc w:val="center"/>
            <w:rPr>
              <w:b/>
              <w:bCs/>
              <w:sz w:val="22"/>
              <w:szCs w:val="22"/>
            </w:rPr>
          </w:pPr>
        </w:p>
        <w:p>
          <w:pPr>
            <w:widowControl w:val="0"/>
            <w:ind w:firstLine="720"/>
            <w:jc w:val="center"/>
            <w:rPr>
              <w:b/>
              <w:sz w:val="22"/>
              <w:szCs w:val="22"/>
            </w:rPr>
          </w:pPr>
          <w:sdt>
            <w:sdtPr>
              <w:alias w:val="Pavadinimas"/>
              <w:tag w:val="title_796677edb5934aa9b1b5a35bfa949c6d"/>
              <w:lock w:val="sdtLocked"/>
              <w:richText/>
            </w:sdtPr>
            <w:sdtContent>
              <w:r>
                <w:rPr>
                  <w:b/>
                  <w:bCs/>
                  <w:sz w:val="22"/>
                  <w:szCs w:val="22"/>
                </w:rPr>
                <w:t>ĮGYVENDINAMI EUROPOS SĄJUNGOS TEISĖS AKTAI</w:t>
              </w:r>
            </w:sdtContent>
          </w:sdt>
        </w:p>
        <w:p>
          <w:pPr>
            <w:widowControl w:val="0"/>
            <w:ind w:firstLine="720"/>
            <w:jc w:val="both"/>
            <w:rPr>
              <w:sz w:val="22"/>
              <w:szCs w:val="22"/>
            </w:rPr>
          </w:pPr>
        </w:p>
        <w:sdt>
          <w:sdtPr>
            <w:alias w:val="3 pr. 1 p."/>
            <w:tag w:val="part_036c0dd8b4c0444ca542cee20393c99f"/>
            <w:lock w:val="sdtLocked"/>
            <w:richText/>
          </w:sdtPr>
          <w:sdtContent>
            <w:p>
              <w:pPr>
                <w:widowControl w:val="0"/>
                <w:ind w:firstLine="720"/>
                <w:jc w:val="both"/>
                <w:rPr>
                  <w:sz w:val="22"/>
                  <w:szCs w:val="22"/>
                </w:rPr>
              </w:pPr>
              <w:sdt>
                <w:sdtPr>
                  <w:alias w:val="Numeris"/>
                  <w:tag w:val="nr_036c0dd8b4c0444ca542cee20393c99f"/>
                  <w:lock w:val="sdtLocked"/>
                  <w:richText/>
                </w:sdtPr>
                <w:sdtContent>
                  <w:r>
                    <w:rPr>
                      <w:sz w:val="22"/>
                      <w:szCs w:val="22"/>
                    </w:rPr>
                    <w:t>1</w:t>
                  </w:r>
                </w:sdtContent>
              </w:sdt>
              <w:r>
                <w:rPr>
                  <w:sz w:val="22"/>
                  <w:szCs w:val="22"/>
                </w:rPr>
                <w:t xml:space="preserve">. 2001 m. birželio 28 d. Tarybos direktyva </w:t>
              </w:r>
              <w:hyperlink r:id="rId50" w:tgtFrame="_blank" w:history="1">
                <w:r>
                  <w:rPr>
                    <w:color w:val="0000FF" w:themeColor="hyperlink"/>
                    <w:sz w:val="22"/>
                    <w:szCs w:val="22"/>
                    <w:u w:val="single"/>
                  </w:rPr>
                  <w:t>2001/51/EB</w:t>
                </w:r>
              </w:hyperlink>
              <w:r>
                <w:rPr>
                  <w:sz w:val="22"/>
                  <w:szCs w:val="22"/>
                </w:rPr>
                <w:t>, papildanti Konvencijos dėl 1985 m. birželio 14 d. Šengeno susitarimo įgyvendinimo 26 straipsnio nuostatas.</w:t>
              </w:r>
            </w:p>
          </w:sdtContent>
        </w:sdt>
        <w:sdt>
          <w:sdtPr>
            <w:alias w:val="3 pr. 2 p."/>
            <w:tag w:val="part_2c16241c48604ea98ae5bc1e6cc6c256"/>
            <w:lock w:val="sdtLocked"/>
            <w:richText/>
          </w:sdtPr>
          <w:sdtContent>
            <w:p>
              <w:pPr>
                <w:widowControl w:val="0"/>
                <w:ind w:firstLine="720"/>
                <w:jc w:val="both"/>
                <w:rPr>
                  <w:sz w:val="22"/>
                  <w:szCs w:val="22"/>
                </w:rPr>
              </w:pPr>
              <w:sdt>
                <w:sdtPr>
                  <w:alias w:val="Numeris"/>
                  <w:tag w:val="nr_2c16241c48604ea98ae5bc1e6cc6c256"/>
                  <w:lock w:val="sdtLocked"/>
                  <w:richText/>
                </w:sdtPr>
                <w:sdtContent>
                  <w:r>
                    <w:rPr>
                      <w:sz w:val="22"/>
                      <w:szCs w:val="22"/>
                    </w:rPr>
                    <w:t>2</w:t>
                  </w:r>
                </w:sdtContent>
              </w:sdt>
              <w:r>
                <w:rPr>
                  <w:sz w:val="22"/>
                  <w:szCs w:val="22"/>
                </w:rPr>
                <w:t xml:space="preserve">. 2004 m. balandžio 29 d. Tarybos direktyva </w:t>
              </w:r>
              <w:hyperlink r:id="rId51" w:tgtFrame="_blank" w:history="1">
                <w:r>
                  <w:rPr>
                    <w:color w:val="0000FF" w:themeColor="hyperlink"/>
                    <w:sz w:val="22"/>
                    <w:szCs w:val="22"/>
                    <w:u w:val="single"/>
                  </w:rPr>
                  <w:t>2004/82/EB</w:t>
                </w:r>
              </w:hyperlink>
              <w:r>
                <w:rPr>
                  <w:sz w:val="22"/>
                  <w:szCs w:val="22"/>
                </w:rPr>
                <w:t xml:space="preserve"> dėl vežėjų įpareigojimo perduoti keleivių duomenis.</w:t>
              </w:r>
            </w:p>
          </w:sdtContent>
        </w:sdt>
        <w:sdt>
          <w:sdtPr>
            <w:alias w:val="3 pr. 3 p."/>
            <w:tag w:val="part_22a65cdbbacc4415aa086b925e89cf10"/>
            <w:lock w:val="sdtLocked"/>
            <w:richText/>
          </w:sdtPr>
          <w:sdtContent>
            <w:p>
              <w:pPr>
                <w:widowControl w:val="0"/>
                <w:ind w:firstLine="720"/>
                <w:jc w:val="both"/>
                <w:rPr>
                  <w:sz w:val="22"/>
                  <w:szCs w:val="22"/>
                </w:rPr>
              </w:pPr>
              <w:sdt>
                <w:sdtPr>
                  <w:alias w:val="Numeris"/>
                  <w:tag w:val="nr_22a65cdbbacc4415aa086b925e89cf10"/>
                  <w:lock w:val="sdtLocked"/>
                  <w:richText/>
                </w:sdtPr>
                <w:sdtContent>
                  <w:r>
                    <w:rPr>
                      <w:sz w:val="22"/>
                      <w:szCs w:val="22"/>
                    </w:rPr>
                    <w:t>3</w:t>
                  </w:r>
                </w:sdtContent>
              </w:sdt>
              <w:r>
                <w:rPr>
                  <w:sz w:val="22"/>
                  <w:szCs w:val="22"/>
                </w:rPr>
                <w:t xml:space="preserve">. 2010 m. liepos 7 d. Europos Parlamento ir Tarybos direktyva </w:t>
              </w:r>
              <w:hyperlink r:id="rId52" w:tgtFrame="_blank" w:history="1">
                <w:r>
                  <w:rPr>
                    <w:color w:val="0000FF" w:themeColor="hyperlink"/>
                    <w:sz w:val="22"/>
                    <w:szCs w:val="22"/>
                    <w:u w:val="single"/>
                  </w:rPr>
                  <w:t>2010/40/ES</w:t>
                </w:r>
              </w:hyperlink>
              <w:r>
                <w:rPr>
                  <w:sz w:val="22"/>
                  <w:szCs w:val="22"/>
                </w:rPr>
                <w:t xml:space="preserve"> dėl kelių transporto ir jo sąsajų su kitų rūšių transportu srities intelektinių transporto sistemų diegimo sistemos.</w:t>
              </w:r>
            </w:p>
          </w:sdtContent>
        </w:sdt>
        <w:sdt>
          <w:sdtPr>
            <w:alias w:val="3 pr. 4 p."/>
            <w:tag w:val="part_a8a2a6889b494a49a5588ebad401928d"/>
            <w:lock w:val="sdtLocked"/>
            <w:richText/>
          </w:sdtPr>
          <w:sdtContent>
            <w:p>
              <w:pPr>
                <w:widowControl w:val="0"/>
                <w:ind w:firstLine="720"/>
                <w:jc w:val="both"/>
                <w:rPr>
                  <w:sz w:val="22"/>
                  <w:szCs w:val="22"/>
                </w:rPr>
              </w:pPr>
              <w:sdt>
                <w:sdtPr>
                  <w:alias w:val="Numeris"/>
                  <w:tag w:val="nr_a8a2a6889b494a49a5588ebad401928d"/>
                  <w:lock w:val="sdtLocked"/>
                  <w:richText/>
                </w:sdtPr>
                <w:sdtContent>
                  <w:r>
                    <w:rPr>
                      <w:sz w:val="22"/>
                      <w:szCs w:val="22"/>
                    </w:rPr>
                    <w:t>4</w:t>
                  </w:r>
                </w:sdtContent>
              </w:sdt>
              <w:r>
                <w:rPr>
                  <w:sz w:val="22"/>
                  <w:szCs w:val="22"/>
                </w:rPr>
                <w:t xml:space="preserve">. 2016 m. balandžio 27 d. Europos Parlamento ir Tarybos direktyva </w:t>
              </w:r>
              <w:hyperlink r:id="rId53" w:tgtFrame="_blank" w:history="1">
                <w:r>
                  <w:rPr>
                    <w:color w:val="0000FF" w:themeColor="hyperlink"/>
                    <w:sz w:val="22"/>
                    <w:szCs w:val="22"/>
                    <w:u w:val="single"/>
                  </w:rPr>
                  <w:t>2016/681</w:t>
                </w:r>
              </w:hyperlink>
              <w:r>
                <w:rPr>
                  <w:sz w:val="22"/>
                  <w:szCs w:val="22"/>
                </w:rPr>
                <w:t xml:space="preserve"> dėl keleivio duomenų įrašo (PNR) duomenų naudojimo teroristinių nusikaltimų ir sunkių nusikaltimų prevencijos, nustatymo, tyrimo ir patraukimo už juos baudžiamojon atsakomybėn tikslais.</w:t>
              </w:r>
            </w:p>
          </w:sdtContent>
        </w:sdt>
        <w:sdt>
          <w:sdtPr>
            <w:alias w:val="5 d."/>
            <w:tag w:val="part_7f0a1c0d5acf46d8b0c9e971f7811a03"/>
            <w:lock w:val="sdtLocked"/>
            <w:richText/>
          </w:sdtPr>
          <w:sdtContent>
            <w:p>
              <w:pPr>
                <w:ind w:firstLine="720"/>
                <w:jc w:val="both"/>
                <w:rPr>
                  <w:sz w:val="22"/>
                  <w:szCs w:val="22"/>
                </w:rPr>
              </w:pPr>
              <w:sdt>
                <w:sdtPr>
                  <w:alias w:val="Numeris"/>
                  <w:tag w:val="nr_7f0a1c0d5acf46d8b0c9e971f7811a03"/>
                  <w:lock w:val="sdtLocked"/>
                  <w:richText/>
                </w:sdtPr>
                <w:sdtContent>
                  <w:r>
                    <w:rPr>
                      <w:bCs/>
                      <w:sz w:val="22"/>
                      <w:szCs w:val="22"/>
                    </w:rPr>
                    <w:t>5</w:t>
                  </w:r>
                </w:sdtContent>
              </w:sdt>
              <w:r>
                <w:rPr>
                  <w:bCs/>
                  <w:sz w:val="22"/>
                  <w:szCs w:val="22"/>
                </w:rPr>
                <w:t xml:space="preserve">. 1992 m. gruodžio 7 d. Tarybos direktyva </w:t>
              </w:r>
              <w:hyperlink r:id="rId54" w:tgtFrame="_blank" w:history="1">
                <w:r>
                  <w:rPr>
                    <w:bCs/>
                    <w:color w:val="0000FF" w:themeColor="hyperlink"/>
                    <w:sz w:val="22"/>
                    <w:szCs w:val="22"/>
                    <w:u w:val="single"/>
                  </w:rPr>
                  <w:t>92/106/EEB</w:t>
                </w:r>
              </w:hyperlink>
              <w:r>
                <w:rPr>
                  <w:bCs/>
                  <w:sz w:val="22"/>
                  <w:szCs w:val="22"/>
                </w:rPr>
                <w:t xml:space="preserve"> dėl tam tikrų kombinuoto krovinių vežimo tarp valstybių narių tipų bendrųjų taisyklių nustatymo su paskutiniais pakeitimais, padarytais 2013 m. gegužės 13 d. Tarybos direktyva </w:t>
              </w:r>
              <w:hyperlink r:id="rId55" w:tgtFrame="_blank" w:history="1">
                <w:r>
                  <w:rPr>
                    <w:bCs/>
                    <w:color w:val="0000FF" w:themeColor="hyperlink"/>
                    <w:sz w:val="22"/>
                    <w:szCs w:val="22"/>
                    <w:u w:val="single"/>
                  </w:rPr>
                  <w:t>2013/22/ES</w:t>
                </w:r>
              </w:hyperlink>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pabaiga"/>
            <w:tag w:val="part_9bca0544d98f4367a5d4aa658099fc81"/>
            <w:lock w:val="sdtLocked"/>
            <w:richText/>
          </w:sdtPr>
          <w:sdtContent>
            <w:p>
              <w:pPr>
                <w:widowControl w:val="0"/>
                <w:jc w:val="center"/>
                <w:rPr>
                  <w:sz w:val="22"/>
                  <w:szCs w:val="22"/>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36"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37"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39"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0"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1"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2"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3"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45aa90f6bc11ec8fa7d02a65c371ad">
            <w:r w:rsidRPr="00532B9F">
              <w:rPr>
                <w:rFonts w:ascii="Times New Roman" w:eastAsia="MS Mincho" w:hAnsi="Times New Roman"/>
                <w:sz w:val="20"/>
                <w:iCs/>
                <w:color w:val="0000FF" w:themeColor="hyperlink"/>
                <w:u w:val="single"/>
              </w:rPr>
              <w:t>XIV-1141</w:t>
            </w:r>
          </w:fldSimple>
          <w:r>
            <w:rPr>
              <w:rFonts w:ascii="Times New Roman" w:eastAsia="MS Mincho" w:hAnsi="Times New Roman"/>
              <w:sz w:val="20"/>
              <w:iCs/>
            </w:rPr>
            <w:t>,
2022-06-21,
paskelbta TAR 2022-06-28, i. k. 2022-13853                </w:t>
          </w:r>
        </w:p>
        <w:p>
          <w:pPr>
            <w:jc w:val="both"/>
            <w:rPr>
              <w:rFonts w:ascii="Times New Roman" w:hAnsi="Times New Roman"/>
            </w:rPr>
          </w:pPr>
          <w:r>
            <w:rPr>
              <w:rFonts w:ascii="Times New Roman" w:hAnsi="Times New Roman"/>
              <w:sz w:val="20"/>
            </w:rPr>
            <w:t>Lietuvos Respublikos transporto veiklos pagrindų įstatymo Nr. I-1863 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23ed32d88811efa5ddd96c482819f5">
            <w:r w:rsidRPr="00532B9F">
              <w:rPr>
                <w:rFonts w:ascii="Times New Roman" w:eastAsia="MS Mincho" w:hAnsi="Times New Roman"/>
                <w:sz w:val="20"/>
                <w:iCs/>
                <w:color w:val="0000FF" w:themeColor="hyperlink"/>
                <w:u w:val="single"/>
              </w:rPr>
              <w:t>XV-104</w:t>
            </w:r>
          </w:fldSimple>
          <w:r>
            <w:rPr>
              <w:rFonts w:ascii="Times New Roman" w:eastAsia="MS Mincho" w:hAnsi="Times New Roman"/>
              <w:sz w:val="20"/>
              <w:iCs/>
            </w:rPr>
            <w:t>,
2025-01-14,
paskelbta TAR 2025-01-22, i. k. 2025-00714                </w:t>
          </w:r>
        </w:p>
        <w:p>
          <w:pPr>
            <w:jc w:val="both"/>
            <w:rPr>
              <w:rFonts w:ascii="Times New Roman" w:hAnsi="Times New Roman"/>
            </w:rPr>
          </w:pPr>
          <w:r>
            <w:rPr>
              <w:rFonts w:ascii="Times New Roman" w:hAnsi="Times New Roman"/>
              <w:sz w:val="20"/>
            </w:rPr>
            <w:t>Lietuvos Respublikos transporto veiklos pagrindų įstatymo Nr. I-1863 2, 11, 19-1,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9ee8d24da511f0b070ee7f1ceefc75">
            <w:r w:rsidRPr="00532B9F">
              <w:rPr>
                <w:rFonts w:ascii="Times New Roman" w:eastAsia="MS Mincho" w:hAnsi="Times New Roman"/>
                <w:sz w:val="20"/>
                <w:iCs/>
                <w:color w:val="0000FF" w:themeColor="hyperlink"/>
                <w:u w:val="single"/>
              </w:rPr>
              <w:t>XV-288</w:t>
            </w:r>
          </w:fldSimple>
          <w:r>
            <w:rPr>
              <w:rFonts w:ascii="Times New Roman" w:eastAsia="MS Mincho" w:hAnsi="Times New Roman"/>
              <w:sz w:val="20"/>
              <w:iCs/>
            </w:rPr>
            <w:t>,
2025-06-17,
paskelbta TAR 2025-06-20, i. k. 2025-11224                </w:t>
          </w:r>
        </w:p>
        <w:p>
          <w:pPr>
            <w:jc w:val="both"/>
            <w:rPr>
              <w:rFonts w:ascii="Times New Roman" w:hAnsi="Times New Roman"/>
            </w:rPr>
          </w:pPr>
          <w:r>
            <w:rPr>
              <w:rFonts w:ascii="Times New Roman" w:hAnsi="Times New Roman"/>
              <w:sz w:val="20"/>
            </w:rPr>
            <w:t>Lietuvos Respublikos transporto veiklos pagrindų įstatymo Nr. I-1863 12 straipsnio ir 3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2</w:t>
    </w:r>
    <w: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8E168D"/>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80576&amp;b="/>
  <Relationship Id="rId11" Type="http://schemas.openxmlformats.org/officeDocument/2006/relationships/hyperlink" TargetMode="External" Target="http://www3.lrs.lt/cgi-bin/preps2?a=412853&amp;b="/>
  <Relationship Id="rId12" Type="http://schemas.openxmlformats.org/officeDocument/2006/relationships/hyperlink" TargetMode="External" Target="http://www3.lrs.lt/cgi-bin/preps2?a=415670&amp;b="/>
  <Relationship Id="rId13" Type="http://schemas.openxmlformats.org/officeDocument/2006/relationships/hyperlink" TargetMode="External" Target="http://www3.lrs.lt/cgi-bin/preps2?a=256808&amp;b="/>
  <Relationship Id="rId14" Type="http://schemas.openxmlformats.org/officeDocument/2006/relationships/hyperlink" TargetMode="External" Target="http://www3.lrs.lt/cgi-bin/preps2?a=412853&amp;b="/>
  <Relationship Id="rId15" Type="http://schemas.openxmlformats.org/officeDocument/2006/relationships/hyperlink" TargetMode="External" Target="http://www3.lrs.lt/cgi-bin/preps2?a=415670&amp;b="/>
  <Relationship Id="rId16" Type="http://schemas.openxmlformats.org/officeDocument/2006/relationships/hyperlink" TargetMode="External" Target="http://www3.lrs.lt/cgi-bin/preps2?a=437381&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223787&amp;b="/>
  <Relationship Id="rId2" Type="http://schemas.openxmlformats.org/officeDocument/2006/relationships/fontTable" Target="fontTable.xml"/>
  <Relationship Id="rId20" Type="http://schemas.openxmlformats.org/officeDocument/2006/relationships/hyperlink" TargetMode="External" Target="http://www3.lrs.lt/cgi-bin/preps2?a=232365&amp;b="/>
  <Relationship Id="rId21" Type="http://schemas.openxmlformats.org/officeDocument/2006/relationships/hyperlink" TargetMode="External" Target="http://www3.lrs.lt/cgi-bin/preps2?a=415670&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eur-lex.europa.eu/legal-content/LIT/TXT/?uri=CELEX:32016R0679&amp;locale=lt"/>
  <Relationship Id="rId24" Type="http://schemas.openxmlformats.org/officeDocument/2006/relationships/hyperlink" TargetMode="External" Target="http://eur-lex.europa.eu/legal-content/LIT/TXT/?uri=CELEX:31995L0046&amp;locale=lt"/>
  <Relationship Id="rId25" Type="http://schemas.openxmlformats.org/officeDocument/2006/relationships/hyperlink" TargetMode="External" Target="http://www3.lrs.lt/cgi-bin/preps2?a=412853&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415670&amp;b="/>
  <Relationship Id="rId29" Type="http://schemas.openxmlformats.org/officeDocument/2006/relationships/hyperlink" TargetMode="External" Target="http://www3.lrs.lt/cgi-bin/preps2?a=256808&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2555&amp;b="/>
  <Relationship Id="rId37" Type="http://schemas.openxmlformats.org/officeDocument/2006/relationships/hyperlink" TargetMode="External" Target="http://www3.lrs.lt/cgi-bin/preps2?a=44935&amp;b="/>
  <Relationship Id="rId38" Type="http://schemas.openxmlformats.org/officeDocument/2006/relationships/hyperlink" TargetMode="External" Target="http://www3.lrs.lt/cgi-bin/preps2?a=67695&amp;b="/>
  <Relationship Id="rId39" Type="http://schemas.openxmlformats.org/officeDocument/2006/relationships/hyperlink" TargetMode="External" Target="http://www3.lrs.lt/cgi-bin/preps2?a=162207&amp;b="/>
  <Relationship Id="rId4" Type="http://schemas.openxmlformats.org/officeDocument/2006/relationships/settings" Target="settings.xml"/>
  <Relationship Id="rId40" Type="http://schemas.openxmlformats.org/officeDocument/2006/relationships/hyperlink" TargetMode="External" Target="http://www3.lrs.lt/cgi-bin/preps2?a=223787&amp;b="/>
  <Relationship Id="rId41" Type="http://schemas.openxmlformats.org/officeDocument/2006/relationships/hyperlink" TargetMode="External" Target="http://www3.lrs.lt/cgi-bin/preps2?a=232365&amp;b="/>
  <Relationship Id="rId42" Type="http://schemas.openxmlformats.org/officeDocument/2006/relationships/hyperlink" TargetMode="External" Target="http://www3.lrs.lt/cgi-bin/preps2?a=256808&amp;b="/>
  <Relationship Id="rId43" Type="http://schemas.openxmlformats.org/officeDocument/2006/relationships/hyperlink" TargetMode="External" Target="http://www3.lrs.lt/cgi-bin/preps2?a=280576&amp;b="/>
  <Relationship Id="rId44" Type="http://schemas.openxmlformats.org/officeDocument/2006/relationships/hyperlink" TargetMode="External" Target="http://www3.lrs.lt/cgi-bin/preps2?a=412853&amp;b="/>
  <Relationship Id="rId45" Type="http://schemas.openxmlformats.org/officeDocument/2006/relationships/hyperlink" TargetMode="External" Target="http://www3.lrs.lt/cgi-bin/preps2?a=415670&amp;b="/>
  <Relationship Id="rId46" Type="http://schemas.openxmlformats.org/officeDocument/2006/relationships/hyperlink" TargetMode="External" Target="http://www3.lrs.lt/cgi-bin/preps2?a=437381&amp;b="/>
  <Relationship Id="rId47" Type="http://schemas.openxmlformats.org/officeDocument/2006/relationships/header" Target="header11.xml"/>
  <Relationship Id="rId48" Type="http://schemas.openxmlformats.org/officeDocument/2006/relationships/hyperlink" TargetMode="External" Target="http://eur-lex.europa.eu/legal-content/LIT/TXT/?uri=CELEX:32016R0679&amp;locale=lt"/>
  <Relationship Id="rId49" Type="http://schemas.openxmlformats.org/officeDocument/2006/relationships/hyperlink" TargetMode="External" Target="http://eur-lex.europa.eu/legal-content/LIT/TXT/?uri=CELEX:32016R0679&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01L0051&amp;locale=lt"/>
  <Relationship Id="rId51" Type="http://schemas.openxmlformats.org/officeDocument/2006/relationships/hyperlink" TargetMode="External" Target="http://eur-lex.europa.eu/legal-content/LIT/TXT/?uri=CELEX:32004L0082&amp;locale=lt"/>
  <Relationship Id="rId52" Type="http://schemas.openxmlformats.org/officeDocument/2006/relationships/hyperlink" TargetMode="External" Target="http://eur-lex.europa.eu/legal-content/LIT/TXT/?uri=CELEX:32010L0040&amp;locale=lt"/>
  <Relationship Id="rId53" Type="http://schemas.openxmlformats.org/officeDocument/2006/relationships/hyperlink" TargetMode="External" Target="http://eur-lex.europa.eu/legal-content/LIT/TXT/?uri=CELEX:32016L0681&amp;locale=lt"/>
  <Relationship Id="rId54" Type="http://schemas.openxmlformats.org/officeDocument/2006/relationships/hyperlink" TargetMode="External" Target="http://eur-lex.europa.eu/legal-content/LIT/TXT/?uri=CELEX:31992L0106&amp;locale=lt"/>
  <Relationship Id="rId55" Type="http://schemas.openxmlformats.org/officeDocument/2006/relationships/hyperlink" TargetMode="External" Target="http://eur-lex.europa.eu/legal-content/LIT/TXT/?uri=CELEX:32013L0022&amp;locale=lt"/>
  <Relationship Id="rId56"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162207&amp;b="/>
  <Relationship Id="rId9" Type="http://schemas.openxmlformats.org/officeDocument/2006/relationships/hyperlink" TargetMode="External" Target="http://www3.lrs.lt/cgi-bin/preps2?a=256808&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67ca364af2c34cb2a9fa9d9d6412f758">
        <Part Type="strDalis" Nr="1" Abbr="2 str. 1 d." DocPartId="b931cdfd057b45d2b72ebf49dc127126" PartId="6722e6f1477b49b69d9708ec99dbfbb0"/>
        <Part Type="strDalis" Nr="1-1" Abbr="1-1 d." DocPartId="d3d3d2950b6a41e88549db623f45c840" PartId="2b9fe930b1bf4b15af42ab3cc7e9a0ee"/>
        <Part Type="strDalis" Nr="1-2" Abbr="1-2 d." DocPartId="8c134d811c7a4c16b5ed14d60e7c725f" PartId="a0066a4bf7984635a51acc3635faa9e6"/>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6 d." DocPartId="1513d1ff823b4e88a78e48b8d03b33cc" PartId="a29c428b8cad45e399b0debd761d7a2e"/>
        <Part Type="strDalis" Nr="7" Abbr="2 str. 7 d." DocPartId="39d476a98c4345bbaa357c794d091d80" PartId="20b967f7ef5c444cb5adb9931f04834a"/>
        <Part Type="strDalis" Nr="8" Abbr="2 str. 8 d." DocPartId="e27ce48be8694eb092ad2d52277fda11" PartId="328f7d1f881b45e9b18dd9cb6f1d76fb"/>
        <Part Type="strDalis" Nr="9" Abbr="2 str. 9 d." DocPartId="b5671de7dcd146668c91a47756556a6b" PartId="4dfea91fac29425a86532c44b9bf2902"/>
        <Part Type="strDalis" Nr="10" Abbr="2 str. 10 d." DocPartId="1a8b31817e51485e9f712a6349960016" PartId="7c48d618ca924f8e8f0142a781a44511"/>
        <Part Type="strDalis" Nr="11" Abbr="2 str. 11 d." DocPartId="590685dd4f1a423a917fbc341f303354" PartId="b44c895c6a6743bb8b41c3cb45b6c612"/>
        <Part Type="strDalis" Nr="12" Abbr="2 str. 12 d." DocPartId="2c92824fbb6947b098a71d0b73d5de40" PartId="14e21fa1c00b41b1a3449eef914db4d6"/>
        <Part Type="strDalis" Nr="13" Abbr="2 str. 13 d." DocPartId="5cb71d30083244f79f6fa2de48658786" PartId="2c689f98a26a4812a7b1c2fe5b6d9aa2"/>
        <Part Type="strDalis" Nr="14" Abbr="2 str. 14 d." DocPartId="fa8ae1cb97fa45bcb12fdb8e9045c622" PartId="f31f90c2a0884c2491e006f0ee24bc61"/>
        <Part Type="strDalis" Nr="15" Abbr="2 str. 15 d." DocPartId="b9e0a8677c54478ab01119c9c11836a6" PartId="710f53e8bb694ecd93b8597cbafb7ea4"/>
        <Part Type="strDalis" Nr="16" Abbr="2 str. 16 d." DocPartId="50af4fd70b274239a1c7246abb6fc5a7" PartId="cdbe71574e724832ae6c59d501f0fa4b"/>
        <Part Type="strDalis" Nr="17" Abbr="2 str. 17 d." DocPartId="dad5c1c6914540549562f74f30021dbc" PartId="526ff95822434ef0b4ff7bbab8f3c7d4"/>
        <Part Type="strDalis" Nr="18" Abbr="2 str. 18 d." DocPartId="4fa0af2202ba47ffaba3126254f66d78" PartId="88ead12975f744efaa064631613f6ca5"/>
        <Part Type="strDalis" Nr="19" Abbr="2 str. 19 d." DocPartId="65161077ed9e48e4b6949f34f2e50b38" PartId="bf81ff3b1bc94ed6ba501d25037393e0"/>
        <Part Type="strDalis" Nr="20" Abbr="2 str. 20 d." DocPartId="93273a19263145aa886afbb8d4e50550" PartId="b73fea3dd000446fa16cbca20608a417"/>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b1ca0ed19518447bbbea78a62b408826">
        <Part Type="strDalis" Nr="1" Abbr="11 str. 1 d." DocPartId="e65d97f9daf849f38cede6acb5cacd29" PartId="4d45f2e15c484a67bdbdae38e31189c0"/>
        <Part Type="strDalis" Nr="2" Abbr="11 str. 2 d." DocPartId="4705018e270d49e298ac5e5e3b868743" PartId="79baf92a5b234a848b74265ae5865740"/>
        <Part Type="strDalis" Nr="2-1" Abbr="2-1 d." DocPartId="fcd37b87aa9e4282aa7bcbfd32685c5a" PartId="822b77fa7edc459a96cf9fbe93b3476c"/>
        <Part Type="strDalis" Nr="2-2" Abbr="2-2 d." DocPartId="852cc8283e6e4ec6ad37da90cd4352fc" PartId="a15185cbc1724a15a0a3d069afa81972"/>
        <Part Type="strDalis" Nr="3" Abbr="11 str. 3 d." DocPartId="a41b6a3e47dd433b967a56dd86abaa5a" PartId="fa2ca050ca0b403a991e1fe8d77b267a"/>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dfb9d35dc4ac4bdf84cc720ca68e5261">
          <Part Type="strPunktas" Nr="1" Abbr="12 str. 1 d. 1 p." DocPartId="50a7cdcc82444841804b0248ab8c5f30" PartId="ee571627dbf04a38a90dd23bfc0dc847"/>
          <Part Type="strPunktas" Nr="2" Abbr="12 str. 1 d. 2 p." DocPartId="4ab1485a91be4f1cadd878f2710c8e6a" PartId="5ca0111eecd041f9971e161b3598b970"/>
        </Part>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bilietų užsakymo ir išvykimo kontrolės, keleivių skrydžio duomenis ir šių duomenų tvarkymas" DocPartId="d1be95cc91ea432da5312dd0e7fc9b30" PartId="f672875a260f413bbe29c93e35218f9a">
        <Part Type="strDalis" Nr="1" Abbr="19-1 str. 1 d." DocPartId="ac06156b51634a748216d37d204e6944" PartId="213a7459f32642bab536478ca5ea8dac"/>
        <Part Type="strDalis" Nr="2" Abbr="19-1 str. 2 d." DocPartId="74a4c4cf66924941a0ff60107218499b" PartId="e4500b9556bb4ebdbe51b497b2591ee6"/>
        <Part Type="strDalis" Nr="3" Abbr="19-1 str. 3 d." DocPartId="f1a4040df07941dead5e0e0825d78eb8" PartId="4b2ffaeb457c4467801f35235cfcc1a8"/>
        <Part Type="strDalis" Nr="4" Abbr="19-1 str. 4 d." DocPartId="c2adee96f1a94800b3991536f25acb39" PartId="4adbf8ec814b48698db477eb585ed777"/>
        <Part Type="strDalis" Nr="5" Abbr="19-1 str. 5 d." DocPartId="b3c8b2e2ae044e808bfbad7389bcb4f2" PartId="ea470b6d8669415eb4940599fe790086"/>
        <Part Type="strDalis" Nr="6" Abbr="19-1 str. 6 d." DocPartId="2e19022a24d24a9399edc3e80768e5d7" PartId="da245fe490934c65937b2ffd6c4afd91"/>
        <Part Type="strDalis" Nr="7" Abbr="19-1 str. 7 d." DocPartId="4271dae72adc4a39b80f1035693657ca" PartId="7fe7baa817a849abae1e18aa4a3d2b22"/>
        <Part Type="strDalis" Nr="8" Abbr="19-1 str. 8 d." DocPartId="d460719edc3a44a5beb22fbb6d4e0f63" PartId="f7a7b99959424ca9a60a7bee2c564b31"/>
        <Part Type="strDalis" Nr="9" Abbr="19-1 str. 9 d." DocPartId="eb27d40a32ba45898f2301958427228b" PartId="e8b2edcdaaf949cbb88c529fac30dc1e"/>
        <Part Type="strDalis" Nr="10" Abbr="19-1 str. 10 d." DocPartId="d059adbb60344df7bd77f6bcf276c91c" PartId="2e3b27fffe5b465f8f609fddf614c146"/>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e43c78642c864da3abfe7bb61bef65b7"/>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b5806ce929f64d77855bbbdd7ea4106b">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d925a82e9f7143829a54760dd630ce1a"/>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796677edb5934aa9b1b5a35bfa949c6d">
    <Part Type="punktas" Nr="1" Abbr="3 pr. 1 p." DocPartId="7259857adaa64208805d24a576468520" PartId="036c0dd8b4c0444ca542cee20393c99f"/>
    <Part Type="punktas" Nr="2" Abbr="3 pr. 2 p." DocPartId="7fd6fdfbbf7c4fcf82c5d4dde26df1c6" PartId="2c16241c48604ea98ae5bc1e6cc6c256"/>
    <Part Type="punktas" Nr="3" Abbr="3 pr. 3 p." DocPartId="8cf707e32e70458fa115364249af9f48" PartId="22a65cdbbacc4415aa086b925e89cf10"/>
    <Part Type="punktas" Nr="4" Abbr="3 pr. 4 p." DocPartId="c70ce53ae76e4e71a6992932ab0321c6" PartId="a8a2a6889b494a49a5588ebad401928d"/>
    <Part Type="strDalis" Nr="5" Abbr="5 d." DocPartId="20448f6144c14f3297208db89a5e01cf" PartId="7f0a1c0d5acf46d8b0c9e971f7811a03"/>
    <Part Type="pabaiga" DocPartId="c9e261f0799b45ca94ef92ffa9c00dd5" PartId="9bca0544d98f4367a5d4aa658099fc81"/>
  </Part>
  <Part Type="skirsnis" Title="Pakeitimai:" DocPartId="778fb1c051164604aab0bf202ccab10e" PartId="97b64698ac8c4aad859eb1570779fc0f"/>
</Parts>
</file>

<file path=customXml/itemProps1.xml><?xml version="1.0" encoding="utf-8"?>
<ds:datastoreItem xmlns:ds="http://schemas.openxmlformats.org/officeDocument/2006/customXml" ds:itemID="{F9D20A18-88B7-4AB2-8322-216B019092C6}">
  <ds:schemaRefs>
    <ds:schemaRef ds:uri="http://lrs.lt/TAIS/DocParts"/>
  </ds:schemaRefs>
</ds:datastoreItem>
</file>

<file path=docProps/app.xml><?xml version="1.0" encoding="utf-8"?>
<Properties xmlns="http://schemas.openxmlformats.org/officeDocument/2006/extended-properties">
  <Template>Normal.dotm</Template>
  <TotalTime>45</TotalTime>
  <Pages>15</Pages>
  <Words>6841</Words>
  <Characters>53573</Characters>
  <Application>Microsoft Office Word</Application>
  <DocSecurity>0</DocSecurity>
  <Lines>446</Lines>
  <Paragraphs>120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60294</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PAPINIGIENĖ Augustė</lastModifiedBy>
  <lastPrinted>2254-05-16T19:52:00Z</lastPrinted>
  <dcterms:modified xsi:type="dcterms:W3CDTF">2025-06-23T11:34:00Z</dcterms:modified>
  <revision>17</revision>
  <dc:title>Redagavo: Ramun? L??ait? (1997</dc:title>
</coreProperties>
</file>