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2026-06-30 iki 2027-12-31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8"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9"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1"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2"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ea7362d3f3a74a91845806857ede3a2d"/>
                <w:lock w:val="sdtLocked"/>
                <w:richText/>
              </w:sdtPr>
              <w:sdtContent>
                <w:p>
                  <w:pPr>
                    <w:ind w:firstLine="720"/>
                    <w:contextualSpacing/>
                    <w:rPr>
                      <w:b/>
                      <w:bCs/>
                      <w:color w:val="000000"/>
                      <w:sz w:val="22"/>
                      <w:szCs w:val="22"/>
                      <w:lang w:eastAsia="lt-LT"/>
                    </w:rPr>
                  </w:pPr>
                  <w:sdt>
                    <w:sdtPr>
                      <w:alias w:val="Numeris"/>
                      <w:tag w:val="nr_ea7362d3f3a74a91845806857ede3a2d"/>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ea7362d3f3a74a91845806857ede3a2d"/>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1-1 d."/>
                    <w:tag w:val="part_2b9fe930b1bf4b15af42ab3cc7e9a0ee"/>
                    <w:lock w:val="sdtLocked"/>
                    <w:richText/>
                  </w:sdtPr>
                  <w:sdtContent>
                    <w:p>
                      <w:pPr>
                        <w:ind w:firstLine="720"/>
                        <w:jc w:val="both"/>
                      </w:pPr>
                      <w:sdt>
                        <w:sdtPr>
                          <w:alias w:val="Numeris"/>
                          <w:tag w:val="nr_2b9fe930b1bf4b15af42ab3cc7e9a0ee"/>
                          <w:lock w:val="sdtLocked"/>
                          <w:richText/>
                        </w:sdtPr>
                        <w:sdtContent>
                          <w:r>
                            <w:rPr>
                              <w:sz w:val="22"/>
                              <w:szCs w:val="22"/>
                              <w:shd w:val="clear" w:color="auto" w:fill="FFFFFF"/>
                            </w:rPr>
                            <w:t>1</w:t>
                          </w:r>
                          <w:r>
                            <w:rPr>
                              <w:sz w:val="22"/>
                              <w:szCs w:val="22"/>
                              <w:shd w:val="clear" w:color="auto" w:fill="FFFFFF"/>
                              <w:vertAlign w:val="superscript"/>
                            </w:rPr>
                            <w:t>1</w:t>
                          </w:r>
                        </w:sdtContent>
                      </w:sdt>
                      <w:r>
                        <w:rPr>
                          <w:sz w:val="22"/>
                          <w:szCs w:val="22"/>
                          <w:shd w:val="clear" w:color="auto" w:fill="FFFFFF"/>
                        </w:rPr>
                        <w:t xml:space="preserve">. </w:t>
                      </w:r>
                      <w:r>
                        <w:rPr>
                          <w:b/>
                          <w:bCs/>
                          <w:sz w:val="22"/>
                          <w:szCs w:val="22"/>
                          <w:shd w:val="clear" w:color="auto" w:fill="FFFFFF"/>
                        </w:rPr>
                        <w:t>Europos Sąjungos išorės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 nereguliarus iš trečiosios šalies teritorijos vykdomas skrydis, kurio suplanuota nusileidimo vieta yra Europos Sąjungos valstybės narės teritorijoje, arba iš Europos Sąjungos valstybės narės teritorijos vykdomas skrydis, kurio suplanuota nusileidimo vieta yra trečiojoje šalyje, abiem atvejais įskaitant skrydžius su bet kokiais nusileidimais Europos Sąjungos valstybių narių arba trečiųjų šalių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2 d."/>
                    <w:tag w:val="part_a0066a4bf7984635a51acc3635faa9e6"/>
                    <w:lock w:val="sdtLocked"/>
                    <w:richText/>
                  </w:sdtPr>
                  <w:sdtContent>
                    <w:p>
                      <w:pPr>
                        <w:ind w:firstLine="720"/>
                        <w:jc w:val="both"/>
                        <w:rPr>
                          <w:rFonts w:eastAsia="Calibri"/>
                          <w:sz w:val="22"/>
                          <w:szCs w:val="22"/>
                        </w:rPr>
                      </w:pPr>
                      <w:sdt>
                        <w:sdtPr>
                          <w:alias w:val="Numeris"/>
                          <w:tag w:val="nr_a0066a4bf7984635a51acc3635faa9e6"/>
                          <w:lock w:val="sdtLocked"/>
                          <w:richText/>
                        </w:sdtPr>
                        <w:sdtContent>
                          <w:r>
                            <w:rPr>
                              <w:bCs/>
                              <w:sz w:val="22"/>
                              <w:szCs w:val="22"/>
                            </w:rPr>
                            <w:t>1</w:t>
                          </w:r>
                          <w:r>
                            <w:rPr>
                              <w:bCs/>
                              <w:sz w:val="22"/>
                              <w:szCs w:val="22"/>
                              <w:vertAlign w:val="superscript"/>
                            </w:rPr>
                            <w:t>2</w:t>
                          </w:r>
                        </w:sdtContent>
                      </w:sdt>
                      <w:r>
                        <w:rPr>
                          <w:bCs/>
                          <w:sz w:val="22"/>
                          <w:szCs w:val="22"/>
                        </w:rPr>
                        <w:t xml:space="preserve">. </w:t>
                      </w:r>
                      <w:r>
                        <w:rPr>
                          <w:b/>
                          <w:bCs/>
                          <w:sz w:val="22"/>
                          <w:szCs w:val="22"/>
                          <w:shd w:val="clear" w:color="auto" w:fill="FFFFFF"/>
                        </w:rPr>
                        <w:t>Europos Sąjungos vidaus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arba nereguliarus iš Europos Sąjungos valstybės narės teritorijos vykdomas skrydis, kurio suplanuota nusileidimo vieta yra vienos arba kelių kitų Europos Sąjungos valstybių narių teritorijoje, be jokių nusileidimų trečiosios šalies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785a4b13275d4e5a959a4c8c4351c9fc"/>
                    <w:lock w:val="sdtLocked"/>
                    <w:richText/>
                  </w:sdtPr>
                  <w:sdtContent>
                    <w:p>
                      <w:pPr>
                        <w:ind w:firstLine="720"/>
                        <w:jc w:val="both"/>
                        <w:rPr>
                          <w:rFonts w:eastAsia="Calibri"/>
                          <w:sz w:val="22"/>
                          <w:szCs w:val="22"/>
                        </w:rPr>
                      </w:pPr>
                      <w:sdt>
                        <w:sdtPr>
                          <w:alias w:val="Numeris"/>
                          <w:tag w:val="nr_785a4b13275d4e5a959a4c8c4351c9fc"/>
                          <w:lock w:val="sdtLocked"/>
                          <w:richText/>
                        </w:sdtPr>
                        <w:sdtContent>
                          <w:r>
                            <w:rPr>
                              <w:color w:val="000000"/>
                              <w:szCs w:val="24"/>
                              <w:lang w:eastAsia="lt-LT"/>
                            </w:rPr>
                            <w:t>3</w:t>
                          </w:r>
                        </w:sdtContent>
                      </w:sdt>
                      <w:r>
                        <w:rPr>
                          <w:color w:val="000000"/>
                          <w:szCs w:val="24"/>
                          <w:lang w:eastAsia="lt-LT"/>
                        </w:rPr>
                        <w:t xml:space="preserve">. </w:t>
                      </w:r>
                      <w:r>
                        <w:rPr>
                          <w:b/>
                          <w:bCs/>
                          <w:color w:val="000000"/>
                          <w:sz w:val="22"/>
                          <w:szCs w:val="22"/>
                        </w:rPr>
                        <w:t>Intelektinių transporto sistemų paslauga</w:t>
                      </w:r>
                      <w:r>
                        <w:rPr>
                          <w:color w:val="000000"/>
                          <w:sz w:val="22"/>
                          <w:szCs w:val="22"/>
                        </w:rPr>
                        <w:t xml:space="preserve"> – intelektinių transporto sistemų prietaikos veikimo užtikrinimas tinkamai parengtoje organizacinėje ir operacinėje sistemoje siekiant padidinti naudotojo saugumą, darnų judumą ir patogumą ir (arba) palengvinti transporto ir kelionių operacijas, padidinti jų veiksmingumą arba padėti jas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6 d."/>
                    <w:tag w:val="part_a29c428b8cad45e399b0debd761d7a2e"/>
                    <w:lock w:val="sdtLocked"/>
                    <w:richText/>
                  </w:sdtPr>
                  <w:sdtContent>
                    <w:p>
                      <w:pPr>
                        <w:ind w:firstLine="720"/>
                        <w:jc w:val="both"/>
                        <w:rPr>
                          <w:sz w:val="22"/>
                          <w:szCs w:val="22"/>
                        </w:rPr>
                      </w:pPr>
                      <w:sdt>
                        <w:sdtPr>
                          <w:alias w:val="Numeris"/>
                          <w:tag w:val="nr_a29c428b8cad45e399b0debd761d7a2e"/>
                          <w:lock w:val="sdtLocked"/>
                          <w:richText/>
                        </w:sdtPr>
                        <w:sdtContent>
                          <w:r>
                            <w:rPr>
                              <w:color w:val="000000"/>
                              <w:sz w:val="22"/>
                              <w:szCs w:val="22"/>
                              <w:lang w:eastAsia="lt-LT"/>
                            </w:rPr>
                            <w:t>6</w:t>
                          </w:r>
                        </w:sdtContent>
                      </w:sdt>
                      <w:r>
                        <w:rPr>
                          <w:color w:val="000000"/>
                          <w:sz w:val="22"/>
                          <w:szCs w:val="22"/>
                          <w:lang w:eastAsia="lt-LT"/>
                        </w:rPr>
                        <w:t xml:space="preserve">. </w:t>
                      </w:r>
                      <w:r>
                        <w:rPr>
                          <w:b/>
                          <w:bCs/>
                          <w:sz w:val="22"/>
                          <w:szCs w:val="22"/>
                        </w:rPr>
                        <w:t>Riboto judumo asmuo</w:t>
                      </w:r>
                      <w:r>
                        <w:rPr>
                          <w:sz w:val="22"/>
                          <w:szCs w:val="22"/>
                        </w:rPr>
                        <w:t xml:space="preserve"> – asmuo, turintis nuolatinį arba laikiną fizinį, psichikos, intelekto arba jutimo sutrikimą, dėl kurio jis gali tik ribotai judėti ir tai trukdo jam lygiavertiškai su kitais keleiviais naudotis transportu, arba asmuo, kurio judumą naudojantis transportu riboja amžius.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7 d."/>
                    <w:tag w:val="part_20b967f7ef5c444cb5adb9931f04834a"/>
                    <w:lock w:val="sdtLocked"/>
                    <w:richText/>
                  </w:sdtPr>
                  <w:sdtContent>
                    <w:p>
                      <w:pPr>
                        <w:tabs>
                          <w:tab w:val="left" w:pos="993"/>
                        </w:tabs>
                        <w:ind w:firstLine="720"/>
                        <w:contextualSpacing/>
                        <w:jc w:val="both"/>
                        <w:rPr>
                          <w:sz w:val="22"/>
                          <w:szCs w:val="22"/>
                        </w:rPr>
                      </w:pPr>
                      <w:sdt>
                        <w:sdtPr>
                          <w:alias w:val="Numeris"/>
                          <w:tag w:val="nr_20b967f7ef5c444cb5adb9931f04834a"/>
                          <w:lock w:val="sdtLocked"/>
                          <w:richText/>
                        </w:sdtPr>
                        <w:sdtContent>
                          <w:r>
                            <w:rPr>
                              <w:sz w:val="22"/>
                              <w:szCs w:val="22"/>
                            </w:rPr>
                            <w:t>7</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8 d."/>
                    <w:tag w:val="part_60d5042f37004f34ac724e0170d21858"/>
                    <w:lock w:val="sdtLocked"/>
                    <w:richText/>
                  </w:sdtPr>
                  <w:sdtContent>
                    <w:p>
                      <w:pPr>
                        <w:ind w:firstLine="720"/>
                        <w:jc w:val="both"/>
                        <w:rPr>
                          <w:sz w:val="22"/>
                          <w:szCs w:val="22"/>
                        </w:rPr>
                      </w:pPr>
                      <w:sdt>
                        <w:sdtPr>
                          <w:alias w:val="Numeris"/>
                          <w:tag w:val="nr_60d5042f37004f34ac724e0170d21858"/>
                          <w:lock w:val="sdtLocked"/>
                          <w:richText/>
                        </w:sdtPr>
                        <w:sdtContent>
                          <w:r>
                            <w:rPr>
                              <w:color w:val="000000"/>
                              <w:sz w:val="22"/>
                              <w:szCs w:val="22"/>
                            </w:rPr>
                            <w:t>8</w:t>
                          </w:r>
                        </w:sdtContent>
                      </w:sdt>
                      <w:r>
                        <w:rPr>
                          <w:color w:val="000000"/>
                          <w:sz w:val="22"/>
                          <w:szCs w:val="22"/>
                        </w:rPr>
                        <w:t xml:space="preserve">. </w:t>
                      </w:r>
                      <w:r>
                        <w:rPr>
                          <w:b/>
                          <w:bCs/>
                          <w:color w:val="000000"/>
                          <w:sz w:val="22"/>
                          <w:szCs w:val="22"/>
                        </w:rPr>
                        <w:t>Sąveikiosios intelektinės transporto sistemos</w:t>
                      </w:r>
                      <w:r>
                        <w:rPr>
                          <w:color w:val="000000"/>
                          <w:sz w:val="22"/>
                          <w:szCs w:val="22"/>
                        </w:rPr>
                        <w:t xml:space="preserve"> – intelektinės transporto sistemos, kurių naudotojai gali palaikyti ryšį ir bendradarbiauti keisdamiesi saugiais ir patikimais pranešimais, vieni apie kitus neturėdami jokių išankstinių žinių ir nediskriminacinėmis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9 d."/>
                    <w:tag w:val="part_95243a3a09874266b37774fcffaffd57"/>
                    <w:lock w:val="sdtLocked"/>
                    <w:richText/>
                  </w:sdtPr>
                  <w:sdtContent>
                    <w:p>
                      <w:pPr>
                        <w:ind w:firstLine="720"/>
                        <w:jc w:val="both"/>
                        <w:rPr>
                          <w:sz w:val="22"/>
                          <w:szCs w:val="22"/>
                        </w:rPr>
                      </w:pPr>
                      <w:sdt>
                        <w:sdtPr>
                          <w:alias w:val="Numeris"/>
                          <w:tag w:val="nr_95243a3a09874266b37774fcffaffd57"/>
                          <w:lock w:val="sdtLocked"/>
                          <w:richText/>
                        </w:sdtPr>
                        <w:sdtContent>
                          <w:r>
                            <w:rPr>
                              <w:color w:val="000000"/>
                              <w:sz w:val="22"/>
                              <w:szCs w:val="22"/>
                            </w:rPr>
                            <w:t>9</w:t>
                          </w:r>
                        </w:sdtContent>
                      </w:sdt>
                      <w:r>
                        <w:rPr>
                          <w:color w:val="000000"/>
                          <w:sz w:val="22"/>
                          <w:szCs w:val="22"/>
                        </w:rPr>
                        <w:t xml:space="preserve">. </w:t>
                      </w:r>
                      <w:r>
                        <w:rPr>
                          <w:b/>
                          <w:bCs/>
                          <w:color w:val="000000"/>
                          <w:sz w:val="22"/>
                          <w:szCs w:val="22"/>
                        </w:rPr>
                        <w:t>Sąveikiųjų intelektinių transporto sistemų paslauga</w:t>
                      </w:r>
                      <w:r>
                        <w:rPr>
                          <w:color w:val="000000"/>
                          <w:sz w:val="22"/>
                          <w:szCs w:val="22"/>
                        </w:rPr>
                        <w:t xml:space="preserve"> – per sąveikiąsias intelektines transporto sistemas teikiama intelektinių transporto sistemų paslauga.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0 d."/>
                    <w:tag w:val="part_209afa85f6d84a4091ec0130a2ecc099"/>
                    <w:lock w:val="sdtLocked"/>
                    <w:richText/>
                  </w:sdtPr>
                  <w:sdtContent>
                    <w:p>
                      <w:pPr>
                        <w:tabs>
                          <w:tab w:val="left" w:pos="993"/>
                        </w:tabs>
                        <w:ind w:firstLine="720"/>
                        <w:contextualSpacing/>
                        <w:jc w:val="both"/>
                        <w:rPr>
                          <w:sz w:val="22"/>
                          <w:szCs w:val="22"/>
                        </w:rPr>
                      </w:pPr>
                      <w:sdt>
                        <w:sdtPr>
                          <w:alias w:val="Numeris"/>
                          <w:tag w:val="nr_209afa85f6d84a4091ec0130a2ecc099"/>
                          <w:lock w:val="sdtLocked"/>
                          <w:richText/>
                        </w:sdtPr>
                        <w:sdtContent>
                          <w:r>
                            <w:rPr>
                              <w:sz w:val="22"/>
                              <w:szCs w:val="22"/>
                            </w:rPr>
                            <w:t>10</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1 d."/>
                    <w:tag w:val="part_e0e3c4ee72bb492caf4a29597db432ff"/>
                    <w:lock w:val="sdtLocked"/>
                    <w:richText/>
                  </w:sdtPr>
                  <w:sdtContent>
                    <w:p>
                      <w:pPr>
                        <w:tabs>
                          <w:tab w:val="left" w:pos="993"/>
                        </w:tabs>
                        <w:ind w:firstLine="720"/>
                        <w:contextualSpacing/>
                        <w:jc w:val="both"/>
                        <w:rPr>
                          <w:sz w:val="22"/>
                          <w:szCs w:val="22"/>
                        </w:rPr>
                      </w:pPr>
                      <w:sdt>
                        <w:sdtPr>
                          <w:alias w:val="Numeris"/>
                          <w:tag w:val="nr_e0e3c4ee72bb492caf4a29597db432ff"/>
                          <w:lock w:val="sdtLocked"/>
                          <w:richText/>
                        </w:sdtPr>
                        <w:sdtContent>
                          <w:r>
                            <w:rPr>
                              <w:sz w:val="22"/>
                              <w:szCs w:val="22"/>
                            </w:rPr>
                            <w:t>11</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2 d."/>
                    <w:tag w:val="part_7dd81cf9d08c4a768160f377cadfdf4f"/>
                    <w:lock w:val="sdtLocked"/>
                    <w:richText/>
                  </w:sdtPr>
                  <w:sdtContent>
                    <w:p>
                      <w:pPr>
                        <w:tabs>
                          <w:tab w:val="left" w:pos="993"/>
                        </w:tabs>
                        <w:ind w:firstLine="720"/>
                        <w:contextualSpacing/>
                        <w:jc w:val="both"/>
                        <w:rPr>
                          <w:sz w:val="22"/>
                          <w:szCs w:val="22"/>
                        </w:rPr>
                      </w:pPr>
                      <w:sdt>
                        <w:sdtPr>
                          <w:alias w:val="Numeris"/>
                          <w:tag w:val="nr_7dd81cf9d08c4a768160f377cadfdf4f"/>
                          <w:lock w:val="sdtLocked"/>
                          <w:richText/>
                        </w:sdtPr>
                        <w:sdtContent>
                          <w:r>
                            <w:rPr>
                              <w:sz w:val="22"/>
                              <w:szCs w:val="22"/>
                            </w:rPr>
                            <w:t>12</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3 d."/>
                    <w:tag w:val="part_1954e47313e64eb6aed0744f8d5622e9"/>
                    <w:lock w:val="sdtLocked"/>
                    <w:richText/>
                  </w:sdtPr>
                  <w:sdtContent>
                    <w:p>
                      <w:pPr>
                        <w:tabs>
                          <w:tab w:val="left" w:pos="1134"/>
                        </w:tabs>
                        <w:ind w:firstLine="720"/>
                        <w:contextualSpacing/>
                        <w:jc w:val="both"/>
                        <w:rPr>
                          <w:sz w:val="22"/>
                          <w:szCs w:val="22"/>
                        </w:rPr>
                      </w:pPr>
                      <w:sdt>
                        <w:sdtPr>
                          <w:alias w:val="Numeris"/>
                          <w:tag w:val="nr_1954e47313e64eb6aed0744f8d5622e9"/>
                          <w:lock w:val="sdtLocked"/>
                          <w:richText/>
                        </w:sdtPr>
                        <w:sdtContent>
                          <w:r>
                            <w:rPr>
                              <w:sz w:val="22"/>
                              <w:szCs w:val="22"/>
                            </w:rPr>
                            <w:t>13</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4 d."/>
                    <w:tag w:val="part_5574051be1a349a99bf965d7200e0f44"/>
                    <w:lock w:val="sdtLocked"/>
                    <w:richText/>
                  </w:sdtPr>
                  <w:sdtContent>
                    <w:p>
                      <w:pPr>
                        <w:tabs>
                          <w:tab w:val="left" w:pos="1134"/>
                        </w:tabs>
                        <w:ind w:firstLine="720"/>
                        <w:contextualSpacing/>
                        <w:jc w:val="both"/>
                        <w:rPr>
                          <w:sz w:val="22"/>
                          <w:szCs w:val="22"/>
                        </w:rPr>
                      </w:pPr>
                      <w:sdt>
                        <w:sdtPr>
                          <w:alias w:val="Numeris"/>
                          <w:tag w:val="nr_5574051be1a349a99bf965d7200e0f44"/>
                          <w:lock w:val="sdtLocked"/>
                          <w:richText/>
                        </w:sdtPr>
                        <w:sdtContent>
                          <w:r>
                            <w:rPr>
                              <w:sz w:val="22"/>
                              <w:szCs w:val="22"/>
                            </w:rPr>
                            <w:t>14</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5 d."/>
                    <w:tag w:val="part_73cbb6d856bd4136b491f256695eec9c"/>
                    <w:lock w:val="sdtLocked"/>
                    <w:richText/>
                  </w:sdtPr>
                  <w:sdtContent>
                    <w:p>
                      <w:pPr>
                        <w:tabs>
                          <w:tab w:val="left" w:pos="1134"/>
                        </w:tabs>
                        <w:ind w:firstLine="720"/>
                        <w:contextualSpacing/>
                        <w:jc w:val="both"/>
                        <w:rPr>
                          <w:sz w:val="22"/>
                          <w:szCs w:val="22"/>
                        </w:rPr>
                      </w:pPr>
                      <w:sdt>
                        <w:sdtPr>
                          <w:alias w:val="Numeris"/>
                          <w:tag w:val="nr_73cbb6d856bd4136b491f256695eec9c"/>
                          <w:lock w:val="sdtLocked"/>
                          <w:richText/>
                        </w:sdtPr>
                        <w:sdtContent>
                          <w:r>
                            <w:rPr>
                              <w:sz w:val="22"/>
                              <w:szCs w:val="22"/>
                            </w:rPr>
                            <w:t>15</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6 d."/>
                    <w:tag w:val="part_4ef4c8d359b14b90804b361776a4e12e"/>
                    <w:lock w:val="sdtLocked"/>
                    <w:richText/>
                  </w:sdtPr>
                  <w:sdtContent>
                    <w:p>
                      <w:pPr>
                        <w:tabs>
                          <w:tab w:val="left" w:pos="1134"/>
                        </w:tabs>
                        <w:ind w:firstLine="720"/>
                        <w:contextualSpacing/>
                        <w:jc w:val="both"/>
                        <w:rPr>
                          <w:sz w:val="22"/>
                          <w:szCs w:val="22"/>
                        </w:rPr>
                      </w:pPr>
                      <w:sdt>
                        <w:sdtPr>
                          <w:alias w:val="Numeris"/>
                          <w:tag w:val="nr_4ef4c8d359b14b90804b361776a4e12e"/>
                          <w:lock w:val="sdtLocked"/>
                          <w:richText/>
                        </w:sdtPr>
                        <w:sdtContent>
                          <w:r>
                            <w:rPr>
                              <w:sz w:val="22"/>
                              <w:szCs w:val="22"/>
                            </w:rPr>
                            <w:t>16</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7 d."/>
                    <w:tag w:val="part_7f50e050340f4a998bd3d990a8fd1bf1"/>
                    <w:lock w:val="sdtLocked"/>
                    <w:richText/>
                  </w:sdtPr>
                  <w:sdtContent>
                    <w:p>
                      <w:pPr>
                        <w:tabs>
                          <w:tab w:val="left" w:pos="1134"/>
                        </w:tabs>
                        <w:ind w:firstLine="720"/>
                        <w:contextualSpacing/>
                        <w:jc w:val="both"/>
                        <w:rPr>
                          <w:sz w:val="22"/>
                          <w:szCs w:val="22"/>
                        </w:rPr>
                      </w:pPr>
                      <w:sdt>
                        <w:sdtPr>
                          <w:alias w:val="Numeris"/>
                          <w:tag w:val="nr_7f50e050340f4a998bd3d990a8fd1bf1"/>
                          <w:lock w:val="sdtLocked"/>
                          <w:richText/>
                        </w:sdtPr>
                        <w:sdtContent>
                          <w:r>
                            <w:rPr>
                              <w:sz w:val="22"/>
                              <w:szCs w:val="22"/>
                            </w:rPr>
                            <w:t>17</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8 d."/>
                    <w:tag w:val="part_08fa0da0bb034839b622d196d8f5a2e0"/>
                    <w:lock w:val="sdtLocked"/>
                    <w:richText/>
                  </w:sdtPr>
                  <w:sdtContent>
                    <w:p>
                      <w:pPr>
                        <w:tabs>
                          <w:tab w:val="left" w:pos="1134"/>
                        </w:tabs>
                        <w:ind w:firstLine="720"/>
                        <w:contextualSpacing/>
                        <w:jc w:val="both"/>
                        <w:rPr>
                          <w:sz w:val="22"/>
                          <w:szCs w:val="22"/>
                        </w:rPr>
                      </w:pPr>
                      <w:sdt>
                        <w:sdtPr>
                          <w:alias w:val="Numeris"/>
                          <w:tag w:val="nr_08fa0da0bb034839b622d196d8f5a2e0"/>
                          <w:lock w:val="sdtLocked"/>
                          <w:richText/>
                        </w:sdtPr>
                        <w:sdtContent>
                          <w:r>
                            <w:rPr>
                              <w:sz w:val="22"/>
                              <w:szCs w:val="22"/>
                            </w:rPr>
                            <w:t>18</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9 d."/>
                    <w:tag w:val="part_0394f964cbe14f30940d4cdd4473ddca"/>
                    <w:lock w:val="sdtLocked"/>
                    <w:richText/>
                  </w:sdtPr>
                  <w:sdtContent>
                    <w:p>
                      <w:pPr>
                        <w:tabs>
                          <w:tab w:val="left" w:pos="1134"/>
                        </w:tabs>
                        <w:ind w:firstLine="720"/>
                        <w:contextualSpacing/>
                        <w:jc w:val="both"/>
                        <w:rPr>
                          <w:sz w:val="22"/>
                          <w:szCs w:val="22"/>
                        </w:rPr>
                      </w:pPr>
                      <w:sdt>
                        <w:sdtPr>
                          <w:alias w:val="Numeris"/>
                          <w:tag w:val="nr_0394f964cbe14f30940d4cdd4473ddca"/>
                          <w:lock w:val="sdtLocked"/>
                          <w:richText/>
                        </w:sdtPr>
                        <w:sdtContent>
                          <w:r>
                            <w:rPr>
                              <w:sz w:val="22"/>
                              <w:szCs w:val="22"/>
                            </w:rPr>
                            <w:t>19</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20 d."/>
                    <w:tag w:val="part_f6924a652d6e420495d31f2838777382"/>
                    <w:lock w:val="sdtLocked"/>
                    <w:richText/>
                  </w:sdtPr>
                  <w:sdtContent>
                    <w:p>
                      <w:pPr>
                        <w:tabs>
                          <w:tab w:val="left" w:pos="1134"/>
                        </w:tabs>
                        <w:ind w:firstLine="720"/>
                        <w:contextualSpacing/>
                        <w:jc w:val="both"/>
                        <w:rPr>
                          <w:sz w:val="22"/>
                          <w:szCs w:val="22"/>
                        </w:rPr>
                      </w:pPr>
                      <w:sdt>
                        <w:sdtPr>
                          <w:alias w:val="Numeris"/>
                          <w:tag w:val="nr_f6924a652d6e420495d31f2838777382"/>
                          <w:lock w:val="sdtLocked"/>
                          <w:richText/>
                        </w:sdtPr>
                        <w:sdtContent>
                          <w:r>
                            <w:rPr>
                              <w:sz w:val="22"/>
                              <w:szCs w:val="22"/>
                            </w:rPr>
                            <w:t>20</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21 d."/>
                    <w:tag w:val="part_6c7c73b021a5415a82afbe1f5f4c5794"/>
                    <w:lock w:val="sdtLocked"/>
                    <w:richText/>
                  </w:sdtPr>
                  <w:sdtContent>
                    <w:p>
                      <w:pPr>
                        <w:ind w:firstLine="720"/>
                        <w:jc w:val="both"/>
                        <w:rPr>
                          <w:sz w:val="22"/>
                          <w:szCs w:val="22"/>
                        </w:rPr>
                      </w:pPr>
                      <w:sdt>
                        <w:sdtPr>
                          <w:alias w:val="Numeris"/>
                          <w:tag w:val="nr_6c7c73b021a5415a82afbe1f5f4c5794"/>
                          <w:lock w:val="sdtLocked"/>
                          <w:richText/>
                        </w:sdtPr>
                        <w:sdtContent>
                          <w:r>
                            <w:rPr>
                              <w:bCs/>
                              <w:sz w:val="22"/>
                              <w:szCs w:val="22"/>
                            </w:rPr>
                            <w:t>21</w:t>
                          </w:r>
                        </w:sdtContent>
                      </w:sdt>
                      <w:r>
                        <w:rPr>
                          <w:bCs/>
                          <w:sz w:val="22"/>
                          <w:szCs w:val="22"/>
                        </w:rPr>
                        <w:t xml:space="preserve">. </w:t>
                      </w:r>
                      <w:r>
                        <w:rPr>
                          <w:b/>
                          <w:bCs/>
                          <w:sz w:val="22"/>
                          <w:szCs w:val="22"/>
                        </w:rPr>
                        <w:t>Viešoji transporto infrastruktūra</w:t>
                      </w:r>
                      <w:r>
                        <w:rPr>
                          <w:bCs/>
                          <w:sz w:val="22"/>
                          <w:szCs w:val="22"/>
                        </w:rPr>
                        <w:t xml:space="preserve"> </w:t>
                      </w:r>
                      <w:r>
                        <w:rPr>
                          <w:sz w:val="22"/>
                          <w:szCs w:val="22"/>
                        </w:rPr>
                        <w:t xml:space="preserve">– transporto infrastruktūra, </w:t>
                      </w:r>
                      <w:r>
                        <w:rPr>
                          <w:bCs/>
                          <w:sz w:val="22"/>
                          <w:szCs w:val="22"/>
                        </w:rPr>
                        <w:t>kuri skirta keleiviams, bagažui ir (arba) kroviniams vežti ir kurią sudaro viešoji geležinkelių infrastruktūra, Lietuvos valstybei nuosavybės teise priklausantys geležinkelių paslaugų įrenginiai, valstybinės reikšmės ir vietinės reikšmės viešieji keliai, tarptautinių oro uostų infrastruktūra, skrydžių valdymo sistemos įrenginiai, vidaus vandenų transporto infrastruktūra, jūrų uostų infrastruktūra.</w:t>
                      </w:r>
                      <w:r>
                        <w:rPr>
                          <w:bCs/>
                          <w:sz w:val="22"/>
                          <w:szCs w:val="22"/>
                          <w:lang w:eastAsia="lt-LT"/>
                        </w:rPr>
                        <w:t xml:space="preserve"> </w:t>
                      </w:r>
                      <w:r>
                        <w:rPr>
                          <w:bCs/>
                          <w:sz w:val="22"/>
                          <w:szCs w:val="22"/>
                        </w:rPr>
                        <w:t>Konkretūs viešosios transporto infrastruktūros objektai nurodyti specialiuosiuose transporto rūšių įstatymuose.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22 d."/>
                    <w:tag w:val="part_c8ba19ec93504ab19fe64e496c6951bf"/>
                    <w:lock w:val="sdtLocked"/>
                    <w:richText/>
                  </w:sdtPr>
                  <w:sdtContent>
                    <w:p>
                      <w:pPr>
                        <w:ind w:firstLine="720"/>
                        <w:jc w:val="both"/>
                      </w:pPr>
                      <w:sdt>
                        <w:sdtPr>
                          <w:alias w:val="Numeris"/>
                          <w:tag w:val="nr_c8ba19ec93504ab19fe64e496c6951bf"/>
                          <w:lock w:val="sdtLocked"/>
                          <w:richText/>
                        </w:sdtPr>
                        <w:sdtContent>
                          <w:r>
                            <w:rPr>
                              <w:sz w:val="22"/>
                              <w:szCs w:val="22"/>
                            </w:rPr>
                            <w:t>22</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3"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4"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5"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6"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7"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70b0c9021ab34f3d858f7c66f798c3b7"/>
                        <w:lock w:val="sdtLocked"/>
                        <w:richText/>
                      </w:sdtPr>
                      <w:sdtContent>
                        <w:p>
                          <w:pPr>
                            <w:ind w:firstLine="720"/>
                            <w:jc w:val="both"/>
                            <w:rPr>
                              <w:color w:val="000000"/>
                              <w:sz w:val="22"/>
                            </w:rPr>
                          </w:pPr>
                          <w:sdt>
                            <w:sdtPr>
                              <w:alias w:val="Numeris"/>
                              <w:tag w:val="nr_70b0c9021ab34f3d858f7c66f798c3b7"/>
                              <w:lock w:val="sdtLocked"/>
                              <w:richText/>
                            </w:sdtPr>
                            <w:sdtContent>
                              <w:r>
                                <w:rPr>
                                  <w:sz w:val="22"/>
                                  <w:szCs w:val="22"/>
                                </w:rPr>
                                <w:t>4</w:t>
                              </w:r>
                            </w:sdtContent>
                          </w:sdt>
                          <w:r>
                            <w:rPr>
                              <w:sz w:val="22"/>
                              <w:szCs w:val="22"/>
                            </w:rPr>
                            <w:t>) nustato privalomus reikalavimus transporto veiklai vykdyti valstybės institucijoms, asociacijoms, transporto infrastruktūros objektų valdytojams, transporto infrastruktūros objektų naudotojams;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8"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b8dd35f96ee44b818bceb5a00cf496ce"/>
                <w:lock w:val="sdtLocked"/>
                <w:richText/>
              </w:sdtPr>
              <w:sdtContent>
                <w:p>
                  <w:pPr>
                    <w:ind w:firstLine="720"/>
                    <w:jc w:val="both"/>
                    <w:rPr>
                      <w:color w:val="000000"/>
                      <w:sz w:val="22"/>
                      <w:szCs w:val="22"/>
                      <w:lang w:eastAsia="lt-LT"/>
                    </w:rPr>
                  </w:pPr>
                  <w:sdt>
                    <w:sdtPr>
                      <w:alias w:val="Numeris"/>
                      <w:tag w:val="nr_b8dd35f96ee44b818bceb5a00cf496ce"/>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b8dd35f96ee44b818bceb5a00cf496ce"/>
                      <w:lock w:val="sdtLocked"/>
                      <w:richText/>
                    </w:sdtPr>
                    <w:sdtContent>
                      <w:r>
                        <w:rPr>
                          <w:b/>
                          <w:bCs/>
                          <w:color w:val="000000"/>
                          <w:sz w:val="22"/>
                          <w:szCs w:val="22"/>
                          <w:lang w:eastAsia="lt-LT"/>
                        </w:rPr>
                        <w:t>Transporto objektų nuosavybė</w:t>
                      </w:r>
                    </w:sdtContent>
                  </w:sdt>
                </w:p>
                <w:sdt>
                  <w:sdtPr>
                    <w:alias w:val="6 str. 1 d."/>
                    <w:tag w:val="part_1def29abade94f16b663b1af9665c9f9"/>
                    <w:lock w:val="sdtLocked"/>
                    <w:richText/>
                  </w:sdtPr>
                  <w:sdtContent>
                    <w:p>
                      <w:pPr>
                        <w:ind w:firstLine="720"/>
                        <w:jc w:val="both"/>
                        <w:rPr>
                          <w:color w:val="000000"/>
                          <w:sz w:val="22"/>
                          <w:szCs w:val="22"/>
                          <w:lang w:eastAsia="lt-LT"/>
                        </w:rPr>
                      </w:pPr>
                      <w:sdt>
                        <w:sdtPr>
                          <w:alias w:val="Numeris"/>
                          <w:tag w:val="nr_1def29abade94f16b663b1af9665c9f9"/>
                          <w:lock w:val="sdtLocked"/>
                          <w:richText/>
                        </w:sdtPr>
                        <w:sdtContent>
                          <w:r>
                            <w:rPr>
                              <w:color w:val="000000"/>
                              <w:sz w:val="22"/>
                              <w:szCs w:val="22"/>
                              <w:lang w:eastAsia="lt-LT"/>
                            </w:rPr>
                            <w:t>1</w:t>
                          </w:r>
                        </w:sdtContent>
                      </w:sdt>
                      <w:r>
                        <w:rPr>
                          <w:color w:val="000000"/>
                          <w:sz w:val="22"/>
                          <w:szCs w:val="22"/>
                          <w:lang w:eastAsia="lt-LT"/>
                        </w:rPr>
                        <w:t>. Transporto objektai nuosavybės teise gali priklausyti Lietuvos valstybei, savivaldybėms, Lietuvos Respublikos ir užsienio fiziniams asmenims ir juridiniams asmenims.</w:t>
                      </w:r>
                    </w:p>
                  </w:sdtContent>
                </w:sdt>
                <w:sdt>
                  <w:sdtPr>
                    <w:alias w:val="6 str. 2 d."/>
                    <w:tag w:val="part_47b23a413af44668b8d35c68de9d5494"/>
                    <w:lock w:val="sdtLocked"/>
                    <w:richText/>
                  </w:sdtPr>
                  <w:sdtContent>
                    <w:p>
                      <w:pPr>
                        <w:ind w:firstLine="720"/>
                        <w:jc w:val="both"/>
                        <w:rPr>
                          <w:color w:val="000000"/>
                          <w:sz w:val="22"/>
                          <w:szCs w:val="22"/>
                          <w:lang w:eastAsia="lt-LT"/>
                        </w:rPr>
                      </w:pPr>
                      <w:sdt>
                        <w:sdtPr>
                          <w:alias w:val="Numeris"/>
                          <w:tag w:val="nr_47b23a413af44668b8d35c68de9d5494"/>
                          <w:lock w:val="sdtLocked"/>
                          <w:richText/>
                        </w:sdtPr>
                        <w:sdtContent>
                          <w:r>
                            <w:rPr>
                              <w:color w:val="000000"/>
                              <w:sz w:val="22"/>
                              <w:szCs w:val="22"/>
                              <w:lang w:eastAsia="lt-LT"/>
                            </w:rPr>
                            <w:t>2</w:t>
                          </w:r>
                        </w:sdtContent>
                      </w:sdt>
                      <w:r>
                        <w:rPr>
                          <w:color w:val="000000"/>
                          <w:sz w:val="22"/>
                          <w:szCs w:val="22"/>
                          <w:lang w:eastAsia="lt-LT"/>
                        </w:rPr>
                        <w:t>. Lietuvos valstybei išimtine nuosavybės teise priklauso valstybinės reikšmės vidaus vandenų keliai, viešoji geležinkelių infrastruktūra, Lietuvos valstybei nuosavybės teise priklausantys geležinkelių paslaugų įrenginiai, valstybinės reikšmės keliai ir šiems objektams priskirta žemė.</w:t>
                      </w:r>
                    </w:p>
                  </w:sdtContent>
                </w:sdt>
                <w:sdt>
                  <w:sdtPr>
                    <w:alias w:val="6 str. 3 d."/>
                    <w:tag w:val="part_dd47bf7268944a63b29988c3b79eada5"/>
                    <w:lock w:val="sdtLocked"/>
                    <w:richText/>
                  </w:sdtPr>
                  <w:sdtContent>
                    <w:p>
                      <w:pPr>
                        <w:ind w:firstLine="720"/>
                        <w:jc w:val="both"/>
                        <w:rPr>
                          <w:color w:val="000000"/>
                          <w:sz w:val="22"/>
                          <w:szCs w:val="22"/>
                          <w:lang w:eastAsia="lt-LT"/>
                        </w:rPr>
                      </w:pPr>
                      <w:sdt>
                        <w:sdtPr>
                          <w:alias w:val="Numeris"/>
                          <w:tag w:val="nr_dd47bf7268944a63b29988c3b79eada5"/>
                          <w:lock w:val="sdtLocked"/>
                          <w:richText/>
                        </w:sdtPr>
                        <w:sdtContent>
                          <w:r>
                            <w:rPr>
                              <w:color w:val="000000"/>
                              <w:sz w:val="22"/>
                              <w:szCs w:val="22"/>
                              <w:lang w:eastAsia="lt-LT"/>
                            </w:rPr>
                            <w:t>3</w:t>
                          </w:r>
                        </w:sdtContent>
                      </w:sdt>
                      <w:r>
                        <w:rPr>
                          <w:color w:val="000000"/>
                          <w:sz w:val="22"/>
                          <w:szCs w:val="22"/>
                          <w:lang w:eastAsia="lt-LT"/>
                        </w:rPr>
                        <w:t>. Viešosios transporto infrastruktūros objektai, išskyrus nurodytus šio straipsnio 2 dalyje, nuosavybės teise gali priklausyti Lietuvos valstybei, savivaldybei, uždarajai akcinei bendrovei ar akcinei bendrovei, kurių visos akcijos nuosavybės teise priklauso valstybei ar savivaldybei (toliau – valstybės ar savivaldybės valdoma bendrovė), ir uždarajai akcinei bendrovei ar akcinei bendrovei, kurių visos akcijos nuosavybės teise priklauso valstybės ar savivaldybės valdomai bendrovei. Kai viešosios transporto infrastruktūros objektai nuosavybės teise priklauso valstybės ar savivaldybės valdomai bendrovei, uždarajai akcinei bendrovei ar akcinei bendrovei, kurių visos akcijos nuosavybės teise priklauso valstybės ar savivaldybės valdomai bendrovei, šių bendrovių visos akcijos gali nuosavybės teise priklausyti tik valstybei, savivaldybei ar valstybės ar savivaldybės valdomai bendrovei.</w:t>
                      </w:r>
                    </w:p>
                  </w:sdtContent>
                </w:sdt>
                <w:sdt>
                  <w:sdtPr>
                    <w:alias w:val="6 str. 4 d."/>
                    <w:tag w:val="part_1a61c84d2f2a44aa8fe4242991aed22a"/>
                    <w:lock w:val="sdtLocked"/>
                    <w:richText/>
                  </w:sdtPr>
                  <w:sdtContent>
                    <w:p>
                      <w:pPr>
                        <w:ind w:firstLine="720"/>
                        <w:jc w:val="both"/>
                        <w:rPr>
                          <w:color w:val="000000"/>
                          <w:sz w:val="22"/>
                          <w:szCs w:val="22"/>
                          <w:lang w:eastAsia="lt-LT"/>
                        </w:rPr>
                      </w:pPr>
                      <w:sdt>
                        <w:sdtPr>
                          <w:alias w:val="Numeris"/>
                          <w:tag w:val="nr_1a61c84d2f2a44aa8fe4242991aed22a"/>
                          <w:lock w:val="sdtLocked"/>
                          <w:richText/>
                        </w:sdtPr>
                        <w:sdtContent>
                          <w:r>
                            <w:rPr>
                              <w:color w:val="000000"/>
                              <w:sz w:val="22"/>
                              <w:szCs w:val="22"/>
                              <w:lang w:eastAsia="lt-LT"/>
                            </w:rPr>
                            <w:t>4</w:t>
                          </w:r>
                        </w:sdtContent>
                      </w:sdt>
                      <w:r>
                        <w:rPr>
                          <w:color w:val="000000"/>
                          <w:sz w:val="22"/>
                          <w:szCs w:val="22"/>
                          <w:lang w:eastAsia="lt-LT"/>
                        </w:rPr>
                        <w:t>. Viešosios transporto infrastruktūros objektai, žemė, akvatorija (vandens plotai), kitas priskirtas ar sukurtas turtas yra valdomi nuosavybės teise arba valdomi, naudojami ir disponuojama jais turto patikėjimo teise vadovaujantis šiuo ir kitais įstatymais.</w:t>
                      </w:r>
                    </w:p>
                  </w:sdtContent>
                </w:sdt>
                <w:sdt>
                  <w:sdtPr>
                    <w:alias w:val="6 str. 5 d."/>
                    <w:tag w:val="part_6b833bdb7a4949738ce8fb9369cb1bad"/>
                    <w:lock w:val="sdtLocked"/>
                    <w:richText/>
                  </w:sdtPr>
                  <w:sdtContent>
                    <w:p>
                      <w:pPr>
                        <w:ind w:firstLine="720"/>
                        <w:jc w:val="both"/>
                        <w:rPr>
                          <w:color w:val="000000"/>
                          <w:sz w:val="22"/>
                          <w:szCs w:val="22"/>
                          <w:lang w:eastAsia="lt-LT"/>
                        </w:rPr>
                      </w:pPr>
                      <w:sdt>
                        <w:sdtPr>
                          <w:alias w:val="Numeris"/>
                          <w:tag w:val="nr_6b833bdb7a4949738ce8fb9369cb1bad"/>
                          <w:lock w:val="sdtLocked"/>
                          <w:richText/>
                        </w:sdtPr>
                        <w:sdtContent>
                          <w:r>
                            <w:rPr>
                              <w:color w:val="000000"/>
                              <w:sz w:val="22"/>
                              <w:szCs w:val="22"/>
                              <w:lang w:eastAsia="lt-LT"/>
                            </w:rPr>
                            <w:t>5</w:t>
                          </w:r>
                        </w:sdtContent>
                      </w:sdt>
                      <w:r>
                        <w:rPr>
                          <w:color w:val="000000"/>
                          <w:sz w:val="22"/>
                          <w:szCs w:val="22"/>
                          <w:lang w:eastAsia="lt-LT"/>
                        </w:rPr>
                        <w:t>. Viešosios transporto infrastruktūros objektais negali būti užtikrinamas kitų nei juos nuosavybės ar patikėjimo teise valdančių asmenų prievolių įvykdymas. Viešosios transporto infrastruktūros objektus, kurie pagal Lietuvos Respublikos nacionaliniam saugumui užtikrinti svarbių objektų apsaugos įstatymą pripažįstami nacionaliniam saugumui užtikrinti svarbiais įrenginiais ir turtu, nuosavybės ar patikėjimo teise valdančių asmenų prievolės šiais objektais gali būti užtikrinamos tik gavus Nacionaliniam saugumui užtikrinti svarbių objektų apsaugos koordinavimo komisijos leidimą. Į viešosios transporto infrastruktūros objektus negali būti nukreipti išieškojimai pagal kreditorių reikalavimus.</w:t>
                      </w:r>
                    </w:p>
                  </w:sdtContent>
                </w:sdt>
                <w:sdt>
                  <w:sdtPr>
                    <w:alias w:val="6 str. 6 d."/>
                    <w:tag w:val="part_dd57f27919ce4e6980bed032df1f65cb"/>
                    <w:lock w:val="sdtLocked"/>
                    <w:richText/>
                  </w:sdtPr>
                  <w:sdtContent>
                    <w:p>
                      <w:pPr>
                        <w:ind w:firstLine="720"/>
                        <w:jc w:val="both"/>
                      </w:pPr>
                      <w:sdt>
                        <w:sdtPr>
                          <w:alias w:val="Numeris"/>
                          <w:tag w:val="nr_dd57f27919ce4e6980bed032df1f65cb"/>
                          <w:lock w:val="sdtLocked"/>
                          <w:richText/>
                        </w:sdtPr>
                        <w:sdtContent>
                          <w:r>
                            <w:rPr>
                              <w:color w:val="000000"/>
                              <w:sz w:val="22"/>
                              <w:szCs w:val="22"/>
                              <w:lang w:eastAsia="lt-LT"/>
                            </w:rPr>
                            <w:t>6</w:t>
                          </w:r>
                        </w:sdtContent>
                      </w:sdt>
                      <w:r>
                        <w:rPr>
                          <w:color w:val="000000"/>
                          <w:sz w:val="22"/>
                          <w:szCs w:val="22"/>
                          <w:lang w:eastAsia="lt-LT"/>
                        </w:rPr>
                        <w:t>. Privačios transporto infrastruktūros savininkas yra fizinis ar juridinis asmuo.</w:t>
                      </w:r>
                    </w:p>
                  </w:sdtContent>
                </w:sdt>
                <w:p>
                  <w:pPr>
                    <w:jc w:val="both"/>
                    <w:rPr>
                      <w:i/>
                      <w:iCs/>
                      <w:color w:val="000000"/>
                      <w:sz w:val="20"/>
                      <w:lang w:eastAsia="lt-LT"/>
                    </w:rPr>
                  </w:pPr>
                  <w:r>
                    <w:rPr>
                      <w:i/>
                      <w:iCs/>
                      <w:color w:val="000000"/>
                      <w:sz w:val="20"/>
                      <w:lang w:eastAsia="lt-LT"/>
                    </w:rPr>
                    <w:t>Straipsnio pakeitimai:</w:t>
                  </w:r>
                </w:p>
                <w:p>
                  <w:pPr>
                    <w:jc w:val="both"/>
                    <w:rPr>
                      <w:i/>
                      <w:iCs/>
                      <w:color w:val="000000"/>
                      <w:sz w:val="20"/>
                      <w:lang w:eastAsia="lt-LT"/>
                    </w:rPr>
                  </w:pPr>
                  <w:r>
                    <w:rPr>
                      <w:i/>
                      <w:iCs/>
                      <w:color w:val="000000"/>
                      <w:sz w:val="20"/>
                      <w:lang w:eastAsia="lt-LT"/>
                    </w:rPr>
                    <w:t xml:space="preserve">Nr. </w:t>
                  </w:r>
                  <w:hyperlink r:id="rId19" w:history="1">
                    <w:r>
                      <w:rPr>
                        <w:rStyle w:val="Hipersaitas"/>
                        <w:i/>
                        <w:iCs/>
                        <w:sz w:val="20"/>
                        <w:lang w:eastAsia="lt-LT"/>
                      </w:rPr>
                      <w:t>IX-1866</w:t>
                    </w:r>
                  </w:hyperlink>
                  <w:r>
                    <w:rPr>
                      <w:i/>
                      <w:iCs/>
                      <w:color w:val="000000"/>
                      <w:sz w:val="20"/>
                      <w:lang w:eastAsia="lt-LT"/>
                    </w:rPr>
                    <w:t>, 2003-12-02, Žin., 2003, Nr. 119-5403 (2003-12-18)</w:t>
                  </w:r>
                </w:p>
                <w:p>
                  <w:pPr>
                    <w:jc w:val="both"/>
                    <w:rPr>
                      <w:i/>
                      <w:iCs/>
                      <w:color w:val="000000"/>
                      <w:sz w:val="20"/>
                      <w:lang w:eastAsia="lt-LT"/>
                    </w:rPr>
                  </w:pPr>
                  <w:r>
                    <w:rPr>
                      <w:i/>
                      <w:iCs/>
                      <w:color w:val="000000"/>
                      <w:sz w:val="20"/>
                      <w:lang w:eastAsia="lt-LT"/>
                    </w:rPr>
                    <w:t xml:space="preserve">Nr. </w:t>
                  </w:r>
                  <w:hyperlink r:id="rId20" w:history="1">
                    <w:r>
                      <w:rPr>
                        <w:rStyle w:val="Hipersaitas"/>
                        <w:i/>
                        <w:iCs/>
                        <w:sz w:val="20"/>
                        <w:lang w:eastAsia="lt-LT"/>
                      </w:rPr>
                      <w:t>IX-2196</w:t>
                    </w:r>
                  </w:hyperlink>
                  <w:r>
                    <w:rPr>
                      <w:i/>
                      <w:iCs/>
                      <w:color w:val="000000"/>
                      <w:sz w:val="20"/>
                      <w:lang w:eastAsia="lt-LT"/>
                    </w:rPr>
                    <w:t>, 2004-04-29, Žin., 2004, Nr. 73-2530 (2004-04-30)</w:t>
                  </w:r>
                </w:p>
                <w:p>
                  <w:pPr>
                    <w:jc w:val="both"/>
                    <w:rPr>
                      <w:color w:val="000000"/>
                      <w:sz w:val="22"/>
                    </w:rPr>
                  </w:pPr>
                  <w:r>
                    <w:rPr>
                      <w:i/>
                      <w:color w:val="000000"/>
                      <w:sz w:val="20"/>
                      <w:lang w:eastAsia="lt-LT"/>
                    </w:rPr>
                    <w:t xml:space="preserve">Nr. </w:t>
                  </w:r>
                  <w:hyperlink r:id="rId21" w:history="1">
                    <w:r>
                      <w:rPr>
                        <w:rStyle w:val="Hipersaitas"/>
                        <w:i/>
                        <w:sz w:val="20"/>
                        <w:lang w:eastAsia="lt-LT"/>
                      </w:rPr>
                      <w:t>XI-1832</w:t>
                    </w:r>
                  </w:hyperlink>
                  <w:r>
                    <w:rPr>
                      <w:i/>
                      <w:color w:val="000000"/>
                      <w:sz w:val="20"/>
                      <w:lang w:eastAsia="lt-LT"/>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2ff461262de94a2a95ddbf0e63d4d96d"/>
                    <w:lock w:val="sdtLocked"/>
                    <w:richText/>
                  </w:sdtPr>
                  <w:sdtContent>
                    <w:p>
                      <w:pPr>
                        <w:ind w:firstLine="720"/>
                        <w:jc w:val="both"/>
                        <w:rPr>
                          <w:b/>
                          <w:color w:val="000000"/>
                          <w:sz w:val="22"/>
                        </w:rPr>
                      </w:pPr>
                      <w:sdt>
                        <w:sdtPr>
                          <w:alias w:val="Numeris"/>
                          <w:tag w:val="nr_2ff461262de94a2a95ddbf0e63d4d96d"/>
                          <w:lock w:val="sdtLocked"/>
                          <w:richText/>
                        </w:sdtPr>
                        <w:sdtContent>
                          <w:r>
                            <w:rPr>
                              <w:sz w:val="22"/>
                              <w:szCs w:val="22"/>
                            </w:rPr>
                            <w:t>3</w:t>
                          </w:r>
                        </w:sdtContent>
                      </w:sdt>
                      <w:r>
                        <w:rPr>
                          <w:sz w:val="22"/>
                          <w:szCs w:val="22"/>
                        </w:rPr>
                        <w:t xml:space="preserve">. Lėšos, gautos už naudojimąsi viešąja transporto infrastruktūra, naudojamos tik šios infrastruktūros funkcionavimui užtikrinti ir šio Įstatymo 15 straipsnio 2 dalyje numatytoms programoms finansuoti. Šis reikalavimas netaikomas tais atvejais,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 kai viešosios</w:t>
                      </w:r>
                      <w:r>
                        <w:rPr>
                          <w:sz w:val="22"/>
                          <w:szCs w:val="22"/>
                        </w:rPr>
                        <w:t xml:space="preserve"> transporto infrastruktūros valdymas perduodamas investuotojui teisės aktų nustatyta tvarka pagal koncesijos ar valdžios ir privataus subjektų partnerystės sutartį, kurioje nustatoma pareiga investuotojui užtikrinti tinkamą perduotos viešosios transporto infrastruktūros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b1ca0ed19518447bbbea78a62b408826"/>
                <w:lock w:val="sdtLocked"/>
                <w:richText/>
              </w:sdtPr>
              <w:sdtContent>
                <w:p>
                  <w:pPr>
                    <w:ind w:firstLine="720"/>
                    <w:jc w:val="both"/>
                    <w:rPr>
                      <w:sz w:val="22"/>
                      <w:szCs w:val="22"/>
                    </w:rPr>
                  </w:pPr>
                  <w:sdt>
                    <w:sdtPr>
                      <w:alias w:val="Numeris"/>
                      <w:tag w:val="nr_b1ca0ed19518447bbbea78a62b408826"/>
                      <w:lock w:val="sdtLocked"/>
                      <w:richText/>
                    </w:sdtPr>
                    <w:sdtContent>
                      <w:r>
                        <w:rPr>
                          <w:b/>
                          <w:sz w:val="22"/>
                          <w:szCs w:val="22"/>
                        </w:rPr>
                        <w:t>11</w:t>
                      </w:r>
                    </w:sdtContent>
                  </w:sdt>
                  <w:r>
                    <w:rPr>
                      <w:b/>
                      <w:sz w:val="22"/>
                      <w:szCs w:val="22"/>
                    </w:rPr>
                    <w:t xml:space="preserve"> straipsnis. </w:t>
                  </w:r>
                  <w:sdt>
                    <w:sdtPr>
                      <w:alias w:val="Pavadinimas"/>
                      <w:tag w:val="title_b1ca0ed19518447bbbea78a62b408826"/>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79baf92a5b234a848b74265ae5865740"/>
                    <w:lock w:val="sdtLocked"/>
                    <w:richText/>
                  </w:sdtPr>
                  <w:sdtContent>
                    <w:p>
                      <w:pPr>
                        <w:ind w:firstLine="720"/>
                        <w:jc w:val="both"/>
                        <w:rPr>
                          <w:sz w:val="22"/>
                          <w:szCs w:val="22"/>
                        </w:rPr>
                      </w:pPr>
                      <w:sdt>
                        <w:sdtPr>
                          <w:alias w:val="Numeris"/>
                          <w:tag w:val="nr_79baf92a5b234a848b74265ae5865740"/>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 ir riboto judumo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1 d."/>
                    <w:tag w:val="part_822b77fa7edc459a96cf9fbe93b3476c"/>
                    <w:lock w:val="sdtLocked"/>
                    <w:richText/>
                  </w:sdtPr>
                  <w:sdtContent>
                    <w:p>
                      <w:pPr>
                        <w:ind w:firstLine="720"/>
                        <w:jc w:val="both"/>
                      </w:pPr>
                      <w:sdt>
                        <w:sdtPr>
                          <w:alias w:val="Numeris"/>
                          <w:tag w:val="nr_822b77fa7edc459a96cf9fbe93b3476c"/>
                          <w:lock w:val="sdtLocked"/>
                          <w:richText/>
                        </w:sdtPr>
                        <w:sdtContent>
                          <w:r>
                            <w:rPr>
                              <w:sz w:val="22"/>
                              <w:szCs w:val="22"/>
                            </w:rPr>
                            <w:t>2</w:t>
                          </w:r>
                          <w:r>
                            <w:rPr>
                              <w:sz w:val="22"/>
                              <w:szCs w:val="22"/>
                              <w:vertAlign w:val="superscript"/>
                            </w:rPr>
                            <w:t>1</w:t>
                          </w:r>
                        </w:sdtContent>
                      </w:sdt>
                      <w:r>
                        <w:rPr>
                          <w:sz w:val="22"/>
                          <w:szCs w:val="22"/>
                        </w:rPr>
                        <w:t>. Viešojo transporto priemonės, vežančios keleivius automobilių ir vidaus vandenų keliais, turi būti pritaikytos neįgaliesiems ir riboto judumo asmenims – jose turi būti įrengtos šių asmenų informavimo, mobilumo užtikrinimo ir saugaus vykimo viešuoju transportu priemonės pagal susisiekimo ministro tvirtinamus viešojo transporto priemonių pritaikymo neįgaliesiems ir riboto judumo asmenims reikalavimus. Ši nuostata netaikoma tarptautiniam susisiekimui naudojamoms viešojo transporto priemonėms.</w:t>
                      </w:r>
                      <w:r>
                        <w:t xml:space="preserve"> </w:t>
                      </w:r>
                    </w:p>
                    <w:p>
                      <w:pPr>
                        <w:jc w:val="both"/>
                      </w:pPr>
                      <w:r>
                        <w:rPr>
                          <w:b/>
                          <w:i/>
                          <w:sz w:val="20"/>
                        </w:rPr>
                        <w:t>TAR pastaba.</w:t>
                      </w:r>
                      <w:r>
                        <w:rPr>
                          <w:i/>
                          <w:sz w:val="20"/>
                        </w:rPr>
                        <w:t xml:space="preserve"> 11 straipsnio 2</w:t>
                      </w:r>
                      <w:r>
                        <w:rPr>
                          <w:i/>
                          <w:sz w:val="20"/>
                          <w:vertAlign w:val="superscript"/>
                        </w:rPr>
                        <w:t>1</w:t>
                      </w:r>
                      <w:r>
                        <w:rPr>
                          <w:i/>
                          <w:sz w:val="20"/>
                        </w:rPr>
                        <w:t xml:space="preserve"> dalies nuostatos taikomos įsigaliojus (2022-11-01) įstatymui Nr. </w:t>
                      </w:r>
                      <w:r>
                        <w:rPr>
                          <w:i/>
                          <w:sz w:val="20"/>
                          <w:lang w:val="en-US"/>
                        </w:rPr>
                        <w:t>XIV-1141</w:t>
                      </w:r>
                      <w:r>
                        <w:rPr>
                          <w:i/>
                          <w:sz w:val="20"/>
                        </w:rPr>
                        <w:t xml:space="preserve"> pirmą kartą Lietuvos Respublikoje registruojamoms viešojo transporto priemonėms, išskyrus atvejus, kai Lietuvos Respublikos teisės aktais reglamentuojamos transporto priemonių pirkimo procedūros buvo pradėtos iki įsigaliojant (2022-11-01) įstatymui Nr.</w:t>
                      </w:r>
                      <w:r>
                        <w:rPr>
                          <w:i/>
                          <w:sz w:val="20"/>
                          <w:lang w:val="en-US"/>
                        </w:rPr>
                        <w:t xml:space="preserve"> XIV-1141.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2 d."/>
                    <w:tag w:val="part_a15185cbc1724a15a0a3d069afa81972"/>
                    <w:lock w:val="sdtLocked"/>
                    <w:richText/>
                  </w:sdtPr>
                  <w:sdtContent>
                    <w:p>
                      <w:pPr>
                        <w:ind w:firstLine="720"/>
                        <w:jc w:val="both"/>
                        <w:rPr>
                          <w:sz w:val="22"/>
                          <w:szCs w:val="22"/>
                        </w:rPr>
                      </w:pPr>
                      <w:sdt>
                        <w:sdtPr>
                          <w:alias w:val="Numeris"/>
                          <w:tag w:val="nr_a15185cbc1724a15a0a3d069afa81972"/>
                          <w:lock w:val="sdtLocked"/>
                          <w:richText/>
                        </w:sdtPr>
                        <w:sdtContent>
                          <w:r>
                            <w:rPr>
                              <w:sz w:val="22"/>
                              <w:szCs w:val="22"/>
                            </w:rPr>
                            <w:t>2</w:t>
                          </w:r>
                          <w:r>
                            <w:rPr>
                              <w:sz w:val="22"/>
                              <w:szCs w:val="22"/>
                              <w:vertAlign w:val="superscript"/>
                            </w:rPr>
                            <w:t>2</w:t>
                          </w:r>
                        </w:sdtContent>
                      </w:sdt>
                      <w:r>
                        <w:rPr>
                          <w:sz w:val="22"/>
                          <w:szCs w:val="22"/>
                        </w:rPr>
                        <w:t>. Keleiviams geležinkeliais vežti naudojami geležinkelių riedmenys, kaip jie apibrėžiami Lietuvos Respublikos geležinkelių transporto eismo saugos įstatyme, turi būti pritaikyti neįgaliesiems ir riboto judumo asmenims vadovaujantis 2014 m. lapkričio 18 d. Komisijos reglamente (ES) Nr. 1300/2014 dėl Sąjungos geležinkelių sistemos prieinamumo neįgaliesiems ir riboto judumo asmenims techninių sąveikos specifikacijų su paskutiniais pakeitimais, padarytais 2019 m. gegužės 16 d. Komisijos įgyvendinimo reglamentu (ES) 2019/772, nustatytomis sąlygomis ir tvarka. Reikalavimas pritaikyti geležinkelių riedmenis neįgaliesiems ir riboto judumo asmenims vežti netaikomas siaurųjų geležinkelių (600 mm ir 750 mm pločio vėžių) tinkluose ir tarptautiniam susisiekimui geležinkeliais su trečiosiomis šalimis naudojamoms transporto priemonėms.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11 str. 3 d."/>
                    <w:tag w:val="part_08f3bddadbe74c4b83b2f9de6c749937"/>
                    <w:lock w:val="sdtLocked"/>
                    <w:richText/>
                  </w:sdtPr>
                  <w:sdtContent>
                    <w:p>
                      <w:pPr>
                        <w:ind w:firstLine="720"/>
                        <w:jc w:val="both"/>
                        <w:rPr>
                          <w:sz w:val="22"/>
                          <w:szCs w:val="22"/>
                        </w:rPr>
                      </w:pPr>
                      <w:sdt>
                        <w:sdtPr>
                          <w:alias w:val="Numeris"/>
                          <w:tag w:val="nr_08f3bddadbe74c4b83b2f9de6c749937"/>
                          <w:lock w:val="sdtLocked"/>
                          <w:richText/>
                        </w:sdtPr>
                        <w:sdtContent>
                          <w:r>
                            <w:rPr>
                              <w:color w:val="000000"/>
                              <w:sz w:val="22"/>
                              <w:szCs w:val="22"/>
                            </w:rPr>
                            <w:t>3</w:t>
                          </w:r>
                        </w:sdtContent>
                      </w:sdt>
                      <w:r>
                        <w:rPr>
                          <w:color w:val="000000"/>
                          <w:sz w:val="22"/>
                          <w:szCs w:val="22"/>
                        </w:rPr>
                        <w:t xml:space="preserve">. Asmens duomenys intelektinių transporto sistemų ir sąveikiųjų intelektinių transporto sistemų srityse tvarkomi vadovaujantis Lietuvos Respublikos asmens duomenų teisinės apsaugos įstatymo, Lietuvos Respublikos elektroninių ryšių įstatymo ir 2016 m. balandžio 27 d. Europos Parlamento ir Tarybos reglamento </w:t>
                      </w:r>
                      <w:hyperlink r:id="rId23" w:tgtFrame="_blank" w:history="1">
                        <w:r>
                          <w:rPr>
                            <w:color w:val="0000FF" w:themeColor="hyperlink"/>
                            <w:sz w:val="22"/>
                            <w:szCs w:val="22"/>
                            <w:u w:val="single"/>
                          </w:rPr>
                          <w:t>(ES) 2016/679</w:t>
                        </w:r>
                      </w:hyperlink>
                      <w:r>
                        <w:rPr>
                          <w:color w:val="000000"/>
                          <w:sz w:val="22"/>
                          <w:szCs w:val="22"/>
                        </w:rPr>
                        <w:t xml:space="preserve"> dėl fizinių asmenų apsaugos tvarkant asmens duomenis ir dėl laisvo tokių duomenų judėjimo ir kuriuo panaikinama Direktyva </w:t>
                      </w:r>
                      <w:hyperlink r:id="rId24" w:tgtFrame="_blank" w:history="1">
                        <w:r>
                          <w:rPr>
                            <w:color w:val="0000FF" w:themeColor="hyperlink"/>
                            <w:sz w:val="22"/>
                            <w:szCs w:val="22"/>
                            <w:u w:val="single"/>
                          </w:rPr>
                          <w:t>95/46/EB</w:t>
                        </w:r>
                      </w:hyperlink>
                      <w:r>
                        <w:rPr>
                          <w:color w:val="000000"/>
                          <w:sz w:val="22"/>
                          <w:szCs w:val="22"/>
                        </w:rPr>
                        <w:t xml:space="preserve"> (Bendrojo duomenų apsaugos reglamento) nuostatomis. Tais atvejais, kai nėra būtini asmens tapatybę nustatantys duomenys, intelektinių transporto sistemų ir sąveikiųjų intelektinių transporto sistemų srityse tvarkomi tokie duomenys, iš kurių negalima nustatyti asmens tapatybės.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11 str. 4 d."/>
                    <w:tag w:val="part_860b4e18c8034f6a8e8ede0378b5b5a4"/>
                    <w:lock w:val="sdtLocked"/>
                    <w:richText/>
                  </w:sdtPr>
                  <w:sdtContent>
                    <w:p>
                      <w:pPr>
                        <w:ind w:firstLine="720"/>
                        <w:jc w:val="both"/>
                        <w:rPr>
                          <w:sz w:val="22"/>
                          <w:szCs w:val="22"/>
                        </w:rPr>
                      </w:pPr>
                      <w:sdt>
                        <w:sdtPr>
                          <w:alias w:val="Numeris"/>
                          <w:tag w:val="nr_860b4e18c8034f6a8e8ede0378b5b5a4"/>
                          <w:lock w:val="sdtLocked"/>
                          <w:richText/>
                        </w:sdtPr>
                        <w:sdtContent>
                          <w:r>
                            <w:rPr>
                              <w:color w:val="000000"/>
                              <w:sz w:val="22"/>
                              <w:szCs w:val="22"/>
                            </w:rPr>
                            <w:t>4</w:t>
                          </w:r>
                        </w:sdtContent>
                      </w:sdt>
                      <w:r>
                        <w:rPr>
                          <w:color w:val="000000"/>
                          <w:sz w:val="22"/>
                          <w:szCs w:val="22"/>
                        </w:rPr>
                        <w:t>. Atsakomybę už intelektinių transporto sistemų ir sąveikiųjų intelektinių transporto sistemų prietaikų ir paslaugų saugos ir kokybės pažeidimus reglamentuoja Lietuvos Respublikos produktų saugos įstatymas ir Lietuvos Respublikos administracinių nusižengimų kodeksas.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11 str. 5 d."/>
                    <w:tag w:val="part_888631cb41da4f21ab2d2c76607a3922"/>
                    <w:lock w:val="sdtLocked"/>
                    <w:richText/>
                  </w:sdtPr>
                  <w:sdtContent>
                    <w:p>
                      <w:pPr>
                        <w:ind w:firstLine="720"/>
                        <w:jc w:val="both"/>
                        <w:rPr>
                          <w:color w:val="000000"/>
                          <w:sz w:val="22"/>
                          <w:szCs w:val="22"/>
                        </w:rPr>
                      </w:pPr>
                      <w:sdt>
                        <w:sdtPr>
                          <w:alias w:val="Numeris"/>
                          <w:tag w:val="nr_888631cb41da4f21ab2d2c76607a3922"/>
                          <w:lock w:val="sdtLocked"/>
                          <w:richText/>
                        </w:sdtPr>
                        <w:sdtContent>
                          <w:r>
                            <w:rPr>
                              <w:color w:val="000000"/>
                              <w:sz w:val="22"/>
                              <w:szCs w:val="22"/>
                            </w:rPr>
                            <w:t>5</w:t>
                          </w:r>
                        </w:sdtContent>
                      </w:sdt>
                      <w:r>
                        <w:rPr>
                          <w:color w:val="000000"/>
                          <w:sz w:val="22"/>
                          <w:szCs w:val="22"/>
                        </w:rPr>
                        <w:t>. Žala, atsiradusi dėl netinkamų intelektinių transporto sistemų ir sąveikiųjų intelektinių transporto sistemų prietaikų ir paslaugų, atlyginama vadovaujantis Lietuvos Respublikos civilinio kodekso nuostatomis.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dfb9d35dc4ac4bdf84cc720ca68e5261"/>
                    <w:lock w:val="sdtLocked"/>
                    <w:richText/>
                  </w:sdtPr>
                  <w:sdtContent>
                    <w:p>
                      <w:pPr>
                        <w:ind w:firstLine="720"/>
                        <w:jc w:val="both"/>
                        <w:rPr>
                          <w:bCs/>
                          <w:sz w:val="22"/>
                          <w:szCs w:val="22"/>
                        </w:rPr>
                      </w:pPr>
                      <w:sdt>
                        <w:sdtPr>
                          <w:alias w:val="Numeris"/>
                          <w:tag w:val="nr_dfb9d35dc4ac4bdf84cc720ca68e5261"/>
                          <w:lock w:val="sdtLocked"/>
                          <w:richText/>
                        </w:sdtPr>
                        <w:sdtContent>
                          <w:r>
                            <w:rPr>
                              <w:sz w:val="22"/>
                              <w:szCs w:val="22"/>
                            </w:rPr>
                            <w:t>1</w:t>
                          </w:r>
                        </w:sdtContent>
                      </w:sdt>
                      <w:r>
                        <w:rPr>
                          <w:sz w:val="22"/>
                          <w:szCs w:val="22"/>
                        </w:rPr>
                        <w:t xml:space="preserve">. Kombinuotasis vežimas – krovinių vežimas tarp Europos Sąjungos valstybių narių </w:t>
                      </w:r>
                      <w:r>
                        <w:rPr>
                          <w:bCs/>
                          <w:sz w:val="22"/>
                          <w:szCs w:val="22"/>
                        </w:rPr>
                        <w:t>tuo pačiu</w:t>
                      </w:r>
                      <w:r>
                        <w:rPr>
                          <w:sz w:val="22"/>
                          <w:szCs w:val="22"/>
                        </w:rPr>
                        <w:t xml:space="preserve"> sunkvežimiu, priekaba ar puspriekabe (su vilkiku ar be jo), taip pat ta pačia keičiama talpykla arba konteineriu</w:t>
                      </w:r>
                      <w:r>
                        <w:rPr>
                          <w:bCs/>
                          <w:sz w:val="22"/>
                          <w:szCs w:val="22"/>
                        </w:rPr>
                        <w:t>, kurių ilgis 6,096 m (20 pėdų) ar didesnis, kai pradinė ir (arba) paskutinė maršruto dalis vyksta keliu (-iais), o kita maršruto dalis turi vykti geležinkelio linija (</w:t>
                        <w:noBreakHyphen/>
                        <w:t>omis), vidaus vandenų keliu (</w:t>
                        <w:noBreakHyphen/>
                        <w:t>iais) arba jūrų keliu (-iais) ir kai geležinkelio linija (-omis), vidaus vandenų keliu (-iais) arba jūrų keliu (-iais) nuvažiuojamas didesnis nei 100 km atstumas matuojant tiesia linija. Kroviniai keliu (</w:t>
                        <w:noBreakHyphen/>
                        <w:t>iais) turi būti vežami:</w:t>
                      </w:r>
                    </w:p>
                    <w:sdt>
                      <w:sdtPr>
                        <w:alias w:val="12 str. 1 d. 1 p."/>
                        <w:tag w:val="part_ee571627dbf04a38a90dd23bfc0dc847"/>
                        <w:lock w:val="sdtLocked"/>
                        <w:richText/>
                      </w:sdtPr>
                      <w:sdtContent>
                        <w:p>
                          <w:pPr>
                            <w:ind w:firstLine="720"/>
                            <w:jc w:val="both"/>
                            <w:rPr>
                              <w:bCs/>
                              <w:sz w:val="22"/>
                              <w:szCs w:val="22"/>
                            </w:rPr>
                          </w:pPr>
                          <w:sdt>
                            <w:sdtPr>
                              <w:alias w:val="Numeris"/>
                              <w:tag w:val="nr_ee571627dbf04a38a90dd23bfc0dc847"/>
                              <w:lock w:val="sdtLocked"/>
                              <w:richText/>
                            </w:sdtPr>
                            <w:sdtContent>
                              <w:r>
                                <w:rPr>
                                  <w:bCs/>
                                  <w:sz w:val="22"/>
                                  <w:szCs w:val="22"/>
                                </w:rPr>
                                <w:t>1</w:t>
                              </w:r>
                            </w:sdtContent>
                          </w:sdt>
                          <w:r>
                            <w:rPr>
                              <w:bCs/>
                              <w:sz w:val="22"/>
                              <w:szCs w:val="22"/>
                            </w:rPr>
                            <w:t>) pradinėje maršruto dalyje iš pakrovimo vietos iki artimiausios tinkamos geležinkelio pakrovimo stoties ir (arba) iš artimiausios tinkamos geležinkelio iškrovimo stoties iki iškrovimo vietos paskutinėje maršruto dalyje;</w:t>
                          </w:r>
                        </w:p>
                      </w:sdtContent>
                    </w:sdt>
                    <w:sdt>
                      <w:sdtPr>
                        <w:alias w:val="12 str. 1 d. 2 p."/>
                        <w:tag w:val="part_5ca0111eecd041f9971e161b3598b970"/>
                        <w:lock w:val="sdtLocked"/>
                        <w:richText/>
                      </w:sdtPr>
                      <w:sdtContent>
                        <w:p>
                          <w:pPr>
                            <w:ind w:firstLine="720"/>
                            <w:jc w:val="both"/>
                            <w:rPr>
                              <w:sz w:val="22"/>
                              <w:szCs w:val="22"/>
                            </w:rPr>
                          </w:pPr>
                          <w:sdt>
                            <w:sdtPr>
                              <w:alias w:val="Numeris"/>
                              <w:tag w:val="nr_5ca0111eecd041f9971e161b3598b970"/>
                              <w:lock w:val="sdtLocked"/>
                              <w:richText/>
                            </w:sdtPr>
                            <w:sdtContent>
                              <w:r>
                                <w:rPr>
                                  <w:bCs/>
                                  <w:sz w:val="22"/>
                                  <w:szCs w:val="22"/>
                                </w:rPr>
                                <w:t>2</w:t>
                              </w:r>
                            </w:sdtContent>
                          </w:sdt>
                          <w:r>
                            <w:rPr>
                              <w:bCs/>
                              <w:sz w:val="22"/>
                              <w:szCs w:val="22"/>
                            </w:rPr>
                            <w:t>) ne didesniu kaip 150 km atstumu matuojant tiesia linija iš pakrovimo ar iškrovimo vidaus vandenų uosto arba jūrų uosto.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6b92000e111ed8fa7d02a65c371ad">
                        <w:r w:rsidRPr="00532B9F">
                          <w:rPr>
                            <w:rFonts w:ascii="Times New Roman" w:eastAsia="MS Mincho" w:hAnsi="Times New Roman"/>
                            <w:sz w:val="20"/>
                            <w:i/>
                            <w:iCs/>
                            <w:color w:val="0000FF" w:themeColor="hyperlink"/>
                            <w:u w:val="single"/>
                          </w:rPr>
                          <w:t>XIV-1168</w:t>
                        </w:r>
                      </w:fldSimple>
                      <w:r>
                        <w:rPr>
                          <w:rFonts w:ascii="Times New Roman" w:eastAsia="MS Mincho" w:hAnsi="Times New Roman"/>
                          <w:sz w:val="20"/>
                          <w:i/>
                          <w:iCs/>
                        </w:rPr>
                        <w:t>,
2022-06-23,
paskelbta TAR 2022-07-11, i. k. 2022-15162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ee8d24da511f0b070ee7f1ceefc75">
                        <w:r w:rsidRPr="00532B9F">
                          <w:rPr>
                            <w:rFonts w:ascii="Times New Roman" w:eastAsia="MS Mincho" w:hAnsi="Times New Roman"/>
                            <w:sz w:val="20"/>
                            <w:i/>
                            <w:iCs/>
                            <w:color w:val="0000FF" w:themeColor="hyperlink"/>
                            <w:u w:val="single"/>
                          </w:rPr>
                          <w:t>XV-288</w:t>
                        </w:r>
                      </w:fldSimple>
                      <w:r>
                        <w:rPr>
                          <w:rFonts w:ascii="Times New Roman" w:eastAsia="MS Mincho" w:hAnsi="Times New Roman"/>
                          <w:sz w:val="20"/>
                          <w:i/>
                          <w:iCs/>
                        </w:rPr>
                        <w:t>,
2025-06-17,
paskelbta TAR 2025-06-20, i. k. 2025-11224            </w:t>
                      </w:r>
                    </w:p>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0d7ed9b9c9224c7886436dd23a47a460"/>
                <w:lock w:val="sdtLocked"/>
                <w:richText/>
              </w:sdtPr>
              <w:sdtContent>
                <w:p>
                  <w:pPr>
                    <w:ind w:left="2364" w:hanging="1644"/>
                    <w:jc w:val="both"/>
                    <w:rPr>
                      <w:color w:val="000000"/>
                      <w:sz w:val="22"/>
                      <w:szCs w:val="22"/>
                    </w:rPr>
                  </w:pPr>
                  <w:sdt>
                    <w:sdtPr>
                      <w:alias w:val="Numeris"/>
                      <w:tag w:val="nr_0d7ed9b9c9224c7886436dd23a47a460"/>
                      <w:lock w:val="sdtLocked"/>
                      <w:richText/>
                    </w:sdtPr>
                    <w:sdtContent>
                      <w:r>
                        <w:rPr>
                          <w:b/>
                          <w:bCs/>
                          <w:color w:val="000000"/>
                          <w:sz w:val="22"/>
                          <w:szCs w:val="22"/>
                        </w:rPr>
                        <w:t>13</w:t>
                      </w:r>
                      <w:r>
                        <w:rPr>
                          <w:b/>
                          <w:bCs/>
                          <w:color w:val="000000"/>
                          <w:sz w:val="22"/>
                          <w:szCs w:val="22"/>
                          <w:vertAlign w:val="superscript"/>
                        </w:rPr>
                        <w:t>1</w:t>
                      </w:r>
                    </w:sdtContent>
                  </w:sdt>
                  <w:r>
                    <w:rPr>
                      <w:b/>
                      <w:bCs/>
                      <w:color w:val="000000"/>
                      <w:sz w:val="22"/>
                      <w:szCs w:val="22"/>
                    </w:rPr>
                    <w:t xml:space="preserve"> straipsnis. </w:t>
                  </w:r>
                  <w:sdt>
                    <w:sdtPr>
                      <w:alias w:val="Pavadinimas"/>
                      <w:tag w:val="title_0d7ed9b9c9224c7886436dd23a47a460"/>
                      <w:lock w:val="sdtLocked"/>
                      <w:richText/>
                    </w:sdtPr>
                    <w:sdtContent>
                      <w:r>
                        <w:rPr>
                          <w:b/>
                          <w:bCs/>
                          <w:color w:val="000000"/>
                          <w:sz w:val="22"/>
                          <w:szCs w:val="22"/>
                        </w:rPr>
                        <w:t>Intelektinių transporto sistemų ir sąveikiųjų intelektinių transporto sistemų koordinavimas</w:t>
                      </w:r>
                    </w:sdtContent>
                  </w:sdt>
                </w:p>
                <w:sdt>
                  <w:sdtPr>
                    <w:alias w:val="13-1 str. 1 d."/>
                    <w:tag w:val="part_0d35280bd7874d938323de611ea67b9b"/>
                    <w:lock w:val="sdtLocked"/>
                    <w:richText/>
                  </w:sdtPr>
                  <w:sdtContent>
                    <w:p>
                      <w:pPr>
                        <w:ind w:firstLine="720"/>
                        <w:jc w:val="both"/>
                        <w:rPr>
                          <w:color w:val="000000"/>
                          <w:sz w:val="22"/>
                          <w:szCs w:val="22"/>
                        </w:rPr>
                      </w:pPr>
                      <w:sdt>
                        <w:sdtPr>
                          <w:alias w:val="Numeris"/>
                          <w:tag w:val="nr_0d35280bd7874d938323de611ea67b9b"/>
                          <w:lock w:val="sdtLocked"/>
                          <w:richText/>
                        </w:sdtPr>
                        <w:sdtContent>
                          <w:r>
                            <w:rPr>
                              <w:color w:val="000000"/>
                              <w:sz w:val="22"/>
                              <w:szCs w:val="22"/>
                            </w:rPr>
                            <w:t>1</w:t>
                          </w:r>
                        </w:sdtContent>
                      </w:sdt>
                      <w:r>
                        <w:rPr>
                          <w:color w:val="000000"/>
                          <w:sz w:val="22"/>
                          <w:szCs w:val="22"/>
                        </w:rPr>
                        <w:t xml:space="preserve">. Susisiekimo ministerija ir susisiekimo ministro įgaliotos institucijos koordinuoja intelektinių transporto sistemų ir sąveikiųjų intelektinių transporto sistemų diegimą ir naudojimą. </w:t>
                      </w:r>
                    </w:p>
                  </w:sdtContent>
                </w:sdt>
                <w:sdt>
                  <w:sdtPr>
                    <w:alias w:val="13-1 str. 2 d."/>
                    <w:tag w:val="part_574d8362d11b4f7f8c76d5b74d176836"/>
                    <w:lock w:val="sdtLocked"/>
                    <w:richText/>
                  </w:sdtPr>
                  <w:sdtContent>
                    <w:p>
                      <w:pPr>
                        <w:ind w:firstLine="720"/>
                        <w:jc w:val="both"/>
                        <w:rPr>
                          <w:color w:val="000000"/>
                          <w:sz w:val="22"/>
                          <w:szCs w:val="22"/>
                        </w:rPr>
                      </w:pPr>
                      <w:sdt>
                        <w:sdtPr>
                          <w:alias w:val="Numeris"/>
                          <w:tag w:val="nr_574d8362d11b4f7f8c76d5b74d176836"/>
                          <w:lock w:val="sdtLocked"/>
                          <w:richText/>
                        </w:sdtPr>
                        <w:sdtContent>
                          <w:r>
                            <w:rPr>
                              <w:color w:val="000000"/>
                              <w:sz w:val="22"/>
                              <w:szCs w:val="22"/>
                            </w:rPr>
                            <w:t>2</w:t>
                          </w:r>
                        </w:sdtContent>
                      </w:sdt>
                      <w:r>
                        <w:rPr>
                          <w:color w:val="000000"/>
                          <w:sz w:val="22"/>
                          <w:szCs w:val="22"/>
                        </w:rPr>
                        <w:t>. Susisiekimo ministras ir jo įgaliotos institucijos pagal kompetenciją leidžia teisės aktus, kuriuose nustatoma intelektinių transporto sistemų ir sąveikiųjų intelektinių transporto sistemų diegimo ir naudojimo tvarka Lietuvos Respublikoje.</w:t>
                      </w:r>
                    </w:p>
                  </w:sdtContent>
                </w:sdt>
                <w:sdt>
                  <w:sdtPr>
                    <w:alias w:val="13-1 str. 3 d."/>
                    <w:tag w:val="part_b6c94d3b12ab4b57b3cf5aa2a4d649d2"/>
                    <w:lock w:val="sdtLocked"/>
                    <w:richText/>
                  </w:sdtPr>
                  <w:sdtContent>
                    <w:p>
                      <w:pPr>
                        <w:ind w:firstLine="720"/>
                        <w:jc w:val="both"/>
                        <w:rPr>
                          <w:color w:val="000000"/>
                          <w:sz w:val="22"/>
                          <w:szCs w:val="22"/>
                        </w:rPr>
                      </w:pPr>
                      <w:sdt>
                        <w:sdtPr>
                          <w:alias w:val="Numeris"/>
                          <w:tag w:val="nr_b6c94d3b12ab4b57b3cf5aa2a4d649d2"/>
                          <w:lock w:val="sdtLocked"/>
                          <w:richText/>
                        </w:sdtPr>
                        <w:sdtContent>
                          <w:r>
                            <w:rPr>
                              <w:color w:val="000000"/>
                              <w:sz w:val="22"/>
                              <w:szCs w:val="22"/>
                            </w:rPr>
                            <w:t>3</w:t>
                          </w:r>
                        </w:sdtContent>
                      </w:sdt>
                      <w:r>
                        <w:rPr>
                          <w:color w:val="000000"/>
                          <w:sz w:val="22"/>
                          <w:szCs w:val="22"/>
                        </w:rPr>
                        <w:t>. Viešojo keleivinio transporto kelionių duomenys kaupiami Viešojo transporto kelionių duomenų informacinėje sistemoje. Viešojo transporto kelionių duomenų informacinės sistemos valdytoja ir duomenų valdytoja yra Susisiekimo ministerija. Viešojo transporto kelionių duomenų kaupimo tvarką nustato susisiekimo ministras. Vežėjai ir savivaldybės teikia viešojo transporto kelionių duomenis, susijusius su tvarkaraščiais ir tarifais, ir informuoja duomenų tvarkytoją apie jų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a7346243fe134a1b831520b6bff9622f"/>
                <w:lock w:val="sdtLocked"/>
                <w:richText/>
              </w:sdtPr>
              <w:sdtContent>
                <w:p>
                  <w:pPr>
                    <w:ind w:firstLine="720"/>
                    <w:jc w:val="both"/>
                    <w:rPr>
                      <w:bCs/>
                      <w:sz w:val="22"/>
                      <w:szCs w:val="22"/>
                      <w:lang w:eastAsia="lt-LT"/>
                    </w:rPr>
                  </w:pPr>
                  <w:sdt>
                    <w:sdtPr>
                      <w:alias w:val="Numeris"/>
                      <w:tag w:val="nr_a7346243fe134a1b831520b6bff9622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a7346243fe134a1b831520b6bff9622f"/>
                      <w:lock w:val="sdtLocked"/>
                      <w:richText/>
                    </w:sdtPr>
                    <w:sdtContent>
                      <w:r>
                        <w:rPr>
                          <w:b/>
                          <w:bCs/>
                          <w:sz w:val="22"/>
                          <w:szCs w:val="22"/>
                          <w:lang w:eastAsia="lt-LT"/>
                        </w:rPr>
                        <w:t>Transporto infrastruktūros rūšys ir valdytojai</w:t>
                      </w:r>
                    </w:sdtContent>
                  </w:sdt>
                </w:p>
                <w:sdt>
                  <w:sdtPr>
                    <w:alias w:val="14 str. 1 d."/>
                    <w:tag w:val="part_18fb133142bd4d2c98c91eeff11cff17"/>
                    <w:lock w:val="sdtLocked"/>
                    <w:richText/>
                  </w:sdtPr>
                  <w:sdtContent>
                    <w:p>
                      <w:pPr>
                        <w:ind w:firstLine="720"/>
                        <w:jc w:val="both"/>
                        <w:rPr>
                          <w:sz w:val="22"/>
                          <w:szCs w:val="22"/>
                          <w:lang w:eastAsia="lt-LT"/>
                        </w:rPr>
                      </w:pPr>
                      <w:sdt>
                        <w:sdtPr>
                          <w:alias w:val="Numeris"/>
                          <w:tag w:val="nr_18fb133142bd4d2c98c91eeff11cff17"/>
                          <w:lock w:val="sdtLocked"/>
                          <w:richText/>
                        </w:sdtPr>
                        <w:sdtContent>
                          <w:r>
                            <w:rPr>
                              <w:sz w:val="22"/>
                              <w:szCs w:val="22"/>
                              <w:lang w:eastAsia="lt-LT"/>
                            </w:rPr>
                            <w:t>1</w:t>
                          </w:r>
                        </w:sdtContent>
                      </w:sdt>
                      <w:r>
                        <w:rPr>
                          <w:sz w:val="22"/>
                          <w:szCs w:val="22"/>
                          <w:lang w:eastAsia="lt-LT"/>
                        </w:rPr>
                        <w:t>. Transporto infrastruktūra yra viešoji ir privati.</w:t>
                      </w:r>
                    </w:p>
                  </w:sdtContent>
                </w:sdt>
                <w:sdt>
                  <w:sdtPr>
                    <w:alias w:val="14 str. 2 d."/>
                    <w:tag w:val="part_d277f3cf6d554877b94e6f443f72361c"/>
                    <w:lock w:val="sdtLocked"/>
                    <w:richText/>
                  </w:sdtPr>
                  <w:sdtContent>
                    <w:p>
                      <w:pPr>
                        <w:ind w:firstLine="720"/>
                        <w:jc w:val="both"/>
                        <w:rPr>
                          <w:b/>
                          <w:color w:val="000000"/>
                          <w:sz w:val="22"/>
                        </w:rPr>
                      </w:pPr>
                      <w:sdt>
                        <w:sdtPr>
                          <w:alias w:val="Numeris"/>
                          <w:tag w:val="nr_d277f3cf6d554877b94e6f443f72361c"/>
                          <w:lock w:val="sdtLocked"/>
                          <w:richText/>
                        </w:sdtPr>
                        <w:sdtContent>
                          <w:r>
                            <w:rPr>
                              <w:sz w:val="22"/>
                              <w:szCs w:val="22"/>
                            </w:rPr>
                            <w:t>2</w:t>
                          </w:r>
                        </w:sdtContent>
                      </w:sdt>
                      <w:r>
                        <w:rPr>
                          <w:sz w:val="22"/>
                          <w:szCs w:val="22"/>
                        </w:rPr>
                        <w:t>. Lietuvos valstybei išimtine nuosavybės teise arba savivaldybei nuosavybės teise priklausančios viešosios transporto infrastruktūros valdytoją skiria Vyriausybė arba savivaldybės institucija. Valdytojui parinkti skelbiamas konkursas arba viešajai transporto infrastruktūrai valdyti steigiama įmonė.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54ff8ee7f86640ae90a72b02d6aa18b5"/>
                    <w:lock w:val="sdtLocked"/>
                    <w:richText/>
                  </w:sdtPr>
                  <w:sdtContent>
                    <w:p>
                      <w:pPr>
                        <w:ind w:firstLine="720"/>
                        <w:jc w:val="both"/>
                        <w:rPr>
                          <w:sz w:val="22"/>
                          <w:szCs w:val="22"/>
                        </w:rPr>
                      </w:pPr>
                      <w:sdt>
                        <w:sdtPr>
                          <w:alias w:val="Numeris"/>
                          <w:tag w:val="nr_54ff8ee7f86640ae90a72b02d6aa18b5"/>
                          <w:lock w:val="sdtLocked"/>
                          <w:richText/>
                        </w:sdtPr>
                        <w:sdtContent>
                          <w:r>
                            <w:rPr>
                              <w:sz w:val="22"/>
                              <w:szCs w:val="22"/>
                            </w:rPr>
                            <w:t>2</w:t>
                          </w:r>
                        </w:sdtContent>
                      </w:sdt>
                      <w:r>
                        <w:rPr>
                          <w:sz w:val="22"/>
                          <w:szCs w:val="22"/>
                        </w:rPr>
                        <w:t xml:space="preserve">. Lėšas, gautas už naudojimąsi viešąja transporto infrastruktūra, viešosios transporto infrastruktūros valdytojas naudoja pagal viešosios transporto infrastruktūros savininko ar jo įgaliotos institucijos patvirtintą pajamų ir išlaidų sąmatą bei patvirtintas programas šio straipsnio 1 dalyje numatytiems tikslams, išskyrus atvejus,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w:t>
                      </w:r>
                      <w:r>
                        <w:rPr>
                          <w:sz w:val="22"/>
                          <w:szCs w:val="22"/>
                        </w:rPr>
                        <w:t xml:space="preserve"> kai viešosios transporto infrastruktūros valdymas perduodamas investuotojui, kaip tai numatyta šio Įstatymo 9 straipsnio 3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27"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ff2f24e158a14933a2df71493fe0d9e0"/>
                <w:lock w:val="sdtLocked"/>
                <w:richText/>
              </w:sdtPr>
              <w:sdtContent>
                <w:p>
                  <w:pPr>
                    <w:ind w:left="2127" w:hanging="1407"/>
                    <w:jc w:val="both"/>
                    <w:rPr>
                      <w:b/>
                      <w:sz w:val="22"/>
                      <w:szCs w:val="22"/>
                    </w:rPr>
                  </w:pPr>
                  <w:sdt>
                    <w:sdtPr>
                      <w:alias w:val="Numeris"/>
                      <w:tag w:val="nr_ff2f24e158a14933a2df71493fe0d9e0"/>
                      <w:lock w:val="sdtLocked"/>
                      <w:richText/>
                    </w:sdtPr>
                    <w:sdtContent>
                      <w:r>
                        <w:rPr>
                          <w:b/>
                          <w:sz w:val="22"/>
                          <w:szCs w:val="22"/>
                        </w:rPr>
                        <w:t>18</w:t>
                      </w:r>
                    </w:sdtContent>
                  </w:sdt>
                  <w:r>
                    <w:rPr>
                      <w:b/>
                      <w:sz w:val="22"/>
                      <w:szCs w:val="22"/>
                    </w:rPr>
                    <w:t xml:space="preserve"> straipsnis. </w:t>
                  </w:r>
                  <w:sdt>
                    <w:sdtPr>
                      <w:alias w:val="Pavadinimas"/>
                      <w:tag w:val="title_ff2f24e158a14933a2df71493fe0d9e0"/>
                      <w:lock w:val="sdtLocked"/>
                      <w:richText/>
                    </w:sdtPr>
                    <w:sdtContent>
                      <w:r>
                        <w:rPr>
                          <w:b/>
                          <w:sz w:val="22"/>
                          <w:szCs w:val="22"/>
                        </w:rPr>
                        <w:t>Viešosios transporto infrastruktūros valdytojo santykiai su transporto infrastruktūros savininku</w:t>
                      </w:r>
                    </w:sdtContent>
                  </w:sdt>
                </w:p>
                <w:sdt>
                  <w:sdtPr>
                    <w:alias w:val="18 str. 1 d."/>
                    <w:tag w:val="part_d872c789062b4b5d8f30dd86734fc70c"/>
                    <w:lock w:val="sdtLocked"/>
                    <w:richText/>
                  </w:sdtPr>
                  <w:sdtContent>
                    <w:p>
                      <w:pPr>
                        <w:ind w:firstLine="720"/>
                        <w:jc w:val="both"/>
                        <w:rPr>
                          <w:rFonts w:eastAsia="MS Mincho"/>
                          <w:bCs/>
                          <w:i/>
                          <w:iCs/>
                          <w:sz w:val="20"/>
                        </w:rPr>
                      </w:pPr>
                      <w:r>
                        <w:rPr>
                          <w:bCs/>
                          <w:sz w:val="22"/>
                          <w:szCs w:val="22"/>
                        </w:rPr>
                        <w:t xml:space="preserve">Kai viešoji transporto infrastruktūra </w:t>
                      </w:r>
                      <w:r>
                        <w:rPr>
                          <w:bCs/>
                          <w:sz w:val="22"/>
                          <w:szCs w:val="22"/>
                          <w:lang w:eastAsia="lt-LT"/>
                        </w:rPr>
                        <w:t>priklauso Lietuvos valstybei išimtine nuosavybės teise</w:t>
                      </w:r>
                      <w:r>
                        <w:rPr>
                          <w:bCs/>
                          <w:sz w:val="22"/>
                          <w:szCs w:val="22"/>
                        </w:rPr>
                        <w:t xml:space="preserve"> arba savivaldybei nuosavybės teise, </w:t>
                      </w:r>
                      <w:r>
                        <w:rPr>
                          <w:bCs/>
                          <w:sz w:val="22"/>
                          <w:szCs w:val="22"/>
                          <w:lang w:eastAsia="lt-LT"/>
                        </w:rPr>
                        <w:t>viešosios transporto infrastruktūros savininko ir valdytojo tarpusavio santykiai nustatomi turto patikėjimo sutartyje, jeigu kiti įstatymai nenustato kitaip</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8"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f672875a260f413bbe29c93e35218f9a"/>
                <w:lock w:val="sdtLocked"/>
                <w:richText/>
              </w:sdtPr>
              <w:sdtContent>
                <w:p>
                  <w:pPr>
                    <w:ind w:left="2268" w:hanging="1548"/>
                    <w:jc w:val="both"/>
                    <w:rPr>
                      <w:b/>
                      <w:bCs/>
                      <w:sz w:val="22"/>
                      <w:szCs w:val="22"/>
                    </w:rPr>
                  </w:pPr>
                  <w:sdt>
                    <w:sdtPr>
                      <w:alias w:val="Numeris"/>
                      <w:tag w:val="nr_f672875a260f413bbe29c93e35218f9a"/>
                      <w:lock w:val="sdtLocked"/>
                      <w:richText/>
                    </w:sdtPr>
                    <w:sdtContent>
                      <w:r>
                        <w:rPr>
                          <w:b/>
                          <w:bCs/>
                          <w:sz w:val="22"/>
                          <w:szCs w:val="22"/>
                        </w:rPr>
                        <w:t>19</w:t>
                      </w:r>
                      <w:r>
                        <w:rPr>
                          <w:b/>
                          <w:bCs/>
                          <w:sz w:val="22"/>
                          <w:szCs w:val="22"/>
                          <w:vertAlign w:val="superscript"/>
                        </w:rPr>
                        <w:t>1</w:t>
                      </w:r>
                    </w:sdtContent>
                  </w:sdt>
                  <w:r>
                    <w:rPr>
                      <w:b/>
                      <w:bCs/>
                      <w:sz w:val="22"/>
                      <w:szCs w:val="22"/>
                    </w:rPr>
                    <w:t xml:space="preserve"> straipsnis. </w:t>
                  </w:r>
                  <w:sdt>
                    <w:sdtPr>
                      <w:alias w:val="Pavadinimas"/>
                      <w:tag w:val="title_f672875a260f413bbe29c93e35218f9a"/>
                      <w:lock w:val="sdtLocked"/>
                      <w:richText/>
                    </w:sdtPr>
                    <w:sdtContent>
                      <w:r>
                        <w:rPr>
                          <w:b/>
                          <w:bCs/>
                          <w:sz w:val="22"/>
                          <w:szCs w:val="22"/>
                        </w:rPr>
                        <w:t>Vežėjų, kurie verčiasi keleivių vežimu oro keliais, pareiga teikti bilietų užsakymo ir išvykimo kontrolės, keleivių skrydžio duomenis ir šių duomenų tvarkymas</w:t>
                      </w:r>
                    </w:sdtContent>
                  </w:sdt>
                </w:p>
                <w:sdt>
                  <w:sdtPr>
                    <w:alias w:val="19-1 str. 1 d."/>
                    <w:tag w:val="part_213a7459f32642bab536478ca5ea8dac"/>
                    <w:lock w:val="sdtLocked"/>
                    <w:richText/>
                  </w:sdtPr>
                  <w:sdtContent>
                    <w:p>
                      <w:pPr>
                        <w:widowControl w:val="0"/>
                        <w:ind w:firstLine="720"/>
                        <w:jc w:val="both"/>
                        <w:rPr>
                          <w:sz w:val="22"/>
                          <w:szCs w:val="22"/>
                        </w:rPr>
                      </w:pPr>
                      <w:sdt>
                        <w:sdtPr>
                          <w:alias w:val="Numeris"/>
                          <w:tag w:val="nr_213a7459f32642bab536478ca5ea8dac"/>
                          <w:lock w:val="sdtLocked"/>
                          <w:richText/>
                        </w:sdtPr>
                        <w:sdtContent>
                          <w:r>
                            <w:rPr>
                              <w:sz w:val="22"/>
                              <w:szCs w:val="22"/>
                            </w:rPr>
                            <w:t>1</w:t>
                          </w:r>
                        </w:sdtContent>
                      </w:sdt>
                      <w:r>
                        <w:rPr>
                          <w:sz w:val="22"/>
                          <w:szCs w:val="22"/>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(toliau – įgaliotas padalinys)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sdtContent>
                </w:sdt>
                <w:sdt>
                  <w:sdtPr>
                    <w:alias w:val="19-1 str. 2 d."/>
                    <w:tag w:val="part_e4500b9556bb4ebdbe51b497b2591ee6"/>
                    <w:lock w:val="sdtLocked"/>
                    <w:richText/>
                  </w:sdtPr>
                  <w:sdtContent>
                    <w:p>
                      <w:pPr>
                        <w:widowControl w:val="0"/>
                        <w:ind w:firstLine="720"/>
                        <w:jc w:val="both"/>
                        <w:rPr>
                          <w:sz w:val="22"/>
                          <w:szCs w:val="22"/>
                        </w:rPr>
                      </w:pPr>
                      <w:sdt>
                        <w:sdtPr>
                          <w:alias w:val="Numeris"/>
                          <w:tag w:val="nr_e4500b9556bb4ebdbe51b497b2591ee6"/>
                          <w:lock w:val="sdtLocked"/>
                          <w:richText/>
                        </w:sdtPr>
                        <w:sdtContent>
                          <w:r>
                            <w:rPr>
                              <w:sz w:val="22"/>
                              <w:szCs w:val="22"/>
                            </w:rPr>
                            <w:t>2</w:t>
                          </w:r>
                        </w:sdtContent>
                      </w:sdt>
                      <w:r>
                        <w:rPr>
                          <w:sz w:val="22"/>
                          <w:szCs w:val="22"/>
                        </w:rPr>
                        <w:t>. Įgaliotas padalinys yra Lietuvos policijos generalinio komisaro įgaliota policijos įstaiga ar jos struktūrinis padalinys. Įgaliotam padaliniui priklauso Valstybės sienos apsaugos tarnybos, Muitinės departamento prie Lietuvos Respublikos finansų ministerijos, Lietuvos Respublikos valstybės saugumo departamento ir Antrojo operatyvinių tarnybų departamento prie Krašto apsaugos ministerijos deleguoti pareigūnai, įgalioti atlikti funkcijas, susijusias su šio Įstatymo 1 priede nurodytų duomenų tvarkymu.</w:t>
                      </w:r>
                    </w:p>
                  </w:sdtContent>
                </w:sdt>
                <w:sdt>
                  <w:sdtPr>
                    <w:alias w:val="19-1 str. 3 d."/>
                    <w:tag w:val="part_4b2ffaeb457c4467801f35235cfcc1a8"/>
                    <w:lock w:val="sdtLocked"/>
                    <w:richText/>
                  </w:sdtPr>
                  <w:sdtContent>
                    <w:p>
                      <w:pPr>
                        <w:widowControl w:val="0"/>
                        <w:ind w:firstLine="720"/>
                        <w:jc w:val="both"/>
                        <w:rPr>
                          <w:sz w:val="22"/>
                          <w:szCs w:val="22"/>
                        </w:rPr>
                      </w:pPr>
                      <w:sdt>
                        <w:sdtPr>
                          <w:alias w:val="Numeris"/>
                          <w:tag w:val="nr_4b2ffaeb457c4467801f35235cfcc1a8"/>
                          <w:lock w:val="sdtLocked"/>
                          <w:richText/>
                        </w:sdtPr>
                        <w:sdtContent>
                          <w:r>
                            <w:rPr>
                              <w:sz w:val="22"/>
                              <w:szCs w:val="22"/>
                            </w:rPr>
                            <w:t>3</w:t>
                          </w:r>
                        </w:sdtContent>
                      </w:sdt>
                      <w:r>
                        <w:rPr>
                          <w:sz w:val="22"/>
                          <w:szCs w:val="22"/>
                        </w:rPr>
                        <w:t>. Šio Įstatymo 1 priede nurodyti duomenys tvarkomi teroristinių nusikaltimų ir su teroristine veikla susijusių nusikaltimų, taip pat labai sunkių ir sunkių nusikaltimų, kaip jie apibrėžiami Lietuvos Respublikos baudžiamajame kodekse, prevencijos, nustatymo, tyrimo ir patraukimo už juos baudžiamojon atsakomybėn tikslais.</w:t>
                      </w:r>
                    </w:p>
                  </w:sdtContent>
                </w:sdt>
                <w:sdt>
                  <w:sdtPr>
                    <w:alias w:val="19-1 str. 4 d."/>
                    <w:tag w:val="part_4adbf8ec814b48698db477eb585ed777"/>
                    <w:lock w:val="sdtLocked"/>
                    <w:richText/>
                  </w:sdtPr>
                  <w:sdtContent>
                    <w:p>
                      <w:pPr>
                        <w:widowControl w:val="0"/>
                        <w:ind w:firstLine="720"/>
                        <w:jc w:val="both"/>
                        <w:rPr>
                          <w:sz w:val="22"/>
                          <w:szCs w:val="22"/>
                        </w:rPr>
                      </w:pPr>
                      <w:sdt>
                        <w:sdtPr>
                          <w:alias w:val="Numeris"/>
                          <w:tag w:val="nr_4adbf8ec814b48698db477eb585ed777"/>
                          <w:lock w:val="sdtLocked"/>
                          <w:richText/>
                        </w:sdtPr>
                        <w:sdtContent>
                          <w:r>
                            <w:rPr>
                              <w:sz w:val="22"/>
                              <w:szCs w:val="22"/>
                            </w:rPr>
                            <w:t>4</w:t>
                          </w:r>
                        </w:sdtContent>
                      </w:sdt>
                      <w:r>
                        <w:rPr>
                          <w:sz w:val="22"/>
                          <w:szCs w:val="22"/>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ea470b6d8669415eb4940599fe790086"/>
                    <w:lock w:val="sdtLocked"/>
                    <w:richText/>
                  </w:sdtPr>
                  <w:sdtContent>
                    <w:p>
                      <w:pPr>
                        <w:widowControl w:val="0"/>
                        <w:ind w:firstLine="720"/>
                        <w:jc w:val="both"/>
                        <w:rPr>
                          <w:sz w:val="22"/>
                          <w:szCs w:val="22"/>
                        </w:rPr>
                      </w:pPr>
                      <w:sdt>
                        <w:sdtPr>
                          <w:alias w:val="Numeris"/>
                          <w:tag w:val="nr_ea470b6d8669415eb4940599fe790086"/>
                          <w:lock w:val="sdtLocked"/>
                          <w:richText/>
                        </w:sdtPr>
                        <w:sdtContent>
                          <w:r>
                            <w:rPr>
                              <w:sz w:val="22"/>
                              <w:szCs w:val="22"/>
                            </w:rPr>
                            <w:t>5</w:t>
                          </w:r>
                        </w:sdtContent>
                      </w:sdt>
                      <w:r>
                        <w:rPr>
                          <w:sz w:val="22"/>
                          <w:szCs w:val="22"/>
                        </w:rPr>
                        <w:t>. Atliekant keleivių įvertinimą prieš jiems atvykstant į Lietuvos Respubliką ar išvykstant iš jos, šio Įstatymo 1 priede nurodyti duomenys automatizuotu būdu yra palyginami su duomenimis, tvarkomais informacinėse sistemose teroristinių nusikaltimų ir su teroristine veikla susijusių nusikaltimų, taip pat labai sunkių ir sunkių nusikaltimų prevencijos, nustatymo, tyrimo ar patraukimo už juos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da245fe490934c65937b2ffd6c4afd91"/>
                    <w:lock w:val="sdtLocked"/>
                    <w:richText/>
                  </w:sdtPr>
                  <w:sdtContent>
                    <w:p>
                      <w:pPr>
                        <w:widowControl w:val="0"/>
                        <w:ind w:firstLine="720"/>
                        <w:jc w:val="both"/>
                        <w:rPr>
                          <w:sz w:val="22"/>
                          <w:szCs w:val="22"/>
                        </w:rPr>
                      </w:pPr>
                      <w:sdt>
                        <w:sdtPr>
                          <w:alias w:val="Numeris"/>
                          <w:tag w:val="nr_da245fe490934c65937b2ffd6c4afd91"/>
                          <w:lock w:val="sdtLocked"/>
                          <w:richText/>
                        </w:sdtPr>
                        <w:sdtContent>
                          <w:r>
                            <w:rPr>
                              <w:sz w:val="22"/>
                              <w:szCs w:val="22"/>
                            </w:rPr>
                            <w:t>6</w:t>
                          </w:r>
                        </w:sdtContent>
                      </w:sdt>
                      <w:r>
                        <w:rPr>
                          <w:sz w:val="22"/>
                          <w:szCs w:val="22"/>
                        </w:rPr>
                        <w:t>. Šio Įstatymo 1 priede nurodyti</w:t>
                      </w:r>
                      <w:r>
                        <w:rPr>
                          <w:sz w:val="22"/>
                          <w:szCs w:val="22"/>
                          <w:lang w:eastAsia="lt-LT"/>
                        </w:rPr>
                        <w:t xml:space="preserve"> Europos Sąjungos išorės skrydžių </w:t>
                      </w:r>
                      <w:r>
                        <w:rPr>
                          <w:iCs/>
                          <w:sz w:val="22"/>
                          <w:szCs w:val="22"/>
                        </w:rPr>
                        <w:t>bilietų užsakymo ir išvykimo kontrolės, keleivių skrydžio</w:t>
                      </w:r>
                      <w:r>
                        <w:rPr>
                          <w:i/>
                          <w:iCs/>
                          <w:sz w:val="22"/>
                          <w:szCs w:val="22"/>
                        </w:rPr>
                        <w:t xml:space="preserve"> </w:t>
                      </w:r>
                      <w:r>
                        <w:rPr>
                          <w:sz w:val="22"/>
                          <w:szCs w:val="22"/>
                        </w:rPr>
                        <w:t>duomenys</w:t>
                      </w:r>
                      <w:r>
                        <w:rPr>
                          <w:sz w:val="22"/>
                          <w:szCs w:val="22"/>
                          <w:lang w:eastAsia="lt-LT"/>
                        </w:rPr>
                        <w:t xml:space="preserve">, </w:t>
                      </w:r>
                      <w:r>
                        <w:rPr>
                          <w:sz w:val="22"/>
                          <w:szCs w:val="22"/>
                        </w:rPr>
                        <w:t>įgalioto padalinio</w:t>
                      </w:r>
                      <w:r>
                        <w:rPr>
                          <w:sz w:val="22"/>
                          <w:szCs w:val="22"/>
                          <w:lang w:eastAsia="lt-LT"/>
                        </w:rPr>
                        <w:t xml:space="preserve"> </w:t>
                      </w:r>
                      <w:r>
                        <w:rPr>
                          <w:sz w:val="22"/>
                          <w:szCs w:val="22"/>
                        </w:rPr>
                        <w:t xml:space="preserve">Lietuvos policijos generalinio komisaro nustatyta tvarka atrinktų </w:t>
                      </w:r>
                      <w:r>
                        <w:rPr>
                          <w:sz w:val="22"/>
                          <w:szCs w:val="22"/>
                          <w:lang w:eastAsia="lt-LT"/>
                        </w:rPr>
                        <w:t xml:space="preserve">Europos Sąjungos vidaus skrydžių </w:t>
                      </w:r>
                      <w:r>
                        <w:rPr>
                          <w:iCs/>
                          <w:sz w:val="22"/>
                          <w:szCs w:val="22"/>
                        </w:rPr>
                        <w:t>bilietų užsakymo ir išvykimo kontrolės, keleivių skrydžio</w:t>
                      </w:r>
                      <w:r>
                        <w:rPr>
                          <w:i/>
                          <w:iCs/>
                          <w:sz w:val="22"/>
                          <w:szCs w:val="22"/>
                        </w:rPr>
                        <w:t xml:space="preserve"> </w:t>
                      </w:r>
                      <w:r>
                        <w:rPr>
                          <w:sz w:val="22"/>
                          <w:szCs w:val="22"/>
                        </w:rPr>
                        <w:t xml:space="preserve">duomenys, o </w:t>
                      </w:r>
                      <w:r>
                        <w:rPr>
                          <w:bCs/>
                          <w:sz w:val="22"/>
                          <w:szCs w:val="22"/>
                        </w:rPr>
                        <w:t xml:space="preserve">kai vadovaujantis Vyriausybės nustatyta tvarka  nustatomas aukštesnis negu žemas teroro akto grėsmės lygis, ir visų Europos Sąjungos vidaus skrydžių </w:t>
                      </w:r>
                      <w:r>
                        <w:rPr>
                          <w:bCs/>
                          <w:iCs/>
                          <w:sz w:val="22"/>
                          <w:szCs w:val="22"/>
                          <w:lang w:eastAsia="lt-LT"/>
                        </w:rPr>
                        <w:t>bilietų užsakymo ir išvykimo kontrolės, keleivių skrydžio</w:t>
                      </w:r>
                      <w:r>
                        <w:rPr>
                          <w:bCs/>
                          <w:sz w:val="22"/>
                          <w:szCs w:val="22"/>
                        </w:rPr>
                        <w:t xml:space="preserve"> duomenys </w:t>
                      </w:r>
                      <w:r>
                        <w:rPr>
                          <w:sz w:val="22"/>
                          <w:szCs w:val="22"/>
                        </w:rPr>
                        <w:t>tvarkomi Lietuvos Respublikos valstybės ir tarnybos paslapčių įstatymo nustatyta tvarka įteisintoje į</w:t>
                      </w:r>
                      <w:r>
                        <w:rPr>
                          <w:bCs/>
                          <w:sz w:val="22"/>
                          <w:szCs w:val="22"/>
                        </w:rPr>
                        <w:t xml:space="preserve">slaptintos informacijos ryšių ir informacinėje sistemoje (toliau – informacinė sistema). Šie duomenys </w:t>
                      </w:r>
                      <w:r>
                        <w:rPr>
                          <w:sz w:val="22"/>
                          <w:szCs w:val="22"/>
                        </w:rPr>
                        <w:t xml:space="preserve">saugomi 3 metus nuo jų įrašymo į informacinę sistemą dienos, </w:t>
                      </w:r>
                      <w:r>
                        <w:rPr>
                          <w:bCs/>
                          <w:sz w:val="22"/>
                          <w:szCs w:val="22"/>
                        </w:rPr>
                        <w:t xml:space="preserve">o įgaliotam padaliniui Lietuvos policijos generalinio komisaro nustatyta tvarka atlikus papildomą įvertinimą ir nustačius, kad šie duomenys yra didelės nusikalstamumo rizikos </w:t>
                      </w:r>
                      <w:r>
                        <w:rPr>
                          <w:bCs/>
                          <w:sz w:val="22"/>
                          <w:szCs w:val="22"/>
                          <w:lang w:eastAsia="lt-LT"/>
                        </w:rPr>
                        <w:t xml:space="preserve">Europos Sąjungos išorės ir (ar) Europos Sąjungos vidaus </w:t>
                      </w:r>
                      <w:r>
                        <w:rPr>
                          <w:bCs/>
                          <w:sz w:val="22"/>
                          <w:szCs w:val="22"/>
                        </w:rPr>
                        <w:t xml:space="preserve">skrydžių </w:t>
                      </w:r>
                      <w:r>
                        <w:rPr>
                          <w:iCs/>
                          <w:sz w:val="22"/>
                          <w:szCs w:val="22"/>
                        </w:rPr>
                        <w:t>bilietų užsakymo ir išvykimo kontrolės, keleivių skrydžio</w:t>
                      </w:r>
                      <w:r>
                        <w:rPr>
                          <w:bCs/>
                          <w:sz w:val="22"/>
                          <w:szCs w:val="22"/>
                        </w:rPr>
                        <w:t xml:space="preserve"> duomenys arba Vyriausybės nustatyta tvarka nustačius aukštesnį negu žemas teroro akto grėsmės lygį, ir visų Europos Sąjungos vidaus skrydžių </w:t>
                      </w:r>
                      <w:r>
                        <w:rPr>
                          <w:bCs/>
                          <w:iCs/>
                          <w:sz w:val="22"/>
                          <w:szCs w:val="22"/>
                          <w:lang w:eastAsia="lt-LT"/>
                        </w:rPr>
                        <w:t>bilietų užsakymo ir išvykimo kontrolės, keleivių skrydžio</w:t>
                      </w:r>
                      <w:r>
                        <w:rPr>
                          <w:bCs/>
                          <w:sz w:val="22"/>
                          <w:szCs w:val="22"/>
                        </w:rPr>
                        <w:t xml:space="preserve"> duomenys, – </w:t>
                      </w:r>
                      <w:r>
                        <w:rPr>
                          <w:sz w:val="22"/>
                          <w:szCs w:val="22"/>
                        </w:rPr>
                        <w:t>5 metus nuo šių duomenų įrašymo į informacinę sistemą dienos.</w:t>
                      </w:r>
                      <w:r>
                        <w:rPr>
                          <w:bCs/>
                          <w:sz w:val="22"/>
                          <w:szCs w:val="22"/>
                        </w:rPr>
                        <w:t xml:space="preserve"> </w:t>
                      </w:r>
                      <w:r>
                        <w:rPr>
                          <w:sz w:val="22"/>
                          <w:szCs w:val="22"/>
                        </w:rPr>
                        <w:t xml:space="preserve">Šio Įstatymo 1 priedo 1.2, 1.4, 1.5 papunkčiuose ir 3 punkte nurodyti duomenys po 6 mėnesių nuo jų įrašymo į informacinę sistemą dienos yra nuasmeninami ir užmaskuojami, išskyrus atvejus, kai šie duomenys yra naudojami konkrečiais teroristinių nusikaltimų ir su teroristine veikla susijusių nusikaltimų, taip pat labai sunkių ir sunkių nusikaltimų prevencijos, nustatymo, tyrimo ar patraukimo baudžiamojon atsakomybėn tikslais. Vežėjo, kuris verčiasi keleivių vežimu oro keliais, pateikti šio Įstatymo 1 priede nenumatyti asmens duomenys informacinėje sistemoje nedelsiant ištrinami. Įgalioto padalinio </w:t>
                      </w:r>
                      <w:r>
                        <w:rPr>
                          <w:bCs/>
                          <w:sz w:val="22"/>
                          <w:szCs w:val="22"/>
                        </w:rPr>
                        <w:t xml:space="preserve">Lietuvos policijos generalinio komisaro nustatyta tvarka neatrinkti </w:t>
                      </w:r>
                      <w:r>
                        <w:rPr>
                          <w:bCs/>
                          <w:sz w:val="22"/>
                          <w:szCs w:val="22"/>
                          <w:lang w:eastAsia="lt-LT"/>
                        </w:rPr>
                        <w:t xml:space="preserve">Europos Sąjungos vidaus skrydžių </w:t>
                      </w:r>
                      <w:r>
                        <w:rPr>
                          <w:bCs/>
                          <w:iCs/>
                          <w:sz w:val="22"/>
                          <w:szCs w:val="22"/>
                          <w:lang w:eastAsia="lt-LT"/>
                        </w:rPr>
                        <w:t>bilietų užsakymo ir išvykimo kontrolės, keleivių skrydžio</w:t>
                      </w:r>
                      <w:r>
                        <w:rPr>
                          <w:bCs/>
                          <w:i/>
                          <w:iCs/>
                          <w:sz w:val="22"/>
                          <w:szCs w:val="22"/>
                          <w:lang w:eastAsia="lt-LT"/>
                        </w:rPr>
                        <w:t xml:space="preserve"> </w:t>
                      </w:r>
                      <w:r>
                        <w:rPr>
                          <w:bCs/>
                          <w:sz w:val="22"/>
                          <w:szCs w:val="22"/>
                        </w:rPr>
                        <w:t>duomenys, nurodyti šio Įstatymo 1 priede,</w:t>
                      </w:r>
                      <w:r>
                        <w:rPr>
                          <w:b/>
                          <w:bCs/>
                          <w:sz w:val="22"/>
                          <w:szCs w:val="22"/>
                        </w:rPr>
                        <w:t xml:space="preserve"> </w:t>
                      </w:r>
                      <w:r>
                        <w:rPr>
                          <w:sz w:val="22"/>
                          <w:szCs w:val="22"/>
                        </w:rPr>
                        <w:t>taip pat duomenys, kurių saugojimo terminas pasibaigia, nedelsiant ištrinami.</w:t>
                      </w:r>
                    </w:p>
                  </w:sdtContent>
                </w:sdt>
                <w:sdt>
                  <w:sdtPr>
                    <w:alias w:val="19-1 str. 7 d."/>
                    <w:tag w:val="part_7fe7baa817a849abae1e18aa4a3d2b22"/>
                    <w:lock w:val="sdtLocked"/>
                    <w:richText/>
                  </w:sdtPr>
                  <w:sdtContent>
                    <w:p>
                      <w:pPr>
                        <w:widowControl w:val="0"/>
                        <w:ind w:firstLine="720"/>
                        <w:jc w:val="both"/>
                        <w:rPr>
                          <w:sz w:val="22"/>
                          <w:szCs w:val="22"/>
                        </w:rPr>
                      </w:pPr>
                      <w:sdt>
                        <w:sdtPr>
                          <w:alias w:val="Numeris"/>
                          <w:tag w:val="nr_7fe7baa817a849abae1e18aa4a3d2b22"/>
                          <w:lock w:val="sdtLocked"/>
                          <w:richText/>
                        </w:sdtPr>
                        <w:sdtContent>
                          <w:r>
                            <w:rPr>
                              <w:sz w:val="22"/>
                              <w:szCs w:val="22"/>
                            </w:rPr>
                            <w:t>7</w:t>
                          </w:r>
                        </w:sdtContent>
                      </w:sdt>
                      <w:r>
                        <w:rPr>
                          <w:sz w:val="22"/>
                          <w:szCs w:val="22"/>
                        </w:rPr>
                        <w:t>. Įgaliotas padalinys šio Įstatymo 1 priede nurodytus duomenis ar tų duomenų tvarkymo rezultatus šio Įstatymo 2 priede nurodytoms kompetentingoms institucijoms ar kitų Europos Sąjungos valstybių narių įgaliotiems padaliniams ar Europos policijos biurui (Europolui) teikia pagrįsto prašymo pagrindu tik konkrečiais teroristinių nusikaltimų ir su teroristine veikla susijusių nusikaltimų, taip pat labai sunkių ir sunkių nusikaltimų prevencijos, nustatymo, tyrimo ar patraukimo už juos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nusikalstamų veikų prevencijos, tyrimo, atskleidimo ar baudžiamojo persekiojimo už jas, bausmių vykdymo arba nacionalinio saugumo ar gynybos tikslais, teisinės apsaugos įstatyme nustatytų sąlygų. Šio Įstatymo 1 priede nurodytų duomenų teikimo kompetentingoms institucijoms, kitų Europos Sąjungos valstybių narių įgaliotiems padaliniams, Europos policijos biurui (Europolui), trečiosioms šalims ir šių duomenų naudojimo sąlygas, būdus ir tvarką nustato Vyriausybė.</w:t>
                      </w:r>
                    </w:p>
                  </w:sdtContent>
                </w:sdt>
                <w:sdt>
                  <w:sdtPr>
                    <w:alias w:val="19-1 str. 8 d."/>
                    <w:tag w:val="part_f7a7b99959424ca9a60a7bee2c564b31"/>
                    <w:lock w:val="sdtLocked"/>
                    <w:richText/>
                  </w:sdtPr>
                  <w:sdtContent>
                    <w:p>
                      <w:pPr>
                        <w:widowControl w:val="0"/>
                        <w:ind w:firstLine="720"/>
                        <w:jc w:val="both"/>
                        <w:rPr>
                          <w:sz w:val="22"/>
                          <w:szCs w:val="22"/>
                        </w:rPr>
                      </w:pPr>
                      <w:sdt>
                        <w:sdtPr>
                          <w:alias w:val="Numeris"/>
                          <w:tag w:val="nr_f7a7b99959424ca9a60a7bee2c564b31"/>
                          <w:lock w:val="sdtLocked"/>
                          <w:richText/>
                        </w:sdtPr>
                        <w:sdtContent>
                          <w:r>
                            <w:rPr>
                              <w:sz w:val="22"/>
                              <w:szCs w:val="22"/>
                            </w:rPr>
                            <w:t>8</w:t>
                          </w:r>
                        </w:sdtContent>
                      </w:sdt>
                      <w:r>
                        <w:rPr>
                          <w:sz w:val="22"/>
                          <w:szCs w:val="22"/>
                        </w:rPr>
                        <w:t>. Šio Įstatymo 1 priede nurodyti duomenys įgaliotam padaliniui teikiami ir tvarkomi Lietuvos policijos generalinio komisaro nustatyta tvarka.</w:t>
                      </w:r>
                    </w:p>
                  </w:sdtContent>
                </w:sdt>
                <w:sdt>
                  <w:sdtPr>
                    <w:alias w:val="19-1 str. 9 d."/>
                    <w:tag w:val="part_e8b2edcdaaf949cbb88c529fac30dc1e"/>
                    <w:lock w:val="sdtLocked"/>
                    <w:richText/>
                  </w:sdtPr>
                  <w:sdtContent>
                    <w:p>
                      <w:pPr>
                        <w:widowControl w:val="0"/>
                        <w:ind w:firstLine="720"/>
                        <w:jc w:val="both"/>
                        <w:rPr>
                          <w:sz w:val="22"/>
                          <w:szCs w:val="22"/>
                        </w:rPr>
                      </w:pPr>
                      <w:sdt>
                        <w:sdtPr>
                          <w:alias w:val="Numeris"/>
                          <w:tag w:val="nr_e8b2edcdaaf949cbb88c529fac30dc1e"/>
                          <w:lock w:val="sdtLocked"/>
                          <w:richText/>
                        </w:sdtPr>
                        <w:sdtContent>
                          <w:r>
                            <w:rPr>
                              <w:sz w:val="22"/>
                              <w:szCs w:val="22"/>
                            </w:rPr>
                            <w:t>9</w:t>
                          </w:r>
                        </w:sdtContent>
                      </w:sdt>
                      <w:r>
                        <w:rPr>
                          <w:sz w:val="22"/>
                          <w:szCs w:val="22"/>
                        </w:rPr>
                        <w:t xml:space="preserve">. Vežėjas, kuris verčiasi keleivių vežimu oro keliais, Reglamento </w:t>
                      </w:r>
                      <w:hyperlink r:id="rId47" w:tgtFrame="_blank" w:history="1">
                        <w:r>
                          <w:rPr>
                            <w:color w:val="0000FF" w:themeColor="hyperlink"/>
                            <w:sz w:val="22"/>
                            <w:szCs w:val="22"/>
                            <w:u w:val="single"/>
                          </w:rPr>
                          <w:t>(ES) 2016/679</w:t>
                        </w:r>
                      </w:hyperlink>
                      <w:r>
                        <w:rPr>
                          <w:sz w:val="22"/>
                          <w:szCs w:val="22"/>
                        </w:rPr>
                        <w:t xml:space="preserve"> nustatyta tvarka privalo informuoti keleivius apie numatomą jų asmens duomenų, nurodytų šio straipsnio 1 dalyje, tvarkymą.</w:t>
                      </w:r>
                    </w:p>
                  </w:sdtContent>
                </w:sdt>
                <w:sdt>
                  <w:sdtPr>
                    <w:alias w:val="19-1 str. 10 d."/>
                    <w:tag w:val="part_2e3b27fffe5b465f8f609fddf614c146"/>
                    <w:lock w:val="sdtLocked"/>
                    <w:richText/>
                  </w:sdtPr>
                  <w:sdtContent>
                    <w:p>
                      <w:pPr>
                        <w:widowControl w:val="0"/>
                        <w:ind w:firstLine="720"/>
                        <w:jc w:val="both"/>
                        <w:rPr>
                          <w:bCs/>
                          <w:sz w:val="22"/>
                        </w:rPr>
                      </w:pPr>
                      <w:sdt>
                        <w:sdtPr>
                          <w:alias w:val="Numeris"/>
                          <w:tag w:val="nr_2e3b27fffe5b465f8f609fddf614c146"/>
                          <w:lock w:val="sdtLocked"/>
                          <w:richText/>
                        </w:sdtPr>
                        <w:sdtContent>
                          <w:r>
                            <w:rPr>
                              <w:sz w:val="22"/>
                              <w:szCs w:val="22"/>
                            </w:rPr>
                            <w:t>10</w:t>
                          </w:r>
                        </w:sdtContent>
                      </w:sdt>
                      <w:r>
                        <w:rPr>
                          <w:sz w:val="22"/>
                          <w:szCs w:val="22"/>
                        </w:rPr>
                        <w:t xml:space="preserve">. Savo teises dėl asmens duomenų tvarkymo keleivis įgyvendina vadovaudamasis duomenų valdytojų, į kuriuos kreipiamasi dėl duomenų subjekto teisių įgyvendinimo, nustatyta tvarka, Reglamentu </w:t>
                      </w:r>
                      <w:hyperlink r:id="rId48" w:tgtFrame="_blank" w:history="1">
                        <w:r>
                          <w:rPr>
                            <w:color w:val="0000FF" w:themeColor="hyperlink"/>
                            <w:sz w:val="22"/>
                            <w:szCs w:val="22"/>
                            <w:u w:val="single"/>
                          </w:rPr>
                          <w:t>(ES) 2016/679</w:t>
                        </w:r>
                      </w:hyperlink>
                      <w:r>
                        <w:rPr>
                          <w:sz w:val="22"/>
                          <w:szCs w:val="22"/>
                        </w:rPr>
                        <w:t xml:space="preserve"> arba Asmens duomenų, tvarkomų nusikalstamų veikų prevencijos, tyrimo, atskleidimo ar baudžiamojo persekiojimo už jas, bausmių vykdymo arba nacionalinio saugumo ar gynybos tikslais, teisinės apsaugos įstatymu.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e43c78642c864da3abfe7bb61bef65b7"/>
                    <w:lock w:val="sdtLocked"/>
                    <w:richText/>
                  </w:sdtPr>
                  <w:sdtContent>
                    <w:p>
                      <w:pPr>
                        <w:widowControl w:val="0"/>
                        <w:ind w:firstLine="720"/>
                        <w:jc w:val="both"/>
                      </w:pPr>
                      <w:sdt>
                        <w:sdtPr>
                          <w:alias w:val="Numeris"/>
                          <w:tag w:val="nr_e43c78642c864da3abfe7bb61bef65b7"/>
                          <w:lock w:val="sdtLocked"/>
                          <w:richText/>
                        </w:sdtPr>
                        <w:sdtContent>
                          <w:r>
                            <w:rPr>
                              <w:sz w:val="22"/>
                              <w:szCs w:val="22"/>
                            </w:rPr>
                            <w:t>4</w:t>
                          </w:r>
                        </w:sdtContent>
                      </w:sdt>
                      <w:r>
                        <w:rPr>
                          <w:sz w:val="22"/>
                          <w:szCs w:val="22"/>
                        </w:rPr>
                        <w:t>. Jeigu Lietuvos policijos generalinio komisaro įgaliota policijos įstaiga (toliau – policijos įstaiga) 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p>
                  <w:pPr>
                    <w:jc w:val="both"/>
                    <w:rPr>
                      <w:bCs/>
                      <w:i/>
                      <w:iCs/>
                      <w:sz w:val="20"/>
                    </w:rPr>
                  </w:pPr>
                  <w:r>
                    <w:rPr>
                      <w:bCs/>
                      <w:i/>
                      <w:iCs/>
                      <w:sz w:val="20"/>
                    </w:rPr>
                    <w:t>Straipsnio pakeitimai:</w:t>
                  </w:r>
                </w:p>
                <w:p>
                  <w:pPr>
                    <w:jc w:val="both"/>
                    <w:rPr>
                      <w:sz w:val="22"/>
                    </w:rPr>
                  </w:pPr>
                  <w:r>
                    <w:rPr>
                      <w:i/>
                      <w:iCs/>
                      <w:sz w:val="20"/>
                    </w:rPr>
                    <w:t xml:space="preserve">Nr. </w:t>
                  </w:r>
                  <w:hyperlink r:id="rId30"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1"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c57a5afa64e449b781211271fd182bcd"/>
                    <w:lock w:val="sdtLocked"/>
                    <w:richText/>
                  </w:sdtPr>
                  <w:sdtContent>
                    <w:p>
                      <w:pPr>
                        <w:ind w:firstLine="720"/>
                        <w:jc w:val="both"/>
                        <w:rPr>
                          <w:color w:val="000000"/>
                          <w:sz w:val="22"/>
                          <w:szCs w:val="22"/>
                        </w:rPr>
                      </w:pPr>
                      <w:sdt>
                        <w:sdtPr>
                          <w:alias w:val="Numeris"/>
                          <w:tag w:val="nr_c57a5afa64e449b781211271fd182bcd"/>
                          <w:lock w:val="sdtLocked"/>
                          <w:richText/>
                        </w:sdtPr>
                        <w:sdtContent>
                          <w:r>
                            <w:rPr>
                              <w:color w:val="000000"/>
                              <w:sz w:val="22"/>
                              <w:szCs w:val="22"/>
                            </w:rPr>
                            <w:t>3</w:t>
                          </w:r>
                        </w:sdtContent>
                      </w:sdt>
                      <w:r>
                        <w:rPr>
                          <w:color w:val="000000"/>
                          <w:sz w:val="22"/>
                          <w:szCs w:val="22"/>
                        </w:rPr>
                        <w:t>. Tinkamu pranešimu apie bylos nagrinėjimo vietą ir laiką laikomas pranešimas, išsiųstas registruotąja pašto siunta Juridinių asmenų registro informacinės sistemos nurodytu proceso šalies buveinės adresu, išskyrus atvejus, kai proceso šalis nurodo kitą korespondencijos įteikimo adresą, arba pranešimas, išsiųstas Juridinių asmenų registro informacinės sistemos nurodytu proceso šalies elektroninių siuntų pristatymo adresu, arba pranešimas, pasirašytinai įteiktas proceso šaliai ar kitam proceso dalyviui, arba pranešimas, proceso šalims ar kitiems proceso dalyviams išsiųstas registruotąja pašto siunta jų deklaruotos gyvenamosios vietos ar kitu jų raštu nurodytu adresu.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p>
                  <w:pPr>
                    <w:jc w:val="both"/>
                    <w:rPr>
                      <w:bCs/>
                      <w:i/>
                      <w:iCs/>
                      <w:sz w:val="20"/>
                    </w:rPr>
                  </w:pPr>
                  <w:r>
                    <w:rPr>
                      <w:bCs/>
                      <w:i/>
                      <w:iCs/>
                      <w:sz w:val="20"/>
                    </w:rPr>
                    <w:t>Straipsnio pakeitimai:</w:t>
                  </w:r>
                </w:p>
                <w:p>
                  <w:pPr>
                    <w:jc w:val="both"/>
                    <w:rPr>
                      <w:sz w:val="22"/>
                    </w:rPr>
                  </w:pPr>
                  <w:r>
                    <w:rPr>
                      <w:i/>
                      <w:iCs/>
                      <w:sz w:val="20"/>
                    </w:rPr>
                    <w:t xml:space="preserve">Nr. </w:t>
                  </w:r>
                  <w:hyperlink r:id="rId33"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4"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b7ec046530564354a75e0491d89bc20d"/>
                    <w:lock w:val="sdtLocked"/>
                    <w:richText/>
                  </w:sdtPr>
                  <w:sdtContent>
                    <w:p>
                      <w:pPr>
                        <w:ind w:firstLine="720"/>
                        <w:jc w:val="both"/>
                        <w:rPr>
                          <w:sz w:val="22"/>
                        </w:rPr>
                      </w:pPr>
                      <w:sdt>
                        <w:sdtPr>
                          <w:alias w:val="Numeris"/>
                          <w:tag w:val="nr_b7ec046530564354a75e0491d89bc20d"/>
                          <w:lock w:val="sdtLocked"/>
                          <w:richText/>
                        </w:sdtPr>
                        <w:sdtContent>
                          <w:r>
                            <w:rPr>
                              <w:bCs/>
                              <w:iCs/>
                              <w:sz w:val="22"/>
                              <w:szCs w:val="22"/>
                              <w:lang w:eastAsia="lt-LT"/>
                            </w:rPr>
                            <w:t>2</w:t>
                          </w:r>
                        </w:sdtContent>
                      </w:sdt>
                      <w:r>
                        <w:rPr>
                          <w:bCs/>
                          <w:iCs/>
                          <w:sz w:val="22"/>
                          <w:szCs w:val="22"/>
                          <w:lang w:eastAsia="lt-LT"/>
                        </w:rPr>
                        <w:t xml:space="preserve">. </w:t>
                      </w:r>
                      <w:r>
                        <w:rPr>
                          <w:bCs/>
                          <w:sz w:val="22"/>
                          <w:szCs w:val="22"/>
                          <w:lang w:eastAsia="lt-LT"/>
                        </w:rPr>
                        <w:t xml:space="preserve">Nutarimas dėl baudos skyrimo šio Įstatymo reikalavimus pažeidusiems vežėjams yra vykdomasis dokumentas, vykdomas </w:t>
                      </w:r>
                      <w:r>
                        <w:rPr>
                          <w:bCs/>
                          <w:iCs/>
                          <w:sz w:val="22"/>
                          <w:szCs w:val="22"/>
                          <w:lang w:eastAsia="lt-LT"/>
                        </w:rPr>
                        <w:t>Lietuvos Respublikos mokesčių administravimo įstatyme ir Lietuvos Respublikos civilinio proceso kodekse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94460502b11f180c9c618618421ed">
                        <w:r w:rsidRPr="00532B9F">
                          <w:rPr>
                            <w:rFonts w:ascii="Times New Roman" w:eastAsia="MS Mincho" w:hAnsi="Times New Roman"/>
                            <w:sz w:val="20"/>
                            <w:i/>
                            <w:iCs/>
                            <w:color w:val="0000FF" w:themeColor="hyperlink"/>
                            <w:u w:val="single"/>
                          </w:rPr>
                          <w:t>XV-892</w:t>
                        </w:r>
                      </w:fldSimple>
                      <w:r>
                        <w:rPr>
                          <w:rFonts w:ascii="Times New Roman" w:eastAsia="MS Mincho" w:hAnsi="Times New Roman"/>
                          <w:sz w:val="20"/>
                          <w:i/>
                          <w:iCs/>
                        </w:rPr>
                        <w:t>,
2026-05-12,
paskelbta TAR 2026-05-15, i. k. 2026-08222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255836a4bb924328973bd23a929ee751"/>
        <w:lock w:val="sdtLocked"/>
        <w:richText/>
      </w:sdtPr>
      <w:sdtContent>
        <w:p>
          <w:pPr>
            <w:ind w:firstLine="5760"/>
            <w:jc w:val="both"/>
            <w:sectPr>
              <w:headerReference w:type="default" r:id="rId46"/>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255836a4bb924328973bd23a929ee751"/>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255836a4bb924328973bd23a929ee751"/>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d925a82e9f7143829a54760dd630ce1a"/>
                <w:lock w:val="sdtLocked"/>
                <w:richText/>
              </w:sdtPr>
              <w:sdtContent>
                <w:p>
                  <w:pPr>
                    <w:widowControl w:val="0"/>
                    <w:ind w:firstLine="720"/>
                    <w:jc w:val="both"/>
                    <w:rPr>
                      <w:sz w:val="22"/>
                      <w:szCs w:val="22"/>
                    </w:rPr>
                  </w:pPr>
                  <w:sdt>
                    <w:sdtPr>
                      <w:alias w:val="Numeris"/>
                      <w:tag w:val="nr_d925a82e9f7143829a54760dd630ce1a"/>
                      <w:lock w:val="sdtLocked"/>
                      <w:richText/>
                    </w:sdtPr>
                    <w:sdtContent>
                      <w:r>
                        <w:rPr>
                          <w:sz w:val="22"/>
                          <w:szCs w:val="22"/>
                        </w:rPr>
                        <w:t>2.3</w:t>
                      </w:r>
                    </w:sdtContent>
                  </w:sdt>
                  <w:r>
                    <w:rPr>
                      <w:sz w:val="22"/>
                      <w:szCs w:val="22"/>
                    </w:rPr>
                    <w:t>. skrydį vykdantis faktinis vežėjas, kuris verčiasi keleivių vežimu oro keliais, (pavadinimas, kodas);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796677edb5934aa9b1b5a35bfa949c6d"/>
        <w:lock w:val="sdtLocked"/>
        <w:richText/>
      </w:sdtPr>
      <w:sdtContent>
        <w:p>
          <w:pPr>
            <w:widowControl w:val="0"/>
            <w:ind w:firstLine="5670"/>
            <w:rPr>
              <w:sz w:val="22"/>
              <w:szCs w:val="22"/>
            </w:rPr>
          </w:pPr>
          <w:r>
            <w:rPr>
              <w:sz w:val="22"/>
              <w:szCs w:val="22"/>
            </w:rPr>
            <w:t>Lietuvos Respublikos</w:t>
          </w:r>
        </w:p>
        <w:p>
          <w:pPr>
            <w:widowControl w:val="0"/>
            <w:ind w:firstLine="5670"/>
            <w:rPr>
              <w:sz w:val="22"/>
              <w:szCs w:val="22"/>
            </w:rPr>
          </w:pPr>
          <w:r>
            <w:rPr>
              <w:sz w:val="22"/>
              <w:szCs w:val="22"/>
            </w:rPr>
            <w:t>transporto veiklos pagrindų įstatymo</w:t>
          </w:r>
        </w:p>
        <w:p>
          <w:pPr>
            <w:widowControl w:val="0"/>
            <w:ind w:firstLine="5670"/>
            <w:rPr>
              <w:sz w:val="22"/>
              <w:szCs w:val="22"/>
            </w:rPr>
          </w:pPr>
          <w:sdt>
            <w:sdtPr>
              <w:alias w:val="Numeris"/>
              <w:tag w:val="nr_796677edb5934aa9b1b5a35bfa949c6d"/>
              <w:lock w:val="sdtLocked"/>
              <w:richText/>
            </w:sdtPr>
            <w:sdtContent>
              <w:r>
                <w:rPr>
                  <w:sz w:val="22"/>
                  <w:szCs w:val="22"/>
                </w:rPr>
                <w:t>3</w:t>
              </w:r>
            </w:sdtContent>
          </w:sdt>
          <w:r>
            <w:rPr>
              <w:sz w:val="22"/>
              <w:szCs w:val="22"/>
            </w:rPr>
            <w:t xml:space="preserve"> priedas</w:t>
          </w:r>
        </w:p>
        <w:p>
          <w:pPr>
            <w:widowControl w:val="0"/>
            <w:ind w:firstLine="720"/>
            <w:jc w:val="center"/>
            <w:rPr>
              <w:b/>
              <w:bCs/>
              <w:sz w:val="22"/>
              <w:szCs w:val="22"/>
            </w:rPr>
          </w:pPr>
        </w:p>
        <w:p>
          <w:pPr>
            <w:widowControl w:val="0"/>
            <w:ind w:firstLine="720"/>
            <w:jc w:val="center"/>
            <w:rPr>
              <w:b/>
              <w:sz w:val="22"/>
              <w:szCs w:val="22"/>
            </w:rPr>
          </w:pPr>
          <w:sdt>
            <w:sdtPr>
              <w:alias w:val="Pavadinimas"/>
              <w:tag w:val="title_796677edb5934aa9b1b5a35bfa949c6d"/>
              <w:lock w:val="sdtLocked"/>
              <w:richText/>
            </w:sdtPr>
            <w:sdtContent>
              <w:r>
                <w:rPr>
                  <w:b/>
                  <w:bCs/>
                  <w:sz w:val="22"/>
                  <w:szCs w:val="22"/>
                </w:rPr>
                <w:t>ĮGYVENDINAMI EUROPOS SĄJUNGOS TEISĖS AKTAI</w:t>
              </w:r>
            </w:sdtContent>
          </w:sdt>
        </w:p>
        <w:p>
          <w:pPr>
            <w:widowControl w:val="0"/>
            <w:ind w:firstLine="720"/>
            <w:jc w:val="both"/>
            <w:rPr>
              <w:sz w:val="22"/>
              <w:szCs w:val="22"/>
            </w:rPr>
          </w:pPr>
        </w:p>
        <w:sdt>
          <w:sdtPr>
            <w:alias w:val="3 pr. 1 p."/>
            <w:tag w:val="part_036c0dd8b4c0444ca542cee20393c99f"/>
            <w:lock w:val="sdtLocked"/>
            <w:richText/>
          </w:sdtPr>
          <w:sdtContent>
            <w:p>
              <w:pPr>
                <w:widowControl w:val="0"/>
                <w:ind w:firstLine="720"/>
                <w:jc w:val="both"/>
                <w:rPr>
                  <w:sz w:val="22"/>
                  <w:szCs w:val="22"/>
                </w:rPr>
              </w:pPr>
              <w:sdt>
                <w:sdtPr>
                  <w:alias w:val="Numeris"/>
                  <w:tag w:val="nr_036c0dd8b4c0444ca542cee20393c99f"/>
                  <w:lock w:val="sdtLocked"/>
                  <w:richText/>
                </w:sdtPr>
                <w:sdtContent>
                  <w:r>
                    <w:rPr>
                      <w:sz w:val="22"/>
                      <w:szCs w:val="22"/>
                    </w:rPr>
                    <w:t>1</w:t>
                  </w:r>
                </w:sdtContent>
              </w:sdt>
              <w:r>
                <w:rPr>
                  <w:sz w:val="22"/>
                  <w:szCs w:val="22"/>
                </w:rPr>
                <w:t xml:space="preserve">. 2001 m. birželio 28 d. Tarybos direktyva </w:t>
              </w:r>
              <w:hyperlink r:id="rId49" w:tgtFrame="_blank" w:history="1">
                <w:r>
                  <w:rPr>
                    <w:color w:val="0000FF" w:themeColor="hyperlink"/>
                    <w:sz w:val="22"/>
                    <w:szCs w:val="22"/>
                    <w:u w:val="single"/>
                  </w:rPr>
                  <w:t>2001/51/EB</w:t>
                </w:r>
              </w:hyperlink>
              <w:r>
                <w:rPr>
                  <w:sz w:val="22"/>
                  <w:szCs w:val="22"/>
                </w:rPr>
                <w:t>, papildanti Konvencijos dėl 1985 m. birželio 14 d. Šengeno susitarimo įgyvendinimo 26 straipsnio nuostatas.</w:t>
              </w:r>
            </w:p>
          </w:sdtContent>
        </w:sdt>
        <w:sdt>
          <w:sdtPr>
            <w:alias w:val="3 pr. 2 p."/>
            <w:tag w:val="part_2c16241c48604ea98ae5bc1e6cc6c256"/>
            <w:lock w:val="sdtLocked"/>
            <w:richText/>
          </w:sdtPr>
          <w:sdtContent>
            <w:p>
              <w:pPr>
                <w:widowControl w:val="0"/>
                <w:ind w:firstLine="720"/>
                <w:jc w:val="both"/>
                <w:rPr>
                  <w:sz w:val="22"/>
                  <w:szCs w:val="22"/>
                </w:rPr>
              </w:pPr>
              <w:sdt>
                <w:sdtPr>
                  <w:alias w:val="Numeris"/>
                  <w:tag w:val="nr_2c16241c48604ea98ae5bc1e6cc6c256"/>
                  <w:lock w:val="sdtLocked"/>
                  <w:richText/>
                </w:sdtPr>
                <w:sdtContent>
                  <w:r>
                    <w:rPr>
                      <w:sz w:val="22"/>
                      <w:szCs w:val="22"/>
                    </w:rPr>
                    <w:t>2</w:t>
                  </w:r>
                </w:sdtContent>
              </w:sdt>
              <w:r>
                <w:rPr>
                  <w:sz w:val="22"/>
                  <w:szCs w:val="22"/>
                </w:rPr>
                <w:t xml:space="preserve">. 2004 m. balandžio 29 d. Tarybos direktyva </w:t>
              </w:r>
              <w:hyperlink r:id="rId50" w:tgtFrame="_blank" w:history="1">
                <w:r>
                  <w:rPr>
                    <w:color w:val="0000FF" w:themeColor="hyperlink"/>
                    <w:sz w:val="22"/>
                    <w:szCs w:val="22"/>
                    <w:u w:val="single"/>
                  </w:rPr>
                  <w:t>2004/82/EB</w:t>
                </w:r>
              </w:hyperlink>
              <w:r>
                <w:rPr>
                  <w:sz w:val="22"/>
                  <w:szCs w:val="22"/>
                </w:rPr>
                <w:t xml:space="preserve"> dėl vežėjų įpareigojimo perduoti keleivių duomenis.</w:t>
              </w:r>
            </w:p>
          </w:sdtContent>
        </w:sdt>
        <w:sdt>
          <w:sdtPr>
            <w:alias w:val="3 pr. 3 p."/>
            <w:tag w:val="part_f0f0569f872b4b0bb1433dc1797abbfb"/>
            <w:lock w:val="sdtLocked"/>
            <w:richText/>
          </w:sdtPr>
          <w:sdtContent>
            <w:p>
              <w:pPr>
                <w:ind w:firstLine="720"/>
                <w:jc w:val="both"/>
                <w:rPr>
                  <w:color w:val="000000"/>
                  <w:sz w:val="22"/>
                  <w:szCs w:val="22"/>
                </w:rPr>
              </w:pPr>
              <w:sdt>
                <w:sdtPr>
                  <w:alias w:val="Numeris"/>
                  <w:tag w:val="nr_f0f0569f872b4b0bb1433dc1797abbfb"/>
                  <w:lock w:val="sdtLocked"/>
                  <w:richText/>
                </w:sdtPr>
                <w:sdtContent>
                  <w:r>
                    <w:rPr>
                      <w:color w:val="000000"/>
                      <w:sz w:val="22"/>
                      <w:szCs w:val="22"/>
                    </w:rPr>
                    <w:t>3</w:t>
                  </w:r>
                </w:sdtContent>
              </w:sdt>
              <w:r>
                <w:rPr>
                  <w:color w:val="000000"/>
                  <w:sz w:val="22"/>
                  <w:szCs w:val="22"/>
                </w:rPr>
                <w:t xml:space="preserve">. 2010 m. liepos 7 d. Europos Parlamento ir Tarybos direktyva </w:t>
              </w:r>
              <w:hyperlink r:id="rId51" w:tgtFrame="_blank" w:history="1">
                <w:r>
                  <w:rPr>
                    <w:color w:val="0000FF" w:themeColor="hyperlink"/>
                    <w:sz w:val="22"/>
                    <w:szCs w:val="22"/>
                    <w:u w:val="single"/>
                  </w:rPr>
                  <w:t>2010/40/ES</w:t>
                </w:r>
              </w:hyperlink>
              <w:r>
                <w:rPr>
                  <w:color w:val="000000"/>
                  <w:sz w:val="22"/>
                  <w:szCs w:val="22"/>
                </w:rPr>
                <w:t xml:space="preserve"> dėl kelių transporto ir jo sąsajų su kitų rūšių transportu srities intelektinių transporto sistemų diegimo sistemos su paskutiniais pakeitimais, padarytais 2023 m. lapkričio 22 d. Europos Parlamento ir Tarybos direktyva </w:t>
              </w:r>
              <w:hyperlink r:id="rId52" w:tgtFrame="_blank" w:history="1">
                <w:r>
                  <w:rPr>
                    <w:color w:val="0000FF" w:themeColor="hyperlink"/>
                    <w:sz w:val="22"/>
                    <w:szCs w:val="22"/>
                    <w:u w:val="single"/>
                  </w:rPr>
                  <w:t>(ES) 2023/2661</w:t>
                </w:r>
              </w:hyperlink>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3 pr. 4 p."/>
            <w:tag w:val="part_a8a2a6889b494a49a5588ebad401928d"/>
            <w:lock w:val="sdtLocked"/>
            <w:richText/>
          </w:sdtPr>
          <w:sdtContent>
            <w:p>
              <w:pPr>
                <w:widowControl w:val="0"/>
                <w:ind w:firstLine="720"/>
                <w:jc w:val="both"/>
                <w:rPr>
                  <w:sz w:val="22"/>
                  <w:szCs w:val="22"/>
                </w:rPr>
              </w:pPr>
              <w:sdt>
                <w:sdtPr>
                  <w:alias w:val="Numeris"/>
                  <w:tag w:val="nr_a8a2a6889b494a49a5588ebad401928d"/>
                  <w:lock w:val="sdtLocked"/>
                  <w:richText/>
                </w:sdtPr>
                <w:sdtContent>
                  <w:r>
                    <w:rPr>
                      <w:sz w:val="22"/>
                      <w:szCs w:val="22"/>
                    </w:rPr>
                    <w:t>4</w:t>
                  </w:r>
                </w:sdtContent>
              </w:sdt>
              <w:r>
                <w:rPr>
                  <w:sz w:val="22"/>
                  <w:szCs w:val="22"/>
                </w:rPr>
                <w:t xml:space="preserve">. 2016 m. balandžio 27 d. Europos Parlamento ir Tarybos direktyva </w:t>
              </w:r>
              <w:hyperlink r:id="rId53" w:tgtFrame="_blank" w:history="1">
                <w:r>
                  <w:rPr>
                    <w:color w:val="0000FF" w:themeColor="hyperlink"/>
                    <w:sz w:val="22"/>
                    <w:szCs w:val="22"/>
                    <w:u w:val="single"/>
                  </w:rPr>
                  <w:t>2016/681</w:t>
                </w:r>
              </w:hyperlink>
              <w:r>
                <w:rPr>
                  <w:sz w:val="22"/>
                  <w:szCs w:val="22"/>
                </w:rPr>
                <w:t xml:space="preserve"> dėl keleivio duomenų įrašo (PNR) duomenų naudojimo teroristinių nusikaltimų ir sunkių nusikaltimų prevencijos, nustatymo, tyrimo ir patraukimo už juos baudžiamojon atsakomybėn tikslais.</w:t>
              </w:r>
            </w:p>
          </w:sdtContent>
        </w:sdt>
        <w:sdt>
          <w:sdtPr>
            <w:alias w:val="5 d."/>
            <w:tag w:val="part_7f0a1c0d5acf46d8b0c9e971f7811a03"/>
            <w:lock w:val="sdtLocked"/>
            <w:richText/>
          </w:sdtPr>
          <w:sdtContent>
            <w:p>
              <w:pPr>
                <w:ind w:firstLine="720"/>
                <w:jc w:val="both"/>
                <w:rPr>
                  <w:sz w:val="22"/>
                  <w:szCs w:val="22"/>
                </w:rPr>
              </w:pPr>
              <w:sdt>
                <w:sdtPr>
                  <w:alias w:val="Numeris"/>
                  <w:tag w:val="nr_7f0a1c0d5acf46d8b0c9e971f7811a03"/>
                  <w:lock w:val="sdtLocked"/>
                  <w:richText/>
                </w:sdtPr>
                <w:sdtContent>
                  <w:r>
                    <w:rPr>
                      <w:bCs/>
                      <w:sz w:val="22"/>
                      <w:szCs w:val="22"/>
                    </w:rPr>
                    <w:t>5</w:t>
                  </w:r>
                </w:sdtContent>
              </w:sdt>
              <w:r>
                <w:rPr>
                  <w:bCs/>
                  <w:sz w:val="22"/>
                  <w:szCs w:val="22"/>
                </w:rPr>
                <w:t xml:space="preserve">. 1992 m. gruodžio 7 d. Tarybos direktyva </w:t>
              </w:r>
              <w:hyperlink r:id="rId54" w:tgtFrame="_blank" w:history="1">
                <w:r>
                  <w:rPr>
                    <w:bCs/>
                    <w:color w:val="0000FF" w:themeColor="hyperlink"/>
                    <w:sz w:val="22"/>
                    <w:szCs w:val="22"/>
                    <w:u w:val="single"/>
                  </w:rPr>
                  <w:t>92/106/EEB</w:t>
                </w:r>
              </w:hyperlink>
              <w:r>
                <w:rPr>
                  <w:bCs/>
                  <w:sz w:val="22"/>
                  <w:szCs w:val="22"/>
                </w:rPr>
                <w:t xml:space="preserve"> dėl tam tikrų kombinuoto krovinių vežimo tarp valstybių narių tipų bendrųjų taisyklių nustatymo su paskutiniais pakeitimais, padarytais 2013 m. gegužės 13 d. Tarybos direktyva </w:t>
              </w:r>
              <w:hyperlink r:id="rId55" w:tgtFrame="_blank" w:history="1">
                <w:r>
                  <w:rPr>
                    <w:bCs/>
                    <w:color w:val="0000FF" w:themeColor="hyperlink"/>
                    <w:sz w:val="22"/>
                    <w:szCs w:val="22"/>
                    <w:u w:val="single"/>
                  </w:rPr>
                  <w:t>2013/22/ES</w:t>
                </w:r>
              </w:hyperlink>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ee8d24da511f0b070ee7f1ceefc75">
                <w:r w:rsidRPr="00532B9F">
                  <w:rPr>
                    <w:rFonts w:ascii="Times New Roman" w:eastAsia="MS Mincho" w:hAnsi="Times New Roman"/>
                    <w:sz w:val="20"/>
                    <w:i/>
                    <w:iCs/>
                    <w:color w:val="0000FF" w:themeColor="hyperlink"/>
                    <w:u w:val="single"/>
                  </w:rPr>
                  <w:t>XV-288</w:t>
                </w:r>
              </w:fldSimple>
              <w:r>
                <w:rPr>
                  <w:rFonts w:ascii="Times New Roman" w:eastAsia="MS Mincho" w:hAnsi="Times New Roman"/>
                  <w:sz w:val="20"/>
                  <w:i/>
                  <w:iCs/>
                </w:rPr>
                <w:t>,
2025-06-17,
paskelbta TAR 2025-06-20, i. k. 2025-11224        </w:t>
              </w:r>
            </w:p>
            <w:p/>
          </w:sdtContent>
        </w:sdt>
        <w:sdt>
          <w:sdtPr>
            <w:alias w:val="pabaiga"/>
            <w:tag w:val="part_9bca0544d98f4367a5d4aa658099fc81"/>
            <w:lock w:val="sdtLocked"/>
            <w:richText/>
          </w:sdtPr>
          <w:sdtContent>
            <w:p>
              <w:pPr>
                <w:widowControl w:val="0"/>
                <w:jc w:val="center"/>
                <w:rPr>
                  <w:sz w:val="22"/>
                  <w:szCs w:val="22"/>
                </w:rP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36"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37"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9"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0"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1"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2"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b01e0c2de11eba2bad9a0748ee64d">
            <w:r w:rsidRPr="00532B9F">
              <w:rPr>
                <w:rFonts w:ascii="Times New Roman" w:eastAsia="MS Mincho" w:hAnsi="Times New Roman"/>
                <w:sz w:val="20"/>
                <w:iCs/>
                <w:color w:val="0000FF" w:themeColor="hyperlink"/>
                <w:u w:val="single"/>
              </w:rPr>
              <w:t>XIV-330</w:t>
            </w:r>
          </w:fldSimple>
          <w:r>
            <w:rPr>
              <w:rFonts w:ascii="Times New Roman" w:eastAsia="MS Mincho" w:hAnsi="Times New Roman"/>
              <w:sz w:val="20"/>
              <w:iCs/>
            </w:rPr>
            <w:t>,
2021-05-20,
paskelbta TAR 2021-06-01, i. k. 2021-12501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7ddbd017b211ec9f09e7df20500045">
            <w:r w:rsidRPr="00532B9F">
              <w:rPr>
                <w:rFonts w:ascii="Times New Roman" w:eastAsia="MS Mincho" w:hAnsi="Times New Roman"/>
                <w:sz w:val="20"/>
                <w:iCs/>
                <w:color w:val="0000FF" w:themeColor="hyperlink"/>
                <w:u w:val="single"/>
              </w:rPr>
              <w:t>XIV-524</w:t>
            </w:r>
          </w:fldSimple>
          <w:r>
            <w:rPr>
              <w:rFonts w:ascii="Times New Roman" w:eastAsia="MS Mincho" w:hAnsi="Times New Roman"/>
              <w:sz w:val="20"/>
              <w:iCs/>
            </w:rPr>
            <w:t>,
2021-09-16,
paskelbta TAR 2021-09-17, i. k. 2021-19617                </w:t>
          </w:r>
        </w:p>
        <w:p>
          <w:pPr>
            <w:jc w:val="both"/>
            <w:rPr>
              <w:rFonts w:ascii="Times New Roman" w:hAnsi="Times New Roman"/>
            </w:rPr>
          </w:pPr>
          <w:r>
            <w:rPr>
              <w:rFonts w:ascii="Times New Roman" w:hAnsi="Times New Roman"/>
              <w:sz w:val="20"/>
            </w:rPr>
            <w:t>Lietuvos Respublikos transporto veiklos pagrindų įstatymo Nr. I-1863 2, 4, 6, 9, 14, 15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f6b92000e111ed8fa7d02a65c371ad">
            <w:r w:rsidRPr="00532B9F">
              <w:rPr>
                <w:rFonts w:ascii="Times New Roman" w:eastAsia="MS Mincho" w:hAnsi="Times New Roman"/>
                <w:sz w:val="20"/>
                <w:iCs/>
                <w:color w:val="0000FF" w:themeColor="hyperlink"/>
                <w:u w:val="single"/>
              </w:rPr>
              <w:t>XIV-1168</w:t>
            </w:r>
          </w:fldSimple>
          <w:r>
            <w:rPr>
              <w:rFonts w:ascii="Times New Roman" w:eastAsia="MS Mincho" w:hAnsi="Times New Roman"/>
              <w:sz w:val="20"/>
              <w:iCs/>
            </w:rPr>
            <w:t>,
2022-06-23,
paskelbta TAR 2022-07-11, i. k. 2022-15162                </w:t>
          </w:r>
        </w:p>
        <w:p>
          <w:pPr>
            <w:jc w:val="both"/>
            <w:rPr>
              <w:rFonts w:ascii="Times New Roman" w:hAnsi="Times New Roman"/>
            </w:rPr>
          </w:pPr>
          <w:r>
            <w:rPr>
              <w:rFonts w:ascii="Times New Roman" w:hAnsi="Times New Roman"/>
              <w:sz w:val="20"/>
            </w:rPr>
            <w:t>Lietuvos Respublikos transporto veiklos pagrindų įstatymo Nr. I-1863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45aa90f6bc11ec8fa7d02a65c371ad">
            <w:r w:rsidRPr="00532B9F">
              <w:rPr>
                <w:rFonts w:ascii="Times New Roman" w:eastAsia="MS Mincho" w:hAnsi="Times New Roman"/>
                <w:sz w:val="20"/>
                <w:iCs/>
                <w:color w:val="0000FF" w:themeColor="hyperlink"/>
                <w:u w:val="single"/>
              </w:rPr>
              <w:t>XIV-1141</w:t>
            </w:r>
          </w:fldSimple>
          <w:r>
            <w:rPr>
              <w:rFonts w:ascii="Times New Roman" w:eastAsia="MS Mincho" w:hAnsi="Times New Roman"/>
              <w:sz w:val="20"/>
              <w:iCs/>
            </w:rPr>
            <w:t>,
2022-06-21,
paskelbta TAR 2022-06-28, i. k. 2022-13853                </w:t>
          </w:r>
        </w:p>
        <w:p>
          <w:pPr>
            <w:jc w:val="both"/>
            <w:rPr>
              <w:rFonts w:ascii="Times New Roman" w:hAnsi="Times New Roman"/>
            </w:rPr>
          </w:pPr>
          <w:r>
            <w:rPr>
              <w:rFonts w:ascii="Times New Roman" w:hAnsi="Times New Roman"/>
              <w:sz w:val="20"/>
            </w:rPr>
            <w:t>Lietuvos Respublikos transporto veiklos pagrindų įstatymo Nr. I-1863 2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23ed32d88811efa5ddd96c482819f5">
            <w:r w:rsidRPr="00532B9F">
              <w:rPr>
                <w:rFonts w:ascii="Times New Roman" w:eastAsia="MS Mincho" w:hAnsi="Times New Roman"/>
                <w:sz w:val="20"/>
                <w:iCs/>
                <w:color w:val="0000FF" w:themeColor="hyperlink"/>
                <w:u w:val="single"/>
              </w:rPr>
              <w:t>XV-104</w:t>
            </w:r>
          </w:fldSimple>
          <w:r>
            <w:rPr>
              <w:rFonts w:ascii="Times New Roman" w:eastAsia="MS Mincho" w:hAnsi="Times New Roman"/>
              <w:sz w:val="20"/>
              <w:iCs/>
            </w:rPr>
            <w:t>,
2025-01-14,
paskelbta TAR 2025-01-22, i. k. 2025-00714                </w:t>
          </w:r>
        </w:p>
        <w:p>
          <w:pPr>
            <w:jc w:val="both"/>
            <w:rPr>
              <w:rFonts w:ascii="Times New Roman" w:hAnsi="Times New Roman"/>
            </w:rPr>
          </w:pPr>
          <w:r>
            <w:rPr>
              <w:rFonts w:ascii="Times New Roman" w:hAnsi="Times New Roman"/>
              <w:sz w:val="20"/>
            </w:rPr>
            <w:t>Lietuvos Respublikos transporto veiklos pagrindų įstatymo Nr. I-1863 2, 11, 19-1, 20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9ee8d24da511f0b070ee7f1ceefc75">
            <w:r w:rsidRPr="00532B9F">
              <w:rPr>
                <w:rFonts w:ascii="Times New Roman" w:eastAsia="MS Mincho" w:hAnsi="Times New Roman"/>
                <w:sz w:val="20"/>
                <w:iCs/>
                <w:color w:val="0000FF" w:themeColor="hyperlink"/>
                <w:u w:val="single"/>
              </w:rPr>
              <w:t>XV-288</w:t>
            </w:r>
          </w:fldSimple>
          <w:r>
            <w:rPr>
              <w:rFonts w:ascii="Times New Roman" w:eastAsia="MS Mincho" w:hAnsi="Times New Roman"/>
              <w:sz w:val="20"/>
              <w:iCs/>
            </w:rPr>
            <w:t>,
2025-06-17,
paskelbta TAR 2025-06-20, i. k. 2025-11224                </w:t>
          </w:r>
        </w:p>
        <w:p>
          <w:pPr>
            <w:jc w:val="both"/>
            <w:rPr>
              <w:rFonts w:ascii="Times New Roman" w:hAnsi="Times New Roman"/>
            </w:rPr>
          </w:pPr>
          <w:r>
            <w:rPr>
              <w:rFonts w:ascii="Times New Roman" w:hAnsi="Times New Roman"/>
              <w:sz w:val="20"/>
            </w:rPr>
            <w:t>Lietuvos Respublikos transporto veiklos pagrindų įstatymo Nr. I-1863 12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2827f4cc3311f08918e1adc7c5b1ec">
            <w:r w:rsidRPr="00532B9F">
              <w:rPr>
                <w:rFonts w:ascii="Times New Roman" w:eastAsia="MS Mincho" w:hAnsi="Times New Roman"/>
                <w:sz w:val="20"/>
                <w:iCs/>
                <w:color w:val="0000FF" w:themeColor="hyperlink"/>
                <w:u w:val="single"/>
              </w:rPr>
              <w:t>XV-518</w:t>
            </w:r>
          </w:fldSimple>
          <w:r>
            <w:rPr>
              <w:rFonts w:ascii="Times New Roman" w:eastAsia="MS Mincho" w:hAnsi="Times New Roman"/>
              <w:sz w:val="20"/>
              <w:iCs/>
            </w:rPr>
            <w:t>,
2025-11-13,
paskelbta TAR 2025-11-28, i. k. 2025-20136                </w:t>
          </w:r>
        </w:p>
        <w:p>
          <w:pPr>
            <w:jc w:val="both"/>
            <w:rPr>
              <w:rFonts w:ascii="Times New Roman" w:hAnsi="Times New Roman"/>
            </w:rPr>
          </w:pPr>
          <w:r>
            <w:rPr>
              <w:rFonts w:ascii="Times New Roman" w:hAnsi="Times New Roman"/>
              <w:sz w:val="20"/>
            </w:rPr>
            <w:t>Lietuvos Respublikos transporto veiklos pagrindų įstatymo Nr. I-1863 2, 11, 13-1, 23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94460502b11f180c9c618618421ed">
            <w:r w:rsidRPr="00532B9F">
              <w:rPr>
                <w:rFonts w:ascii="Times New Roman" w:eastAsia="MS Mincho" w:hAnsi="Times New Roman"/>
                <w:sz w:val="20"/>
                <w:iCs/>
                <w:color w:val="0000FF" w:themeColor="hyperlink"/>
                <w:u w:val="single"/>
              </w:rPr>
              <w:t>XV-892</w:t>
            </w:r>
          </w:fldSimple>
          <w:r>
            <w:rPr>
              <w:rFonts w:ascii="Times New Roman" w:eastAsia="MS Mincho" w:hAnsi="Times New Roman"/>
              <w:sz w:val="20"/>
              <w:iCs/>
            </w:rPr>
            <w:t>,
2026-05-12,
paskelbta TAR 2026-05-15, i. k. 2026-08222                </w:t>
          </w:r>
        </w:p>
        <w:p>
          <w:pPr>
            <w:jc w:val="both"/>
            <w:rPr>
              <w:rFonts w:ascii="Times New Roman" w:hAnsi="Times New Roman"/>
            </w:rPr>
          </w:pPr>
          <w:r>
            <w:rPr>
              <w:rFonts w:ascii="Times New Roman" w:hAnsi="Times New Roman"/>
              <w:sz w:val="20"/>
            </w:rPr>
            <w:t>Lietuvos Respublikos transporto veiklos pagrindų įstatymo Nr. I-1863 27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2</w:t>
    </w:r>
    <w: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3</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jc w:val="center"/>
    </w:pPr>
    <w:r>
      <w:fldChar w:fldCharType="begin"/>
    </w:r>
    <w:r>
      <w:instrText>PAGE   \* MERGEFORMAT</w:instrText>
    </w:r>
    <w:r>
      <w:fldChar w:fldCharType="separate"/>
    </w:r>
    <w:r>
      <w:t>3</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5</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C7AD5D"/>
  <w15:docId w15:val="{D6F2E7E0-E5AC-4359-B2AE-890C1958745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80576&amp;b="/>
  <Relationship Id="rId11" Type="http://schemas.openxmlformats.org/officeDocument/2006/relationships/hyperlink" TargetMode="External" Target="http://www3.lrs.lt/cgi-bin/preps2?a=412853&amp;b="/>
  <Relationship Id="rId12" Type="http://schemas.openxmlformats.org/officeDocument/2006/relationships/hyperlink" TargetMode="External" Target="http://www3.lrs.lt/cgi-bin/preps2?a=415670&amp;b="/>
  <Relationship Id="rId13" Type="http://schemas.openxmlformats.org/officeDocument/2006/relationships/hyperlink" TargetMode="External" Target="http://www3.lrs.lt/cgi-bin/preps2?a=256808&amp;b="/>
  <Relationship Id="rId14" Type="http://schemas.openxmlformats.org/officeDocument/2006/relationships/hyperlink" TargetMode="External" Target="http://www3.lrs.lt/cgi-bin/preps2?a=412853&amp;b="/>
  <Relationship Id="rId15" Type="http://schemas.openxmlformats.org/officeDocument/2006/relationships/hyperlink" TargetMode="External" Target="http://www3.lrs.lt/cgi-bin/preps2?a=415670&amp;b="/>
  <Relationship Id="rId16" Type="http://schemas.openxmlformats.org/officeDocument/2006/relationships/hyperlink" TargetMode="External" Target="http://www3.lrs.lt/cgi-bin/preps2?a=437381&amp;b="/>
  <Relationship Id="rId17" Type="http://schemas.openxmlformats.org/officeDocument/2006/relationships/hyperlink" TargetMode="External" Target="http://www3.lrs.lt/cgi-bin/preps2?a=415670&amp;b="/>
  <Relationship Id="rId18" Type="http://schemas.openxmlformats.org/officeDocument/2006/relationships/hyperlink" TargetMode="External" Target="http://www3.lrs.lt/cgi-bin/preps2?a=415670&amp;b="/>
  <Relationship Id="rId19" Type="http://schemas.openxmlformats.org/officeDocument/2006/relationships/hyperlink" TargetMode="External" Target="http://www3.lrs.lt/cgi-bin/preps2?a=223787&amp;b="/>
  <Relationship Id="rId2" Type="http://schemas.openxmlformats.org/officeDocument/2006/relationships/fontTable" Target="fontTable.xml"/>
  <Relationship Id="rId20" Type="http://schemas.openxmlformats.org/officeDocument/2006/relationships/hyperlink" TargetMode="External" Target="http://www3.lrs.lt/cgi-bin/preps2?a=232365&amp;b="/>
  <Relationship Id="rId21" Type="http://schemas.openxmlformats.org/officeDocument/2006/relationships/hyperlink" TargetMode="External" Target="http://www3.lrs.lt/cgi-bin/preps2?a=415670&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eur-lex.europa.eu/legal-content/LIT/TXT/?uri=CELEX:32016R0679&amp;locale=lt"/>
  <Relationship Id="rId24" Type="http://schemas.openxmlformats.org/officeDocument/2006/relationships/hyperlink" TargetMode="External" Target="http://eur-lex.europa.eu/legal-content/LIT/TXT/?uri=CELEX:31995L0046&amp;locale=lt"/>
  <Relationship Id="rId25" Type="http://schemas.openxmlformats.org/officeDocument/2006/relationships/hyperlink" TargetMode="External" Target="http://www3.lrs.lt/cgi-bin/preps2?a=412853&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256808&amp;b="/>
  <Relationship Id="rId29" Type="http://schemas.openxmlformats.org/officeDocument/2006/relationships/hyperlink" TargetMode="External" Target="http://www3.lrs.lt/cgi-bin/preps2?a=280576&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2555&amp;b="/>
  <Relationship Id="rId36" Type="http://schemas.openxmlformats.org/officeDocument/2006/relationships/hyperlink" TargetMode="External" Target="http://www3.lrs.lt/cgi-bin/preps2?a=44935&amp;b="/>
  <Relationship Id="rId37" Type="http://schemas.openxmlformats.org/officeDocument/2006/relationships/hyperlink" TargetMode="External" Target="http://www3.lrs.lt/cgi-bin/preps2?a=67695&amp;b="/>
  <Relationship Id="rId38" Type="http://schemas.openxmlformats.org/officeDocument/2006/relationships/hyperlink" TargetMode="External" Target="http://www3.lrs.lt/cgi-bin/preps2?a=162207&amp;b="/>
  <Relationship Id="rId39" Type="http://schemas.openxmlformats.org/officeDocument/2006/relationships/hyperlink" TargetMode="External" Target="http://www3.lrs.lt/cgi-bin/preps2?a=223787&amp;b="/>
  <Relationship Id="rId4" Type="http://schemas.openxmlformats.org/officeDocument/2006/relationships/settings" Target="settings.xml"/>
  <Relationship Id="rId40" Type="http://schemas.openxmlformats.org/officeDocument/2006/relationships/hyperlink" TargetMode="External" Target="http://www3.lrs.lt/cgi-bin/preps2?a=232365&amp;b="/>
  <Relationship Id="rId41" Type="http://schemas.openxmlformats.org/officeDocument/2006/relationships/hyperlink" TargetMode="External" Target="http://www3.lrs.lt/cgi-bin/preps2?a=256808&amp;b="/>
  <Relationship Id="rId42" Type="http://schemas.openxmlformats.org/officeDocument/2006/relationships/hyperlink" TargetMode="External" Target="http://www3.lrs.lt/cgi-bin/preps2?a=280576&amp;b="/>
  <Relationship Id="rId43" Type="http://schemas.openxmlformats.org/officeDocument/2006/relationships/hyperlink" TargetMode="External" Target="http://www3.lrs.lt/cgi-bin/preps2?a=412853&amp;b="/>
  <Relationship Id="rId44" Type="http://schemas.openxmlformats.org/officeDocument/2006/relationships/hyperlink" TargetMode="External" Target="http://www3.lrs.lt/cgi-bin/preps2?a=415670&amp;b="/>
  <Relationship Id="rId45" Type="http://schemas.openxmlformats.org/officeDocument/2006/relationships/hyperlink" TargetMode="External" Target="http://www3.lrs.lt/cgi-bin/preps2?a=437381&amp;b="/>
  <Relationship Id="rId46" Type="http://schemas.openxmlformats.org/officeDocument/2006/relationships/header" Target="header12.xml"/>
  <Relationship Id="rId47" Type="http://schemas.openxmlformats.org/officeDocument/2006/relationships/hyperlink" TargetMode="External" Target="http://eur-lex.europa.eu/legal-content/LIT/TXT/?uri=CELEX:32016R0679&amp;locale=lt"/>
  <Relationship Id="rId48" Type="http://schemas.openxmlformats.org/officeDocument/2006/relationships/hyperlink" TargetMode="External" Target="http://eur-lex.europa.eu/legal-content/LIT/TXT/?uri=CELEX:32016R0679&amp;locale=lt"/>
  <Relationship Id="rId49" Type="http://schemas.openxmlformats.org/officeDocument/2006/relationships/hyperlink" TargetMode="External" Target="http://eur-lex.europa.eu/legal-content/LIT/TXT/?uri=CELEX:32001L0051&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04L0082&amp;locale=lt"/>
  <Relationship Id="rId51" Type="http://schemas.openxmlformats.org/officeDocument/2006/relationships/hyperlink" TargetMode="External" Target="http://eur-lex.europa.eu/legal-content/LIT/TXT/?uri=CELEX:32010L0040&amp;locale=lt"/>
  <Relationship Id="rId52" Type="http://schemas.openxmlformats.org/officeDocument/2006/relationships/hyperlink" TargetMode="External" Target="http://eur-lex.europa.eu/legal-content/LIT/TXT/?uri=CELEX:32023L2661&amp;locale=lt"/>
  <Relationship Id="rId53" Type="http://schemas.openxmlformats.org/officeDocument/2006/relationships/hyperlink" TargetMode="External" Target="http://eur-lex.europa.eu/legal-content/LIT/TXT/?uri=CELEX:32016L0681&amp;locale=lt"/>
  <Relationship Id="rId54" Type="http://schemas.openxmlformats.org/officeDocument/2006/relationships/hyperlink" TargetMode="External" Target="http://eur-lex.europa.eu/legal-content/LIT/TXT/?uri=CELEX:31992L0106&amp;locale=lt"/>
  <Relationship Id="rId55" Type="http://schemas.openxmlformats.org/officeDocument/2006/relationships/hyperlink" TargetMode="External" Target="http://eur-lex.europa.eu/legal-content/LIT/TXT/?uri=CELEX:32013L0022&amp;locale=lt"/>
  <Relationship Id="rId56"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162207&amp;b="/>
  <Relationship Id="rId9" Type="http://schemas.openxmlformats.org/officeDocument/2006/relationships/hyperlink" TargetMode="External" Target="http://www3.lrs.lt/cgi-bin/preps2?a=256808&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ea7362d3f3a74a91845806857ede3a2d">
        <Part Type="strDalis" Nr="1" Abbr="2 str. 1 d." DocPartId="b931cdfd057b45d2b72ebf49dc127126" PartId="6722e6f1477b49b69d9708ec99dbfbb0"/>
        <Part Type="strDalis" Nr="1-1" Abbr="1-1 d." DocPartId="d3d3d2950b6a41e88549db623f45c840" PartId="2b9fe930b1bf4b15af42ab3cc7e9a0ee"/>
        <Part Type="strDalis" Nr="1-2" Abbr="1-2 d." DocPartId="8c134d811c7a4c16b5ed14d60e7c725f" PartId="a0066a4bf7984635a51acc3635faa9e6"/>
        <Part Type="strDalis" Nr="2" Abbr="2 str. 2 d." DocPartId="36cd5d1296e94ab2b29ec0a4e7808dea" PartId="8f06b6af7a6f452aa997409873c4d01e"/>
        <Part Type="strDalis" Nr="3" Abbr="2 str. 3 d." DocPartId="0944880b711e4a69b00aa58149f22b7e" PartId="785a4b13275d4e5a959a4c8c4351c9fc"/>
        <Part Type="strDalis" Nr="4" Abbr="2 str. 4 d." DocPartId="96a8fe601bdd4d65a0a6400b86036c55" PartId="954d646b37af4206bbe38ae1406cf6ab"/>
        <Part Type="strDalis" Nr="5" Abbr="2 str. 5 d." DocPartId="fd67413351f64ddd926e3d500bcf6e91" PartId="83720d4b71ee4719abfbc3da91272426"/>
        <Part Type="strDalis" Nr="6" Abbr="6 d." DocPartId="1513d1ff823b4e88a78e48b8d03b33cc" PartId="a29c428b8cad45e399b0debd761d7a2e"/>
        <Part Type="strDalis" Nr="7" Abbr="2 str. 7 d." DocPartId="39d476a98c4345bbaa357c794d091d80" PartId="20b967f7ef5c444cb5adb9931f04834a"/>
        <Part Type="strDalis" Nr="8" Abbr="8 d." DocPartId="3eb3004d3cb24b1d91f5d7ba2fc97997" PartId="60d5042f37004f34ac724e0170d21858"/>
        <Part Type="strDalis" Nr="9" Abbr="9 d." DocPartId="b5a8a426038e4452bfc3d1a48b7e217a" PartId="95243a3a09874266b37774fcffaffd57"/>
        <Part Type="strDalis" Nr="10" Abbr="2 str. 10 d." DocPartId="e27ce48be8694eb092ad2d52277fda11" PartId="209afa85f6d84a4091ec0130a2ecc099"/>
        <Part Type="strDalis" Nr="11" Abbr="2 str. 11 d." DocPartId="b5671de7dcd146668c91a47756556a6b" PartId="e0e3c4ee72bb492caf4a29597db432ff"/>
        <Part Type="strDalis" Nr="12" Abbr="2 str. 12 d." DocPartId="1a8b31817e51485e9f712a6349960016" PartId="7dd81cf9d08c4a768160f377cadfdf4f"/>
        <Part Type="strDalis" Nr="13" Abbr="2 str. 13 d." DocPartId="590685dd4f1a423a917fbc341f303354" PartId="1954e47313e64eb6aed0744f8d5622e9"/>
        <Part Type="strDalis" Nr="14" Abbr="2 str. 14 d." DocPartId="2c92824fbb6947b098a71d0b73d5de40" PartId="5574051be1a349a99bf965d7200e0f44"/>
        <Part Type="strDalis" Nr="15" Abbr="2 str. 15 d." DocPartId="5cb71d30083244f79f6fa2de48658786" PartId="73cbb6d856bd4136b491f256695eec9c"/>
        <Part Type="strDalis" Nr="16" Abbr="2 str. 16 d." DocPartId="fa8ae1cb97fa45bcb12fdb8e9045c622" PartId="4ef4c8d359b14b90804b361776a4e12e"/>
        <Part Type="strDalis" Nr="17" Abbr="2 str. 17 d." DocPartId="b9e0a8677c54478ab01119c9c11836a6" PartId="7f50e050340f4a998bd3d990a8fd1bf1"/>
        <Part Type="strDalis" Nr="18" Abbr="2 str. 18 d." DocPartId="50af4fd70b274239a1c7246abb6fc5a7" PartId="08fa0da0bb034839b622d196d8f5a2e0"/>
        <Part Type="strDalis" Nr="19" Abbr="2 str. 19 d." DocPartId="dad5c1c6914540549562f74f30021dbc" PartId="0394f964cbe14f30940d4cdd4473ddca"/>
        <Part Type="strDalis" Nr="20" Abbr="2 str. 20 d." DocPartId="4fa0af2202ba47ffaba3126254f66d78" PartId="f6924a652d6e420495d31f2838777382"/>
        <Part Type="strDalis" Nr="21" Abbr="2 str. 21 d." DocPartId="65161077ed9e48e4b6949f34f2e50b38" PartId="6c7c73b021a5415a82afbe1f5f4c5794"/>
        <Part Type="strDalis" Nr="22" Abbr="2 str. 22 d." DocPartId="93273a19263145aa886afbb8d4e50550" PartId="c8ba19ec93504ab19fe64e496c6951bf"/>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70b0c9021ab34f3d858f7c66f798c3b7"/>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b8dd35f96ee44b818bceb5a00cf496ce">
        <Part Type="strDalis" Nr="1" Abbr="6 str. 1 d." DocPartId="607d98cb5f664280b204a23de8c0e62b" PartId="1def29abade94f16b663b1af9665c9f9"/>
        <Part Type="strDalis" Nr="2" Abbr="6 str. 2 d." DocPartId="556c1cf256984b5b927793b8775343b9" PartId="47b23a413af44668b8d35c68de9d5494"/>
        <Part Type="strDalis" Nr="3" Abbr="6 str. 3 d." DocPartId="d5a5da2d183148e9af1183e774d7d8f0" PartId="dd47bf7268944a63b29988c3b79eada5"/>
        <Part Type="strDalis" Nr="4" Abbr="6 str. 4 d." DocPartId="8500a8149bd04946ac28228684e189a0" PartId="1a61c84d2f2a44aa8fe4242991aed22a"/>
        <Part Type="strDalis" Nr="5" Abbr="6 str. 5 d." DocPartId="5d925ca0d53b464f857ffeff13b9a138" PartId="6b833bdb7a4949738ce8fb9369cb1bad"/>
        <Part Type="strDalis" Nr="6" Abbr="6 str. 6 d." DocPartId="751ddff4879243208ef7ef0e6116d4da" PartId="dd57f27919ce4e6980bed032df1f65cb"/>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2ff461262de94a2a95ddbf0e63d4d96d"/>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b1ca0ed19518447bbbea78a62b408826">
        <Part Type="strDalis" Nr="1" Abbr="11 str. 1 d." DocPartId="e65d97f9daf849f38cede6acb5cacd29" PartId="4d45f2e15c484a67bdbdae38e31189c0"/>
        <Part Type="strDalis" Nr="2" Abbr="11 str. 2 d." DocPartId="4705018e270d49e298ac5e5e3b868743" PartId="79baf92a5b234a848b74265ae5865740"/>
        <Part Type="strDalis" Nr="2-1" Abbr="2-1 d." DocPartId="fcd37b87aa9e4282aa7bcbfd32685c5a" PartId="822b77fa7edc459a96cf9fbe93b3476c"/>
        <Part Type="strDalis" Nr="2-2" Abbr="2-2 d." DocPartId="852cc8283e6e4ec6ad37da90cd4352fc" PartId="a15185cbc1724a15a0a3d069afa81972"/>
        <Part Type="strDalis" Nr="3" Abbr="11 str. 3 d." DocPartId="a41b6a3e47dd433b967a56dd86abaa5a" PartId="08f3bddadbe74c4b83b2f9de6c749937"/>
        <Part Type="strDalis" Nr="4" Abbr="11 str. 4 d." DocPartId="0b821b62c3ee4e69a55ce269ff02c7d4" PartId="860b4e18c8034f6a8e8ede0378b5b5a4"/>
        <Part Type="strDalis" Nr="5" Abbr="11 str. 5 d." DocPartId="8665be12e70b4b0d8013073d372b1dc2" PartId="888631cb41da4f21ab2d2c76607a3922"/>
      </Part>
      <Part Type="straipsnis" Nr="12" Abbr="12 str." Title="Kombinuotieji krovinių ir keleivių vežimai" DocPartId="9de56e3e9a2a4e64b61b2760068e5942" PartId="5c5e4c57eb6f419f9a2cb27aea407a82">
        <Part Type="strDalis" Nr="1" Abbr="12 str. 1 d." DocPartId="997a6ea7e8714f06890f19a315e071c0" PartId="dfb9d35dc4ac4bdf84cc720ca68e5261">
          <Part Type="strPunktas" Nr="1" Abbr="12 str. 1 d. 1 p." DocPartId="50a7cdcc82444841804b0248ab8c5f30" PartId="ee571627dbf04a38a90dd23bfc0dc847"/>
          <Part Type="strPunktas" Nr="2" Abbr="12 str. 1 d. 2 p." DocPartId="4ab1485a91be4f1cadd878f2710c8e6a" PartId="5ca0111eecd041f9971e161b3598b970"/>
        </Part>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ir sąveikiųjų intelektinių transporto sistemų koordinavimas" DocPartId="aa1388f7692748c39412a18a9f05275b" PartId="0d7ed9b9c9224c7886436dd23a47a460">
        <Part Type="strDalis" Nr="1" Abbr="13-1 str. 1 d." DocPartId="91a82b091a254b09a83aebae878d169c" PartId="0d35280bd7874d938323de611ea67b9b"/>
        <Part Type="strDalis" Nr="2" Abbr="13-1 str. 2 d." DocPartId="38908677146348c7b95a480b257cdf4c" PartId="574d8362d11b4f7f8c76d5b74d176836"/>
        <Part Type="strDalis" Nr="3" Abbr="13-1 str. 3 d." DocPartId="b7b6e57219b8443dbcca15c155b7e2df" PartId="b6c94d3b12ab4b57b3cf5aa2a4d649d2"/>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a7346243fe134a1b831520b6bff9622f">
        <Part Type="strDalis" Nr="1" Abbr="14 str. 1 d." DocPartId="5b2e2853dd264eb1b62e67df390894f5" PartId="18fb133142bd4d2c98c91eeff11cff17"/>
        <Part Type="strDalis" Nr="2" Abbr="14 str. 2 d." DocPartId="d23e207b665f47cca2ce92720da57a18" PartId="d277f3cf6d554877b94e6f443f72361c"/>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54ff8ee7f86640ae90a72b02d6aa18b5"/>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ff2f24e158a14933a2df71493fe0d9e0">
        <Part Type="strDalis" Nr="1" Abbr="18 str. 1 d." DocPartId="3cdbceff62354b368e3678f0716b5c28" PartId="d872c789062b4b5d8f30dd86734fc70c"/>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bilietų užsakymo ir išvykimo kontrolės, keleivių skrydžio duomenis ir šių duomenų tvarkymas" DocPartId="d1be95cc91ea432da5312dd0e7fc9b30" PartId="f672875a260f413bbe29c93e35218f9a">
        <Part Type="strDalis" Nr="1" Abbr="19-1 str. 1 d." DocPartId="ac06156b51634a748216d37d204e6944" PartId="213a7459f32642bab536478ca5ea8dac"/>
        <Part Type="strDalis" Nr="2" Abbr="19-1 str. 2 d." DocPartId="74a4c4cf66924941a0ff60107218499b" PartId="e4500b9556bb4ebdbe51b497b2591ee6"/>
        <Part Type="strDalis" Nr="3" Abbr="19-1 str. 3 d." DocPartId="f1a4040df07941dead5e0e0825d78eb8" PartId="4b2ffaeb457c4467801f35235cfcc1a8"/>
        <Part Type="strDalis" Nr="4" Abbr="19-1 str. 4 d." DocPartId="c2adee96f1a94800b3991536f25acb39" PartId="4adbf8ec814b48698db477eb585ed777"/>
        <Part Type="strDalis" Nr="5" Abbr="19-1 str. 5 d." DocPartId="b3c8b2e2ae044e808bfbad7389bcb4f2" PartId="ea470b6d8669415eb4940599fe790086"/>
        <Part Type="strDalis" Nr="6" Abbr="19-1 str. 6 d." DocPartId="2e19022a24d24a9399edc3e80768e5d7" PartId="da245fe490934c65937b2ffd6c4afd91"/>
        <Part Type="strDalis" Nr="7" Abbr="19-1 str. 7 d." DocPartId="4271dae72adc4a39b80f1035693657ca" PartId="7fe7baa817a849abae1e18aa4a3d2b22"/>
        <Part Type="strDalis" Nr="8" Abbr="19-1 str. 8 d." DocPartId="d460719edc3a44a5beb22fbb6d4e0f63" PartId="f7a7b99959424ca9a60a7bee2c564b31"/>
        <Part Type="strDalis" Nr="9" Abbr="19-1 str. 9 d." DocPartId="eb27d40a32ba45898f2301958427228b" PartId="e8b2edcdaaf949cbb88c529fac30dc1e"/>
        <Part Type="strDalis" Nr="10" Abbr="19-1 str. 10 d." DocPartId="d059adbb60344df7bd77f6bcf276c91c" PartId="2e3b27fffe5b465f8f609fddf614c146"/>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e43c78642c864da3abfe7bb61bef65b7"/>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c57a5afa64e449b781211271fd182bcd"/>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b7ec046530564354a75e0491d89bc20d"/>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255836a4bb924328973bd23a929ee751">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d925a82e9f7143829a54760dd630ce1a"/>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796677edb5934aa9b1b5a35bfa949c6d">
    <Part Type="punktas" Nr="1" Abbr="3 pr. 1 p." DocPartId="7259857adaa64208805d24a576468520" PartId="036c0dd8b4c0444ca542cee20393c99f"/>
    <Part Type="punktas" Nr="2" Abbr="3 pr. 2 p." DocPartId="7fd6fdfbbf7c4fcf82c5d4dde26df1c6" PartId="2c16241c48604ea98ae5bc1e6cc6c256"/>
    <Part Type="punktas" Nr="3" Abbr="3 pr. 3 p." DocPartId="8cf707e32e70458fa115364249af9f48" PartId="f0f0569f872b4b0bb1433dc1797abbfb"/>
    <Part Type="punktas" Nr="4" Abbr="3 pr. 4 p." DocPartId="c70ce53ae76e4e71a6992932ab0321c6" PartId="a8a2a6889b494a49a5588ebad401928d"/>
    <Part Type="strDalis" Nr="5" Abbr="5 d." DocPartId="20448f6144c14f3297208db89a5e01cf" PartId="7f0a1c0d5acf46d8b0c9e971f7811a03"/>
    <Part Type="pabaiga" DocPartId="c9e261f0799b45ca94ef92ffa9c00dd5" PartId="9bca0544d98f4367a5d4aa658099fc81"/>
  </Part>
  <Part Type="skirsnis" Title="Pakeitimai:" DocPartId="778fb1c051164604aab0bf202ccab10e" PartId="97b64698ac8c4aad859eb1570779fc0f"/>
</Parts>
</file>

<file path=customXml/itemProps1.xml><?xml version="1.0" encoding="utf-8"?>
<ds:datastoreItem xmlns:ds="http://schemas.openxmlformats.org/officeDocument/2006/customXml" ds:itemID="{1ADA4AE3-125D-4947-9D07-17018E860DEB}">
  <ds:schemaRefs>
    <ds:schemaRef ds:uri="http://lrs.lt/TAIS/DocParts"/>
  </ds:schemaRefs>
</ds:datastoreItem>
</file>

<file path=docProps/app.xml><?xml version="1.0" encoding="utf-8"?>
<Properties xmlns="http://schemas.openxmlformats.org/officeDocument/2006/extended-properties">
  <Template>Normal</Template>
  <TotalTime>52</TotalTime>
  <Pages>15</Pages>
  <Words>38728</Words>
  <Characters>22075</Characters>
  <Application>Microsoft Office Word</Application>
  <DocSecurity>0</DocSecurity>
  <Lines>183</Lines>
  <Paragraphs>121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60682</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GRUNDAITĖ Aistė</lastModifiedBy>
  <lastPrinted>2254-05-16T19:52:00Z</lastPrinted>
  <dcterms:modified xsi:type="dcterms:W3CDTF">2026-05-18T09:49:00Z</dcterms:modified>
  <revision>21</revision>
  <dc:title>Redagavo: Ramun? L??ait? (1997</dc:title>
</coreProperties>
</file>