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46ebbf93884c179a0db7923a88febd"/>
        <w:lock w:val="sdtLocked"/>
        <w:richText/>
      </w:sdtPr>
      <w:sdtContent>
        <w:p>
          <w:pPr>
            <w:jc w:val="both"/>
            <w:rPr>
              <w:rFonts w:ascii="Times New Roman" w:hAnsi="Times New Roman"/>
            </w:rPr>
          </w:pPr>
          <w:r>
            <w:rPr>
              <w:rFonts w:ascii="Times New Roman" w:hAnsi="Times New Roman"/>
              <w:b/>
              <w:i/>
            </w:rPr>
            <w:t>Suvestinė redakcija nuo 2010-12-29 iki 2011-05-28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18" w:tgtFrame="_blank" w:history="1">
                <w:r>
                  <w:rPr>
                    <w:color w:val="0000FF"/>
                    <w:u w:val="single"/>
                  </w:rPr>
                  <w:t>17-447</w:t>
                </w:r>
              </w:hyperlink>
              <w:r>
                <w:rPr>
                  <w:color w:val="000000"/>
                </w:rPr>
                <w:t xml:space="preserve">; 2004, Nr. </w:t>
              </w:r>
              <w:hyperlink r:id="rId19" w:tgtFrame="_blank" w:history="1">
                <w:r>
                  <w:rPr>
                    <w:color w:val="0000FF"/>
                    <w:u w:val="single"/>
                  </w:rPr>
                  <w:t>171-6295</w:t>
                </w:r>
              </w:hyperlink>
              <w:r>
                <w:rPr>
                  <w:color w:val="000000"/>
                </w:rPr>
                <w:t xml:space="preserve">) 10 straipsniu ir Lietuvos Respublikos valstybės registrų įstatymo (Žin., 1996, Nr. </w:t>
              </w:r>
              <w:hyperlink r:id="rId20"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1" w:tgtFrame="_blank" w:history="1">
                    <w:r>
                      <w:rPr>
                        <w:color w:val="0000FF"/>
                        <w:u w:val="single"/>
                      </w:rPr>
                      <w:t>17-447</w:t>
                    </w:r>
                  </w:hyperlink>
                  <w:r>
                    <w:t xml:space="preserve">; 2004, Nr. </w:t>
                  </w:r>
                  <w:hyperlink r:id="rId22"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3" w:tgtFrame="_blank" w:history="1">
                    <w:r>
                      <w:rPr>
                        <w:color w:val="0000FF"/>
                        <w:u w:val="single"/>
                      </w:rPr>
                      <w:t>141-6196</w:t>
                    </w:r>
                  </w:hyperlink>
                  <w:r>
                    <w:t xml:space="preserve">), Lietuvos Respublikos valstybės registrų įstatymo (Žin., 1996, Nr. </w:t>
                  </w:r>
                  <w:hyperlink r:id="rId24" w:tgtFrame="_blank" w:history="1">
                    <w:r>
                      <w:rPr>
                        <w:color w:val="0000FF"/>
                        <w:u w:val="single"/>
                      </w:rPr>
                      <w:t>86-2043</w:t>
                    </w:r>
                  </w:hyperlink>
                  <w:r>
                    <w:t xml:space="preserve">; 2004, Nr. 124-4488), Lietuvos Respublikos asmens duomenų teisinės apsaugos įstatymo (Žin., 1996, Nr. </w:t>
                  </w:r>
                  <w:hyperlink r:id="rId25" w:tgtFrame="_blank" w:history="1">
                    <w:r>
                      <w:rPr>
                        <w:color w:val="0000FF"/>
                        <w:u w:val="single"/>
                      </w:rPr>
                      <w:t>63-1479</w:t>
                    </w:r>
                  </w:hyperlink>
                  <w:r>
                    <w:t xml:space="preserve">; 2008, Nr. </w:t>
                  </w:r>
                  <w:hyperlink r:id="rId26"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27"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5ea28d49ef6049bba329fc78b5e00abe"/>
                        <w:lock w:val="sdtLocked"/>
                        <w:richText/>
                      </w:sdtPr>
                      <w:sdtContent>
                        <w:p>
                          <w:pPr>
                            <w:ind w:firstLine="709"/>
                            <w:jc w:val="both"/>
                            <w:rPr>
                              <w:color w:val="000000"/>
                            </w:rPr>
                          </w:pPr>
                          <w:sdt>
                            <w:sdtPr>
                              <w:alias w:val="Numeris"/>
                              <w:tag w:val="nr_5ea28d49ef6049bba329fc78b5e00abe"/>
                              <w:lock w:val="sdtLocked"/>
                              <w:richText/>
                            </w:sdtPr>
                            <w:sdtContent>
                              <w:r>
                                <w:t>20.1.6</w:t>
                              </w:r>
                            </w:sdtContent>
                          </w:sdt>
                          <w:r>
                            <w:t>. tėvystės atostogų,</w:t>
                          </w:r>
                          <w:r>
                            <w:rPr>
                              <w:b/>
                            </w:rPr>
                            <w:t xml:space="preserve"> </w:t>
                          </w:r>
                          <w:r>
                            <w:t xml:space="preserve">atostogų vaikui prižiūrėti, kol jam sueis treji metai,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8"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29" w:tgtFrame="_blank" w:history="1">
                    <w:r>
                      <w:rPr>
                        <w:color w:val="0000FF"/>
                        <w:u w:val="single"/>
                      </w:rPr>
                      <w:t>5-78</w:t>
                    </w:r>
                  </w:hyperlink>
                  <w:r>
                    <w:rPr>
                      <w:color w:val="000000"/>
                    </w:rPr>
                    <w:t xml:space="preserve">; 1999, Nr. </w:t>
                  </w:r>
                  <w:hyperlink r:id="rId30"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1"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147c0b367afe4325ad185a4496159e0b"/>
                    <w:lock w:val="sdtLocked"/>
                    <w:richText/>
                  </w:sdtPr>
                  <w:sdtContent>
                    <w:p>
                      <w:pPr>
                        <w:ind w:firstLine="709"/>
                        <w:jc w:val="both"/>
                        <w:rPr>
                          <w:color w:val="000000"/>
                        </w:rPr>
                      </w:pPr>
                      <w:sdt>
                        <w:sdtPr>
                          <w:alias w:val="Numeris"/>
                          <w:tag w:val="nr_147c0b367afe4325ad185a4496159e0b"/>
                          <w:lock w:val="sdtLocked"/>
                          <w:richText/>
                        </w:sdtPr>
                        <w:sdtContent>
                          <w:r>
                            <w:t>25.4</w:t>
                          </w:r>
                        </w:sdtContent>
                      </w:sdt>
                      <w:r>
                        <w:t>. Draudėjas pateikia teritorinei registro tvarkymo įstaigai duomenis apie apdraustojo nedraudiminius laikotarpius, duomenis apie suteiktas (nutrauktas) tėvystės atostogas,</w:t>
                      </w:r>
                      <w:r>
                        <w:rPr>
                          <w:b/>
                        </w:rPr>
                        <w:t xml:space="preserve"> </w:t>
                      </w:r>
                      <w:r>
                        <w:t>duomenis apie motinai (įmotei), tėvui (įtėviui) arba vaiko globėjui suteiktas (nutrauktas) atostogas vaikui prižiūrėti, kol jam sueis treji metai (šių Nuostatų 20.1.3, 20.1.6 ir 20.2.24 punktai). Šie duomenys teikiami per 3 darbo dienas nuo nedraudiminio laikotarpio atsiradimo (pabaigos), tėvystės atostogų</w:t>
                      </w:r>
                      <w:r>
                        <w:rPr>
                          <w:b/>
                        </w:rPr>
                        <w:t xml:space="preserve"> </w:t>
                      </w:r>
                      <w:r>
                        <w:t xml:space="preserve">suteikimo (nutraukimo) ar atostogų vaikui prižiūrėti, kol jam sueis treji metai,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60b0ca167c984e70a524172021d976c2"/>
                    <w:lock w:val="sdtLocked"/>
                    <w:richText/>
                  </w:sdtPr>
                  <w:sdtContent>
                    <w:p>
                      <w:pPr>
                        <w:ind w:firstLine="709"/>
                        <w:jc w:val="both"/>
                      </w:pPr>
                      <w:sdt>
                        <w:sdtPr>
                          <w:alias w:val="Numeris"/>
                          <w:tag w:val="nr_60b0ca167c984e70a524172021d976c2"/>
                          <w:lock w:val="sdtLocked"/>
                          <w:richText/>
                        </w:sdtPr>
                        <w:sdtContent>
                          <w:r>
                            <w:t>25.11</w:t>
                          </w:r>
                        </w:sdtContent>
                      </w:sdt>
                      <w:r>
                        <w:t>. Savarankiškai dirbantys asmenys (išskyrus verslo liudijimą turinčius asmenis)</w:t>
                      </w:r>
                      <w:r>
                        <w:rPr>
                          <w:b/>
                        </w:rPr>
                        <w:t xml:space="preserve"> </w:t>
                      </w:r>
                      <w:r>
                        <w:t xml:space="preserve">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w:t>
                      </w:r>
                    </w:p>
                    <w:p>
                      <w:pPr>
                        <w:ind w:firstLine="709"/>
                        <w:jc w:val="both"/>
                        <w:rPr>
                          <w:bCs/>
                          <w:color w:val="000000"/>
                        </w:rPr>
                      </w:pPr>
                      <w:r>
                        <w:t xml:space="preserve">Teritorinė registro tvarkymo įstaiga savarankiškai dirbančių asmenų (išskyrus verslo liudijimus turinčius asmenis), kuriems socialinio draudimo įmokų mokėjimo prievolė nustatoma pagal praėjusių metų pajamų metinę sumą remiantis Valstybinės mokesčių inspekcijos duomenimis, praėjusių metų pajamų metinę sumą, nuo kurios turi būti apskaičiuotos ir sumokėtos socialinio draudimo įmokos, ir jų sumokėtų įmokų metinę sumą vadovaujančiosios registro tvarkymo įstaigos nustatyta tvarka išdėsto mėnesiais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5"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2"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3"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4" w:tgtFrame="_blank" w:history="1">
                            <w:r>
                              <w:rPr>
                                <w:bCs/>
                                <w:color w:val="0000FF"/>
                                <w:u w:val="single"/>
                              </w:rPr>
                              <w:t>21-493</w:t>
                            </w:r>
                          </w:hyperlink>
                          <w:r>
                            <w:rPr>
                              <w:bCs/>
                              <w:color w:val="000000"/>
                            </w:rPr>
                            <w:t xml:space="preserve">; 2005, Nr. </w:t>
                          </w:r>
                          <w:hyperlink r:id="rId35"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6" w:tgtFrame="_blank" w:history="1">
                            <w:r>
                              <w:rPr>
                                <w:bCs/>
                                <w:color w:val="0000FF"/>
                                <w:u w:val="single"/>
                              </w:rPr>
                              <w:t>91-1781</w:t>
                            </w:r>
                          </w:hyperlink>
                          <w:r>
                            <w:rPr>
                              <w:bCs/>
                              <w:color w:val="000000"/>
                            </w:rPr>
                            <w:t xml:space="preserve">; 2005, Nr. </w:t>
                          </w:r>
                          <w:hyperlink r:id="rId37"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8" w:tgtFrame="_blank" w:history="1">
                            <w:r>
                              <w:rPr>
                                <w:bCs/>
                                <w:color w:val="0000FF"/>
                                <w:u w:val="single"/>
                              </w:rPr>
                              <w:t>17-398</w:t>
                            </w:r>
                          </w:hyperlink>
                          <w:r>
                            <w:rPr>
                              <w:bCs/>
                              <w:color w:val="000000"/>
                            </w:rPr>
                            <w:t xml:space="preserve">; 2005, Nr. </w:t>
                          </w:r>
                          <w:hyperlink r:id="rId39"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5a9ce813743546259099c7ee41ffed0b"/>
                <w:lock w:val="sdtLocked"/>
                <w:richText/>
              </w:sdtPr>
              <w:sdtContent>
                <w:p>
                  <w:pPr>
                    <w:ind w:firstLine="709"/>
                    <w:jc w:val="both"/>
                    <w:rPr>
                      <w:color w:val="000000"/>
                    </w:rPr>
                  </w:pPr>
                  <w:sdt>
                    <w:sdtPr>
                      <w:alias w:val="Numeris"/>
                      <w:tag w:val="nr_5a9ce813743546259099c7ee41ffed0b"/>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0" w:tgtFrame="_blank" w:history="1">
                    <w:r>
                      <w:rPr>
                        <w:color w:val="0000FF"/>
                        <w:u w:val="single"/>
                      </w:rPr>
                      <w:t>171-6295</w:t>
                    </w:r>
                  </w:hyperlink>
                  <w:r>
                    <w:t xml:space="preserve">)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Avansu sumokėtos socialinio draudimo įmokos negrąžinamos ir netikslinamos. Sprendimą dėl duomenų tikslinimo priima teritorinės registro tvarkymo įstaigos direktorius (jo pavaduotojas). Šiame punkte nurodytas terminas netaikomas perkeliant asmens pensines teises iš Europos Sąjungos institucijų pensijos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1"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2"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3" w:tgtFrame="_blank" w:history="1">
                    <w:r>
                      <w:rPr>
                        <w:color w:val="0000FF"/>
                        <w:u w:val="single"/>
                      </w:rPr>
                      <w:t>107-2389</w:t>
                    </w:r>
                  </w:hyperlink>
                  <w:r>
                    <w:rPr>
                      <w:color w:val="000000"/>
                    </w:rPr>
                    <w:t xml:space="preserve">; 2004, Nr. </w:t>
                  </w:r>
                  <w:hyperlink r:id="rId44"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77DE5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hyperlink" TargetMode="External" Target="https://www.e-tar.lt/portal/lt/legalAct/TAR.5B98B417E564"/>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3.wmf"/>
  <Relationship Id="rId17" Type="http://schemas.openxmlformats.org/officeDocument/2006/relationships/control" Target="activeX/activeX13.xml"/>
  <Relationship Id="rId18" Type="http://schemas.openxmlformats.org/officeDocument/2006/relationships/hyperlink" TargetMode="External" Target="https://www.e-tar.lt/portal/lt/legalAct/TAR.0F9036415DBD"/>
  <Relationship Id="rId19" Type="http://schemas.openxmlformats.org/officeDocument/2006/relationships/hyperlink" TargetMode="External" Target="https://www.e-tar.lt/portal/lt/legalAct/TAR.AB8D4779ABE1"/>
  <Relationship Id="rId2" Type="http://schemas.openxmlformats.org/officeDocument/2006/relationships/header" Target="header38.xml"/>
  <Relationship Id="rId20" Type="http://schemas.openxmlformats.org/officeDocument/2006/relationships/hyperlink" TargetMode="External" Target="https://www.e-tar.lt/portal/lt/legalAct/TAR.65532A74E296"/>
  <Relationship Id="rId21" Type="http://schemas.openxmlformats.org/officeDocument/2006/relationships/hyperlink" TargetMode="External" Target="https://www.e-tar.lt/portal/lt/legalAct/TAR.0F9036415DBD"/>
  <Relationship Id="rId22" Type="http://schemas.openxmlformats.org/officeDocument/2006/relationships/hyperlink" TargetMode="External" Target="https://www.e-tar.lt/portal/lt/legalAct/TAR.AB8D4779ABE1"/>
  <Relationship Id="rId23" Type="http://schemas.openxmlformats.org/officeDocument/2006/relationships/hyperlink" TargetMode="External" Target="https://www.e-tar.lt/portal/lt/legalAct/TAR.6A56D29DBEE8"/>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5368B592234C"/>
  <Relationship Id="rId26" Type="http://schemas.openxmlformats.org/officeDocument/2006/relationships/hyperlink" TargetMode="External" Target="https://www.e-tar.lt/portal/lt/legalAct/TAR.C90729CAD468"/>
  <Relationship Id="rId27" Type="http://schemas.openxmlformats.org/officeDocument/2006/relationships/hyperlink" TargetMode="External" Target="https://www.e-tar.lt/portal/lt/legalAct/TAR.3EB34933E485"/>
  <Relationship Id="rId28" Type="http://schemas.openxmlformats.org/officeDocument/2006/relationships/hyperlink" TargetMode="External" Target="https://www.e-tar.lt/portal/lt/legalAct/TAR.AF1B122D7145"/>
  <Relationship Id="rId29" Type="http://schemas.openxmlformats.org/officeDocument/2006/relationships/hyperlink" TargetMode="External" Target="https://www.e-tar.lt/portal/lt/legalAct/TAR.DCBDC82E26CD"/>
  <Relationship Id="rId3" Type="http://schemas.openxmlformats.org/officeDocument/2006/relationships/footer" Target="footer37.xml"/>
  <Relationship Id="rId30" Type="http://schemas.openxmlformats.org/officeDocument/2006/relationships/hyperlink" TargetMode="External" Target="https://www.e-tar.lt/portal/lt/legalAct/TAR.A941BFE880F7"/>
  <Relationship Id="rId31" Type="http://schemas.openxmlformats.org/officeDocument/2006/relationships/hyperlink" TargetMode="External" Target="https://www.e-tar.lt/portal/lt/legalAct/TAR.31185A622C9F"/>
  <Relationship Id="rId32" Type="http://schemas.openxmlformats.org/officeDocument/2006/relationships/hyperlink" TargetMode="External" Target="https://www.e-tar.lt/portal/lt/legalAct/TAR.4707C1616570"/>
  <Relationship Id="rId33" Type="http://schemas.openxmlformats.org/officeDocument/2006/relationships/hyperlink" TargetMode="External" Target="https://www.e-tar.lt/portal/lt/legalAct/TAR.818206FCA97A"/>
  <Relationship Id="rId34" Type="http://schemas.openxmlformats.org/officeDocument/2006/relationships/hyperlink" TargetMode="External" Target="https://www.e-tar.lt/portal/lt/legalAct/TAR.918C2468A8B1"/>
  <Relationship Id="rId35" Type="http://schemas.openxmlformats.org/officeDocument/2006/relationships/hyperlink" TargetMode="External" Target="https://www.e-tar.lt/portal/lt/legalAct/TAR.FCAE5B35B9C1"/>
  <Relationship Id="rId36" Type="http://schemas.openxmlformats.org/officeDocument/2006/relationships/hyperlink" TargetMode="External" Target="https://www.e-tar.lt/portal/lt/legalAct/TAR.260B8E89C210"/>
  <Relationship Id="rId37" Type="http://schemas.openxmlformats.org/officeDocument/2006/relationships/hyperlink" TargetMode="External" Target="https://www.e-tar.lt/portal/lt/legalAct/TAR.852A0C3624A4"/>
  <Relationship Id="rId38" Type="http://schemas.openxmlformats.org/officeDocument/2006/relationships/hyperlink" TargetMode="External" Target="https://www.e-tar.lt/portal/lt/legalAct/TAR.4481B1F47C94"/>
  <Relationship Id="rId39" Type="http://schemas.openxmlformats.org/officeDocument/2006/relationships/hyperlink" TargetMode="External" Target="https://www.e-tar.lt/portal/lt/legalAct/TAR.212FD4F231C2"/>
  <Relationship Id="rId4" Type="http://schemas.openxmlformats.org/officeDocument/2006/relationships/footer" Target="footer38.xml"/>
  <Relationship Id="rId40" Type="http://schemas.openxmlformats.org/officeDocument/2006/relationships/hyperlink" TargetMode="External" Target="https://www.e-tar.lt/portal/lt/legalAct/TAR.AB8D4779ABE1"/>
  <Relationship Id="rId41" Type="http://schemas.openxmlformats.org/officeDocument/2006/relationships/hyperlink" TargetMode="External" Target="https://www.e-tar.lt/portal/lt/legalAct/TAR.8888B0E576BC"/>
  <Relationship Id="rId42" Type="http://schemas.openxmlformats.org/officeDocument/2006/relationships/hyperlink" TargetMode="External" Target="https://www.e-tar.lt/portal/lt/legalAct/TAR.69A782236F58"/>
  <Relationship Id="rId43" Type="http://schemas.openxmlformats.org/officeDocument/2006/relationships/hyperlink" TargetMode="External" Target="https://www.e-tar.lt/portal/lt/legalAct/TAR.1FEF229DA7C6"/>
  <Relationship Id="rId44" Type="http://schemas.openxmlformats.org/officeDocument/2006/relationships/hyperlink" TargetMode="External" Target="https://www.e-tar.lt/portal/lt/legalAct/TAR.3BB4C58062C3"/>
  <Relationship Id="rId45" Type="http://schemas.openxmlformats.org/officeDocument/2006/relationships/hyperlink" TargetMode="External" Target="https://www.e-tar.lt/portal/lt/legalAct/TAR.5B98B417E564"/>
  <Relationship Id="rId46" Type="http://schemas.openxmlformats.org/officeDocument/2006/relationships/hyperlink" TargetMode="External" Target="https://www.e-tar.lt/portal/lt/legalAct/TAR.5B98B417E564"/>
  <Relationship Id="rId47" Type="http://schemas.openxmlformats.org/officeDocument/2006/relationships/customXml" Target="../customXml/item1.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8446ebbf93884c179a0db7923a88febd">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5ea28d49ef6049bba329fc78b5e00abe"/>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147c0b367afe4325ad185a4496159e0b"/>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60b0ca167c984e70a524172021d976c2"/>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5a9ce813743546259099c7ee41ffed0b"/>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61B0519F-9F97-42F1-8C80-1704D77A0931}">
  <ds:schemaRefs>
    <ds:schemaRef ds:uri="http://lrs.lt/TAIS/DocParts"/>
  </ds:schemaRefs>
</ds:datastoreItem>
</file>

<file path=docProps/app.xml><?xml version="1.0" encoding="utf-8"?>
<Properties xmlns="http://schemas.openxmlformats.org/officeDocument/2006/extended-properties">
  <Template>Normal.dotm</Template>
  <TotalTime>24</TotalTime>
  <Pages>19</Pages>
  <Words>43647</Words>
  <Characters>24879</Characters>
  <Application>Microsoft Office Word</Application>
  <DocSecurity>0</DocSecurity>
  <Lines>207</Lines>
  <Paragraphs>136</Paragraphs>
  <ScaleCrop>false</ScaleCrop>
  <Company/>
  <LinksUpToDate>false</LinksUpToDate>
  <CharactersWithSpaces>68390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2017-04-24T11:32:00Z</dcterms:modified>
  <revision>17</revision>
</coreProperties>
</file>