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93ca457ad814bc284e5eb8057db2e61"/>
        <w:lock w:val="sdtLocked"/>
        <w:richText/>
      </w:sdtPr>
      <w:sdtContent>
        <w:p>
          <w:pPr>
            <w:jc w:val="both"/>
            <w:rPr>
              <w:rFonts w:ascii="Times New Roman" w:hAnsi="Times New Roman"/>
            </w:rPr>
          </w:pPr>
          <w:r>
            <w:rPr>
              <w:rFonts w:ascii="Times New Roman" w:hAnsi="Times New Roman"/>
              <w:b/>
              <w:i/>
            </w:rPr>
            <w:t>Suvestinė redakcija nuo 2018-10-01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beb9306c0d83446a999bf420db110839"/>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beb9306c0d83446a999bf420db110839"/>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e18433fc410d488d91c67c277d468664"/>
                <w:lock w:val="sdtLocked"/>
                <w:richText/>
              </w:sdtPr>
              <w:sdtContent>
                <w:p>
                  <w:pPr>
                    <w:tabs>
                      <w:tab w:val="left" w:pos="851"/>
                    </w:tabs>
                    <w:ind w:firstLine="720"/>
                    <w:jc w:val="both"/>
                    <w:rPr>
                      <w:bCs/>
                      <w:lang w:eastAsia="lt-LT"/>
                    </w:rPr>
                  </w:pPr>
                  <w:sdt>
                    <w:sdtPr>
                      <w:alias w:val="Numeris"/>
                      <w:tag w:val="nr_e18433fc410d488d91c67c277d468664"/>
                      <w:lock w:val="sdtLocked"/>
                      <w:richText/>
                    </w:sdtPr>
                    <w:sdtContent>
                      <w:r>
                        <w:rPr>
                          <w:bCs/>
                          <w:lang w:eastAsia="lt-LT"/>
                        </w:rPr>
                        <w:t>3</w:t>
                      </w:r>
                    </w:sdtContent>
                  </w:sdt>
                  <w:r>
                    <w:rPr>
                      <w:bCs/>
                      <w:lang w:eastAsia="lt-LT"/>
                    </w:rPr>
                    <w:t>. Registras tvarkomas vadovaujantis Lietuvos Respublikos valstybinio socialinio draudimo įstatymu, Lietuvos Respublikos valstybės informacinių išteklių valdymo įstatymu (toliau – Valstybės informacinių išteklių valdymo įstatymas), Lietuvos Respublikos a</w:t>
                  </w:r>
                  <w:r>
                    <w:rPr>
                      <w:lang w:eastAsia="lt-LT"/>
                    </w:rPr>
                    <w:t xml:space="preserve">smens duomenų teisinės apsaugos įstatymu (toliau – </w:t>
                  </w:r>
                  <w:r>
                    <w:rPr>
                      <w:bCs/>
                      <w:lang w:eastAsia="lt-LT"/>
                    </w:rPr>
                    <w:t>A</w:t>
                  </w:r>
                  <w:r>
                    <w:rPr>
                      <w:lang w:eastAsia="lt-LT"/>
                    </w:rPr>
                    <w:t xml:space="preserve">smens duomenų teisinės apsaugos įstatymas), Lietuvos Respublikos mokesčių administravimo įstatymu, </w:t>
                  </w:r>
                  <w:r>
                    <w:rPr>
                      <w:bCs/>
                      <w:lang w:eastAsia="lt-LT"/>
                    </w:rPr>
                    <w:t>Nuostatais ir kitais teisės aktais, reglamentuojančiais registrų veiklą ir jų duomenų tvarkymą.</w:t>
                  </w:r>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232104773a9a49a7b542acb1213f5e3e"/>
                <w:lock w:val="sdtLocked"/>
                <w:richText/>
              </w:sdtPr>
              <w:sdtContent>
                <w:p>
                  <w:pPr>
                    <w:tabs>
                      <w:tab w:val="left" w:pos="851"/>
                    </w:tabs>
                    <w:ind w:firstLine="720"/>
                    <w:jc w:val="both"/>
                    <w:rPr>
                      <w:lang w:eastAsia="lt-LT"/>
                    </w:rPr>
                  </w:pPr>
                  <w:sdt>
                    <w:sdtPr>
                      <w:alias w:val="Numeris"/>
                      <w:tag w:val="nr_232104773a9a49a7b542acb1213f5e3e"/>
                      <w:lock w:val="sdtLocked"/>
                      <w:richText/>
                    </w:sdtPr>
                    <w:sdtContent>
                      <w:r>
                        <w:rPr>
                          <w:lang w:eastAsia="lt-LT"/>
                        </w:rPr>
                        <w:t>5</w:t>
                      </w:r>
                    </w:sdtContent>
                  </w:sdt>
                  <w:r>
                    <w:rPr>
                      <w:lang w:eastAsia="lt-LT"/>
                    </w:rPr>
                    <w:t xml:space="preserve">. </w:t>
                  </w:r>
                  <w:r>
                    <w:rPr>
                      <w:bCs/>
                      <w:lang w:eastAsia="lt-LT"/>
                    </w:rPr>
                    <w:t xml:space="preserve">Nuostatuose vartojamos sąvokos </w:t>
                  </w:r>
                  <w:r>
                    <w:rPr>
                      <w:lang w:eastAsia="lt-LT"/>
                    </w:rPr>
                    <w:t xml:space="preserve">atitinka Lietuvos </w:t>
                  </w:r>
                  <w:r>
                    <w:rPr>
                      <w:bCs/>
                      <w:lang w:eastAsia="lt-LT"/>
                    </w:rPr>
                    <w:t xml:space="preserve">Respublikos valstybinio socialinio draudimo įstatyme (toliau – Valstybinio socialinio draudimo įstatymas), Lietuvos Respublikos valstybinių socialinio draudimo pensijų įstatyme, Lietuvos Respublikos nedarbo socialinio draudimo įstatyme, Lietuvos Respublikos nelaimingų atsitikimų darbe ir profesinių ligų socialinio draudimo įstatyme, Lietuvos Respublikos ligos ir motinystės socialinio draudimo įstatyme, </w:t>
                  </w:r>
                  <w:r>
                    <w:rPr>
                      <w:lang w:eastAsia="lt-LT"/>
                    </w:rPr>
                    <w:t xml:space="preserve">Valstybės </w:t>
                  </w:r>
                  <w:r>
                    <w:rPr>
                      <w:bCs/>
                      <w:lang w:eastAsia="lt-LT"/>
                    </w:rPr>
                    <w:t xml:space="preserve">informacinių išteklių valdymo </w:t>
                  </w:r>
                  <w:r>
                    <w:rPr>
                      <w:lang w:eastAsia="lt-LT"/>
                    </w:rPr>
                    <w:t xml:space="preserve">įstatyme, </w:t>
                  </w:r>
                  <w:r>
                    <w:rPr>
                      <w:bCs/>
                      <w:lang w:eastAsia="lt-LT"/>
                    </w:rPr>
                    <w:t>A</w:t>
                  </w:r>
                  <w:r>
                    <w:rPr>
                      <w:lang w:eastAsia="lt-LT"/>
                    </w:rPr>
                    <w:t xml:space="preserve">smens duomenų teisinės apsaugos įstatyme, Lietuvos Respublikos mokesčių administravimo įstatyme, </w:t>
                  </w:r>
                  <w:r>
                    <w:rPr>
                      <w:bCs/>
                      <w:lang w:eastAsia="lt-LT"/>
                    </w:rPr>
                    <w:t xml:space="preserve">Lietuvos Respublikos Europos Sąjungos institucijų darbuotojų ir Europos Parlamento narių pensinių teisių išsaugojimo ir perkėlimo įstatyme </w:t>
                  </w:r>
                  <w:r>
                    <w:rPr>
                      <w:lang w:eastAsia="lt-LT"/>
                    </w:rPr>
                    <w:t>vartojamas sąvokas.</w:t>
                  </w:r>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b582d06cc84b469a9a2f139eeaf78e4d"/>
                <w:lock w:val="sdtLocked"/>
                <w:richText/>
              </w:sdtPr>
              <w:sdtContent>
                <w:p>
                  <w:pPr>
                    <w:tabs>
                      <w:tab w:val="left" w:pos="709"/>
                    </w:tabs>
                    <w:ind w:firstLine="720"/>
                    <w:jc w:val="both"/>
                    <w:rPr>
                      <w:lang w:eastAsia="lt-LT"/>
                    </w:rPr>
                  </w:pPr>
                  <w:sdt>
                    <w:sdtPr>
                      <w:alias w:val="Numeris"/>
                      <w:tag w:val="nr_b582d06cc84b469a9a2f139eeaf78e4d"/>
                      <w:lock w:val="sdtLocked"/>
                      <w:richText/>
                    </w:sdtPr>
                    <w:sdtContent>
                      <w:r>
                        <w:rPr>
                          <w:lang w:eastAsia="lt-LT"/>
                        </w:rPr>
                        <w:t>7</w:t>
                      </w:r>
                    </w:sdtContent>
                  </w:sdt>
                  <w:r>
                    <w:rPr>
                      <w:lang w:eastAsia="lt-LT"/>
                    </w:rPr>
                    <w:t>. Registro valdytoja yra Valstybinio socialinio draudimo fondo valdyba prie Socialinės apsaugos ir darbo ministerijos (toliau – Fondo valdyba). Registro valdytojas yra ir asmens duomenų valdytojas. Fondo valdyba atlieka Valstybės informacinių išteklių valdymo įstatyme nustatytas funkcijas ir pareigas, taip pat atlieka šias funkcijas:</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284f9f8cfbf6465b816b4875da4db20a"/>
                <w:lock w:val="sdtLocked"/>
                <w:richText/>
              </w:sdtPr>
              <w:sdtContent>
                <w:p>
                  <w:pPr>
                    <w:ind w:firstLine="720"/>
                    <w:jc w:val="both"/>
                    <w:rPr>
                      <w:lang w:eastAsia="lt-LT"/>
                    </w:rPr>
                  </w:pPr>
                  <w:sdt>
                    <w:sdtPr>
                      <w:alias w:val="Numeris"/>
                      <w:tag w:val="nr_284f9f8cfbf6465b816b4875da4db20a"/>
                      <w:lock w:val="sdtLocked"/>
                      <w:richText/>
                    </w:sdtPr>
                    <w:sdtContent>
                      <w:r>
                        <w:rPr>
                          <w:lang w:eastAsia="lt-LT"/>
                        </w:rPr>
                        <w:t>8</w:t>
                      </w:r>
                    </w:sdtContent>
                  </w:sdt>
                  <w:r>
                    <w:rPr>
                      <w:lang w:eastAsia="lt-LT"/>
                    </w:rPr>
                    <w:t xml:space="preserve">. Registro tvarkytoja (-os) yra Fondo valdyba ir Fondo administravimo įstaigos (toliau – registro tvarkytojas). Registro tvarkytojas atlieka Valstybės </w:t>
                  </w:r>
                  <w:r>
                    <w:rPr>
                      <w:bCs/>
                      <w:lang w:eastAsia="lt-LT"/>
                    </w:rPr>
                    <w:t xml:space="preserve">informacinių išteklių valdymo </w:t>
                  </w:r>
                  <w:r>
                    <w:rPr>
                      <w:lang w:eastAsia="lt-LT"/>
                    </w:rPr>
                    <w:t>įstatymo nustatytas funkcijas, turi šio įstatymo nustatytas teises ir pareigas, yra asmens duomenų tvarkytojas, taip pat atlieka šias funkcijas:</w:t>
                  </w:r>
                </w:p>
                <w:sdt>
                  <w:sdtPr>
                    <w:alias w:val="8.1 pp."/>
                    <w:tag w:val="part_9c789721ee484654ac78380c0bad5ee9"/>
                    <w:lock w:val="sdtLocked"/>
                    <w:richText/>
                  </w:sdtPr>
                  <w:sdtContent>
                    <w:p>
                      <w:pPr>
                        <w:ind w:firstLine="720"/>
                        <w:jc w:val="both"/>
                        <w:rPr>
                          <w:lang w:eastAsia="lt-LT"/>
                        </w:rPr>
                      </w:pPr>
                      <w:sdt>
                        <w:sdtPr>
                          <w:alias w:val="Numeris"/>
                          <w:tag w:val="nr_9c789721ee484654ac78380c0bad5ee9"/>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c6c728bab034fafb5308168670bd1a5"/>
                    <w:lock w:val="sdtLocked"/>
                    <w:richText/>
                  </w:sdtPr>
                  <w:sdtContent>
                    <w:p>
                      <w:pPr>
                        <w:ind w:firstLine="720"/>
                        <w:jc w:val="both"/>
                        <w:rPr>
                          <w:lang w:eastAsia="lt-LT"/>
                        </w:rPr>
                      </w:pPr>
                      <w:sdt>
                        <w:sdtPr>
                          <w:alias w:val="Numeris"/>
                          <w:tag w:val="nr_2c6c728bab034fafb5308168670bd1a5"/>
                          <w:lock w:val="sdtLocked"/>
                          <w:richText/>
                        </w:sdtPr>
                        <w:sdtContent>
                          <w:r>
                            <w:rPr>
                              <w:lang w:eastAsia="lt-LT"/>
                            </w:rPr>
                            <w:t>8.2</w:t>
                          </w:r>
                        </w:sdtContent>
                      </w:sdt>
                      <w:r>
                        <w:rPr>
                          <w:lang w:eastAsia="lt-LT"/>
                        </w:rPr>
                        <w:t>. konsultuoja asmenis registro objektų įregistravimo registre (išregistravimo iš registro) ir registro duomenų teikimo klausimais;</w:t>
                      </w:r>
                    </w:p>
                  </w:sdtContent>
                </w:sdt>
                <w:sdt>
                  <w:sdtPr>
                    <w:alias w:val="8.3 pp."/>
                    <w:tag w:val="part_1102b4fe010b401fb13daf824883eaf5"/>
                    <w:lock w:val="sdtLocked"/>
                    <w:richText/>
                  </w:sdtPr>
                  <w:sdtContent>
                    <w:p>
                      <w:pPr>
                        <w:ind w:firstLine="720"/>
                        <w:jc w:val="both"/>
                        <w:rPr>
                          <w:lang w:eastAsia="lt-LT"/>
                        </w:rPr>
                      </w:pPr>
                      <w:sdt>
                        <w:sdtPr>
                          <w:alias w:val="Numeris"/>
                          <w:tag w:val="nr_1102b4fe010b401fb13daf824883eaf5"/>
                          <w:lock w:val="sdtLocked"/>
                          <w:richText/>
                        </w:sdtPr>
                        <w:sdtContent>
                          <w:r>
                            <w:rPr>
                              <w:lang w:eastAsia="lt-LT"/>
                            </w:rPr>
                            <w:t>8.3</w:t>
                          </w:r>
                        </w:sdtContent>
                      </w:sdt>
                      <w:r>
                        <w:rPr>
                          <w:lang w:eastAsia="lt-LT"/>
                        </w:rPr>
                        <w:t xml:space="preserve">. </w:t>
                      </w:r>
                      <w:r>
                        <w:rPr>
                          <w:bCs/>
                          <w:lang w:eastAsia="lt-LT"/>
                        </w:rPr>
                        <w:t>atlieka registro duomenų ir dokumentų rizikingumo vertinimo analizę Nuostatų 84 punkte nustatyta tvarka;</w:t>
                      </w:r>
                    </w:p>
                  </w:sdtContent>
                </w:sdt>
                <w:sdt>
                  <w:sdtPr>
                    <w:alias w:val="8.4 pp."/>
                    <w:tag w:val="part_336cfd851da9474c9a40c91e6474e274"/>
                    <w:lock w:val="sdtLocked"/>
                    <w:richText/>
                  </w:sdtPr>
                  <w:sdtContent>
                    <w:p>
                      <w:pPr>
                        <w:ind w:firstLine="720"/>
                        <w:jc w:val="both"/>
                        <w:rPr>
                          <w:lang w:eastAsia="lt-LT"/>
                        </w:rPr>
                      </w:pPr>
                      <w:sdt>
                        <w:sdtPr>
                          <w:alias w:val="Numeris"/>
                          <w:tag w:val="nr_336cfd851da9474c9a40c91e6474e274"/>
                          <w:lock w:val="sdtLocked"/>
                          <w:richText/>
                        </w:sdtPr>
                        <w:sdtContent>
                          <w:r>
                            <w:rPr>
                              <w:lang w:eastAsia="lt-LT"/>
                            </w:rPr>
                            <w:t>8.4</w:t>
                          </w:r>
                        </w:sdtContent>
                      </w:sdt>
                      <w:r>
                        <w:rPr>
                          <w:lang w:eastAsia="lt-LT"/>
                        </w:rPr>
                        <w:t>. teikia registro duomenis duomenų gavėjams pagal registro duomenų gavėjų prašymus (vienkartinio teikimo atveju).</w:t>
                      </w:r>
                    </w:p>
                  </w:sdtContent>
                </w:sdt>
              </w:sdtContent>
            </w:sdt>
            <w:sdt>
              <w:sdtPr>
                <w:alias w:val="9 p."/>
                <w:tag w:val="part_36d923d5904d4aff90ca4d635ac0407f"/>
                <w:lock w:val="sdtLocked"/>
                <w:richText/>
              </w:sdtPr>
              <w:sdtContent>
                <w:p>
                  <w:pPr>
                    <w:tabs>
                      <w:tab w:val="left" w:pos="709"/>
                    </w:tabs>
                    <w:ind w:firstLine="720"/>
                    <w:jc w:val="both"/>
                    <w:rPr>
                      <w:lang w:eastAsia="lt-LT"/>
                    </w:rPr>
                  </w:pPr>
                  <w:sdt>
                    <w:sdtPr>
                      <w:alias w:val="Numeris"/>
                      <w:tag w:val="nr_36d923d5904d4aff90ca4d635ac0407f"/>
                      <w:lock w:val="sdtLocked"/>
                      <w:richText/>
                    </w:sdtPr>
                    <w:sdtContent>
                      <w:r>
                        <w:rPr>
                          <w:lang w:eastAsia="lt-LT"/>
                        </w:rPr>
                        <w:t>9</w:t>
                      </w:r>
                    </w:sdtContent>
                  </w:sdt>
                  <w:r>
                    <w:rPr>
                      <w:lang w:eastAsia="lt-LT"/>
                    </w:rPr>
                    <w:t>. Fondo valdyba, kaip registro tvarkytojas, atlieka šias papildomas funkcijas:</w:t>
                  </w:r>
                </w:p>
                <w:sdt>
                  <w:sdtPr>
                    <w:alias w:val="9.1 pp."/>
                    <w:tag w:val="part_aa3d9cbd7c68451382614d717024d1af"/>
                    <w:lock w:val="sdtLocked"/>
                    <w:richText/>
                  </w:sdtPr>
                  <w:sdtContent>
                    <w:p>
                      <w:pPr>
                        <w:tabs>
                          <w:tab w:val="left" w:pos="709"/>
                        </w:tabs>
                        <w:ind w:firstLine="720"/>
                        <w:jc w:val="both"/>
                        <w:rPr>
                          <w:lang w:eastAsia="lt-LT"/>
                        </w:rPr>
                      </w:pPr>
                      <w:sdt>
                        <w:sdtPr>
                          <w:alias w:val="Numeris"/>
                          <w:tag w:val="nr_aa3d9cbd7c68451382614d717024d1af"/>
                          <w:lock w:val="sdtLocked"/>
                          <w:richText/>
                        </w:sdtPr>
                        <w:sdtContent>
                          <w:r>
                            <w:rPr>
                              <w:lang w:eastAsia="lt-LT"/>
                            </w:rPr>
                            <w:t>9.1</w:t>
                          </w:r>
                        </w:sdtContent>
                      </w:sdt>
                      <w:r>
                        <w:rPr>
                          <w:lang w:eastAsia="lt-LT"/>
                        </w:rPr>
                        <w:t>. įrašo į registrą duomenis apie apdraustųjų pensinių teisių išsaugojimą ir perkėlimą įgyvendinant Lietuvos Respublikos Europos Sąjungos institucijų darbuotojų ir Europos Parlamento narių pensinių teisių išsaugojimo ir perkėlimo įstatymo nuostatas;</w:t>
                      </w:r>
                    </w:p>
                  </w:sdtContent>
                </w:sdt>
                <w:sdt>
                  <w:sdtPr>
                    <w:alias w:val="9.2 pp."/>
                    <w:tag w:val="part_08930e7d760543428b72d870f104d85c"/>
                    <w:lock w:val="sdtLocked"/>
                    <w:richText/>
                  </w:sdtPr>
                  <w:sdtContent>
                    <w:p>
                      <w:pPr>
                        <w:tabs>
                          <w:tab w:val="left" w:pos="709"/>
                        </w:tabs>
                        <w:ind w:firstLine="720"/>
                        <w:jc w:val="both"/>
                        <w:rPr>
                          <w:lang w:eastAsia="lt-LT"/>
                        </w:rPr>
                      </w:pPr>
                      <w:sdt>
                        <w:sdtPr>
                          <w:alias w:val="Numeris"/>
                          <w:tag w:val="nr_08930e7d760543428b72d870f104d85c"/>
                          <w:lock w:val="sdtLocked"/>
                          <w:richText/>
                        </w:sdtPr>
                        <w:sdtContent>
                          <w:r>
                            <w:rPr>
                              <w:lang w:eastAsia="lt-LT"/>
                            </w:rPr>
                            <w:t>9.2</w:t>
                          </w:r>
                        </w:sdtContent>
                      </w:sdt>
                      <w:r>
                        <w:rPr>
                          <w:lang w:eastAsia="lt-LT"/>
                        </w:rPr>
                        <w:t>. užtikrina, kad asmens duomenys būtų tvarkomi Asmens duomenų teisinės apsaugos įstatymo nustatyta tvarka.</w:t>
                      </w:r>
                    </w:p>
                    <w:p>
                      <w:pPr>
                        <w:tabs>
                          <w:tab w:val="left" w:pos="709"/>
                        </w:tabs>
                        <w:jc w:val="center"/>
                        <w:rPr>
                          <w:lang w:eastAsia="lt-LT"/>
                        </w:rPr>
                      </w:pPr>
                    </w:p>
                  </w:sdtContent>
                </w:sdt>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30ed8ecc748540b6b502a1d60c56a37f"/>
                    <w:lock w:val="sdtLocked"/>
                    <w:richText/>
                  </w:sdtPr>
                  <w:sdtContent>
                    <w:p>
                      <w:pPr>
                        <w:tabs>
                          <w:tab w:val="left" w:pos="851"/>
                        </w:tabs>
                        <w:ind w:firstLine="720"/>
                        <w:jc w:val="both"/>
                        <w:rPr>
                          <w:szCs w:val="24"/>
                          <w:lang w:eastAsia="lt-LT"/>
                        </w:rPr>
                      </w:pPr>
                      <w:sdt>
                        <w:sdtPr>
                          <w:alias w:val="Numeris"/>
                          <w:tag w:val="nr_30ed8ecc748540b6b502a1d60c56a37f"/>
                          <w:lock w:val="sdtLocked"/>
                          <w:richText/>
                        </w:sdtPr>
                        <w:sdtContent>
                          <w:r>
                            <w:rPr>
                              <w:szCs w:val="24"/>
                              <w:lang w:eastAsia="lt-LT"/>
                            </w:rPr>
                            <w:t>14.10</w:t>
                          </w:r>
                        </w:sdtContent>
                      </w:sdt>
                      <w:r>
                        <w:rPr>
                          <w:szCs w:val="24"/>
                          <w:lang w:eastAsia="lt-LT"/>
                        </w:rPr>
                        <w:t xml:space="preserve">. apdraustojo profesija pagal ūkio ministro patvirtintą Lietuvos profesijų klasifikatorių. </w:t>
                      </w:r>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a275185229004b879790ee71743011a3"/>
                    <w:lock w:val="sdtLocked"/>
                    <w:richText/>
                  </w:sdtPr>
                  <w:sdtContent>
                    <w:p>
                      <w:pPr>
                        <w:ind w:firstLine="720"/>
                        <w:jc w:val="both"/>
                        <w:rPr>
                          <w:strike/>
                          <w:szCs w:val="24"/>
                          <w:lang w:eastAsia="lt-LT"/>
                        </w:rPr>
                      </w:pPr>
                      <w:sdt>
                        <w:sdtPr>
                          <w:alias w:val="Numeris"/>
                          <w:tag w:val="nr_a275185229004b879790ee71743011a3"/>
                          <w:lock w:val="sdtLocked"/>
                          <w:richText/>
                        </w:sdtPr>
                        <w:sdtContent>
                          <w:r>
                            <w:rPr>
                              <w:lang w:eastAsia="lt-LT"/>
                            </w:rPr>
                            <w:t>19.11</w:t>
                          </w:r>
                        </w:sdtContent>
                      </w:sdt>
                      <w:r>
                        <w:rPr>
                          <w:lang w:eastAsia="lt-LT"/>
                        </w:rPr>
                        <w:t xml:space="preserve">. Užimtumo tarnybos prie Lietuvos Respublikos socialinės apsaugos ir darbo ministerijos (toliau – Užimtumo tarnyba), siuntusios asmenį į profesinę reabilitaciją,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0b3684f8bb074f7dbf12c938b3ac6f51"/>
                <w:lock w:val="sdtLocked"/>
                <w:richText/>
              </w:sdtPr>
              <w:sdtContent>
                <w:p>
                  <w:pPr>
                    <w:ind w:firstLine="720"/>
                    <w:jc w:val="both"/>
                    <w:rPr>
                      <w:szCs w:val="24"/>
                      <w:lang w:eastAsia="lt-LT"/>
                    </w:rPr>
                  </w:pPr>
                  <w:sdt>
                    <w:sdtPr>
                      <w:alias w:val="Numeris"/>
                      <w:tag w:val="nr_0b3684f8bb074f7dbf12c938b3ac6f51"/>
                      <w:lock w:val="sdtLocked"/>
                      <w:richText/>
                    </w:sdtPr>
                    <w:sdtContent>
                      <w:r>
                        <w:rPr>
                          <w:szCs w:val="24"/>
                          <w:lang w:eastAsia="lt-LT"/>
                        </w:rPr>
                        <w:t>20</w:t>
                      </w:r>
                    </w:sdtContent>
                  </w:sdt>
                  <w:r>
                    <w:rPr>
                      <w:szCs w:val="24"/>
                      <w:lang w:eastAsia="lt-LT"/>
                    </w:rPr>
                    <w:t xml:space="preserve">. Registre tvarkomi šie specialieji apdraustojo ir (ar) išmokos gavėjo duomenys, susiję su valstybinio socialinio draudimo ir valstybinio socialinio pensijų draudimo stažo bei draudžiamųjų pajamų skaičiavimu: </w:t>
                  </w:r>
                </w:p>
                <w:sdt>
                  <w:sdtPr>
                    <w:alias w:val="20.1 pp."/>
                    <w:tag w:val="part_78139cee6ac446e59975a0e42962636d"/>
                    <w:lock w:val="sdtLocked"/>
                    <w:richText/>
                  </w:sdtPr>
                  <w:sdtContent>
                    <w:p>
                      <w:pPr>
                        <w:ind w:firstLine="720"/>
                        <w:jc w:val="both"/>
                        <w:rPr>
                          <w:szCs w:val="24"/>
                          <w:lang w:eastAsia="lt-LT"/>
                        </w:rPr>
                      </w:pPr>
                      <w:sdt>
                        <w:sdtPr>
                          <w:alias w:val="Numeris"/>
                          <w:tag w:val="nr_78139cee6ac446e59975a0e42962636d"/>
                          <w:lock w:val="sdtLocked"/>
                          <w:richText/>
                        </w:sdtPr>
                        <w:sdtContent>
                          <w:r>
                            <w:rPr>
                              <w:szCs w:val="24"/>
                              <w:lang w:eastAsia="lt-LT"/>
                            </w:rPr>
                            <w:t>20.1</w:t>
                          </w:r>
                        </w:sdtContent>
                      </w:sdt>
                      <w:r>
                        <w:rPr>
                          <w:szCs w:val="24"/>
                          <w:lang w:eastAsia="lt-LT"/>
                        </w:rPr>
                        <w:t>. valstybinio socialinio pensijų draudimo stažui prilyginamų laikotarpių duomenys:</w:t>
                      </w:r>
                    </w:p>
                    <w:sdt>
                      <w:sdtPr>
                        <w:alias w:val="20.1.1 pp."/>
                        <w:tag w:val="part_430ca1817abb4985ad8f74dbe278dc79"/>
                        <w:lock w:val="sdtLocked"/>
                        <w:richText/>
                      </w:sdtPr>
                      <w:sdtContent>
                        <w:p>
                          <w:pPr>
                            <w:ind w:firstLine="720"/>
                            <w:jc w:val="both"/>
                            <w:rPr>
                              <w:szCs w:val="24"/>
                              <w:lang w:eastAsia="lt-LT"/>
                            </w:rPr>
                          </w:pPr>
                          <w:sdt>
                            <w:sdtPr>
                              <w:alias w:val="Numeris"/>
                              <w:tag w:val="nr_430ca1817abb4985ad8f74dbe278dc79"/>
                              <w:lock w:val="sdtLocked"/>
                              <w:richText/>
                            </w:sdtPr>
                            <w:sdtContent>
                              <w:r>
                                <w:rPr>
                                  <w:szCs w:val="24"/>
                                  <w:lang w:eastAsia="lt-LT"/>
                                </w:rPr>
                                <w:t>20.1.1</w:t>
                              </w:r>
                            </w:sdtContent>
                          </w:sdt>
                          <w:r>
                            <w:rPr>
                              <w:szCs w:val="24"/>
                              <w:lang w:eastAsia="lt-LT"/>
                            </w:rPr>
                            <w:t>. valstybinio socialinio pensijų draudimo stažui prilyginamų laikotarpių pradžios ir pabaigos datos;</w:t>
                          </w:r>
                        </w:p>
                      </w:sdtContent>
                    </w:sdt>
                    <w:sdt>
                      <w:sdtPr>
                        <w:alias w:val="20.1.2 pp."/>
                        <w:tag w:val="part_42a9243d1ce74dbab5e745a480ce3c71"/>
                        <w:lock w:val="sdtLocked"/>
                        <w:richText/>
                      </w:sdtPr>
                      <w:sdtContent>
                        <w:p>
                          <w:pPr>
                            <w:ind w:firstLine="720"/>
                            <w:jc w:val="both"/>
                            <w:rPr>
                              <w:szCs w:val="24"/>
                              <w:lang w:eastAsia="lt-LT"/>
                            </w:rPr>
                          </w:pPr>
                          <w:sdt>
                            <w:sdtPr>
                              <w:alias w:val="Numeris"/>
                              <w:tag w:val="nr_42a9243d1ce74dbab5e745a480ce3c71"/>
                              <w:lock w:val="sdtLocked"/>
                              <w:richText/>
                            </w:sdtPr>
                            <w:sdtContent>
                              <w:r>
                                <w:rPr>
                                  <w:szCs w:val="24"/>
                                  <w:lang w:eastAsia="lt-LT"/>
                                </w:rPr>
                                <w:t>20.1.2</w:t>
                              </w:r>
                            </w:sdtContent>
                          </w:sdt>
                          <w:r>
                            <w:rPr>
                              <w:szCs w:val="24"/>
                              <w:lang w:eastAsia="lt-LT"/>
                            </w:rPr>
                            <w:t>. valstybinio socialinio draudimo stažui prilyginamu laikotarpiu faktiškai dirbtas laikas (metų, mėnesių, dienų skaičius);</w:t>
                          </w:r>
                        </w:p>
                      </w:sdtContent>
                    </w:sdt>
                    <w:sdt>
                      <w:sdtPr>
                        <w:alias w:val="20.1.3 pp."/>
                        <w:tag w:val="part_c43a6687c14842dbb13f796d31338362"/>
                        <w:lock w:val="sdtLocked"/>
                        <w:richText/>
                      </w:sdtPr>
                      <w:sdtContent>
                        <w:p>
                          <w:pPr>
                            <w:ind w:firstLine="720"/>
                            <w:jc w:val="both"/>
                            <w:rPr>
                              <w:szCs w:val="24"/>
                              <w:lang w:eastAsia="lt-LT"/>
                            </w:rPr>
                          </w:pPr>
                          <w:sdt>
                            <w:sdtPr>
                              <w:alias w:val="Numeris"/>
                              <w:tag w:val="nr_c43a6687c14842dbb13f796d31338362"/>
                              <w:lock w:val="sdtLocked"/>
                              <w:richText/>
                            </w:sdtPr>
                            <w:sdtContent>
                              <w:r>
                                <w:rPr>
                                  <w:szCs w:val="24"/>
                                  <w:lang w:eastAsia="lt-LT"/>
                                </w:rPr>
                                <w:t>20.1.3</w:t>
                              </w:r>
                            </w:sdtContent>
                          </w:sdt>
                          <w:r>
                            <w:rPr>
                              <w:szCs w:val="24"/>
                              <w:lang w:eastAsia="lt-LT"/>
                            </w:rPr>
                            <w:t>. valstybinio socialinio pensijų draudimo stažui prilyginamo laikotarpio įgijimo veiklos rūšys;</w:t>
                          </w:r>
                        </w:p>
                      </w:sdtContent>
                    </w:sdt>
                    <w:sdt>
                      <w:sdtPr>
                        <w:alias w:val="20.1.4 pp."/>
                        <w:tag w:val="part_f493bfa8cbf74c0b9e336ac569768988"/>
                        <w:lock w:val="sdtLocked"/>
                        <w:richText/>
                      </w:sdtPr>
                      <w:sdtContent>
                        <w:p>
                          <w:pPr>
                            <w:ind w:firstLine="720"/>
                            <w:jc w:val="both"/>
                            <w:rPr>
                              <w:szCs w:val="24"/>
                              <w:lang w:eastAsia="lt-LT"/>
                            </w:rPr>
                          </w:pPr>
                          <w:sdt>
                            <w:sdtPr>
                              <w:alias w:val="Numeris"/>
                              <w:tag w:val="nr_f493bfa8cbf74c0b9e336ac569768988"/>
                              <w:lock w:val="sdtLocked"/>
                              <w:richText/>
                            </w:sdtPr>
                            <w:sdtContent>
                              <w:r>
                                <w:rPr>
                                  <w:szCs w:val="24"/>
                                  <w:lang w:eastAsia="lt-LT"/>
                                </w:rPr>
                                <w:t>20.1.4</w:t>
                              </w:r>
                            </w:sdtContent>
                          </w:sdt>
                          <w:r>
                            <w:rPr>
                              <w:szCs w:val="24"/>
                              <w:lang w:eastAsia="lt-LT"/>
                            </w:rPr>
                            <w:t>. valstybinio socialinio pensijų draudimo stažui prilyginamus laikotarpius patvirtinančių dokumentų rūšys;</w:t>
                          </w:r>
                        </w:p>
                      </w:sdtContent>
                    </w:sdt>
                    <w:sdt>
                      <w:sdtPr>
                        <w:alias w:val="20.1.5 pp."/>
                        <w:tag w:val="part_f61b0453ac3343c693e624f9c0c006f0"/>
                        <w:lock w:val="sdtLocked"/>
                        <w:richText/>
                      </w:sdtPr>
                      <w:sdtContent>
                        <w:p>
                          <w:pPr>
                            <w:ind w:firstLine="720"/>
                            <w:jc w:val="both"/>
                            <w:rPr>
                              <w:szCs w:val="24"/>
                              <w:lang w:eastAsia="lt-LT"/>
                            </w:rPr>
                          </w:pPr>
                          <w:sdt>
                            <w:sdtPr>
                              <w:alias w:val="Numeris"/>
                              <w:tag w:val="nr_f61b0453ac3343c693e624f9c0c006f0"/>
                              <w:lock w:val="sdtLocked"/>
                              <w:richText/>
                            </w:sdtPr>
                            <w:sdtContent>
                              <w:r>
                                <w:rPr>
                                  <w:szCs w:val="24"/>
                                  <w:lang w:eastAsia="lt-LT"/>
                                </w:rPr>
                                <w:t>20.1.5</w:t>
                              </w:r>
                            </w:sdtContent>
                          </w:sdt>
                          <w:r>
                            <w:rPr>
                              <w:szCs w:val="24"/>
                              <w:lang w:eastAsia="lt-LT"/>
                            </w:rPr>
                            <w:t>. valstybė, kurioje įgytas valstybinio socialinio pensijų draudimo stažui prilyginamas laikotarpis;</w:t>
                          </w:r>
                        </w:p>
                      </w:sdtContent>
                    </w:sdt>
                  </w:sdtContent>
                </w:sdt>
                <w:sdt>
                  <w:sdtPr>
                    <w:alias w:val="20.2 pp."/>
                    <w:tag w:val="part_e6055688b787413ebea16824b1f92908"/>
                    <w:lock w:val="sdtLocked"/>
                    <w:richText/>
                  </w:sdtPr>
                  <w:sdtContent>
                    <w:p>
                      <w:pPr>
                        <w:ind w:firstLine="720"/>
                        <w:jc w:val="both"/>
                        <w:rPr>
                          <w:szCs w:val="24"/>
                          <w:lang w:eastAsia="lt-LT"/>
                        </w:rPr>
                      </w:pPr>
                      <w:sdt>
                        <w:sdtPr>
                          <w:alias w:val="Numeris"/>
                          <w:tag w:val="nr_e6055688b787413ebea16824b1f92908"/>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c19b79ce91b840289becf22d28ad34c6"/>
                        <w:lock w:val="sdtLocked"/>
                        <w:richText/>
                      </w:sdtPr>
                      <w:sdtContent>
                        <w:p>
                          <w:pPr>
                            <w:ind w:firstLine="720"/>
                            <w:jc w:val="both"/>
                            <w:rPr>
                              <w:szCs w:val="24"/>
                              <w:lang w:eastAsia="lt-LT"/>
                            </w:rPr>
                          </w:pPr>
                          <w:sdt>
                            <w:sdtPr>
                              <w:alias w:val="Numeris"/>
                              <w:tag w:val="nr_c19b79ce91b840289becf22d28ad34c6"/>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86ff918e87cd4e0e8d30234daa85f240"/>
                        <w:lock w:val="sdtLocked"/>
                        <w:richText/>
                      </w:sdtPr>
                      <w:sdtContent>
                        <w:p>
                          <w:pPr>
                            <w:ind w:firstLine="720"/>
                            <w:jc w:val="both"/>
                            <w:rPr>
                              <w:szCs w:val="24"/>
                              <w:lang w:eastAsia="lt-LT"/>
                            </w:rPr>
                          </w:pPr>
                          <w:sdt>
                            <w:sdtPr>
                              <w:alias w:val="Numeris"/>
                              <w:tag w:val="nr_86ff918e87cd4e0e8d30234daa85f240"/>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63e80332bb5c4ef3bb5b3481a381d05f"/>
                        <w:lock w:val="sdtLocked"/>
                        <w:richText/>
                      </w:sdtPr>
                      <w:sdtContent>
                        <w:p>
                          <w:pPr>
                            <w:ind w:firstLine="720"/>
                            <w:jc w:val="both"/>
                            <w:rPr>
                              <w:szCs w:val="24"/>
                              <w:lang w:eastAsia="lt-LT"/>
                            </w:rPr>
                          </w:pPr>
                          <w:sdt>
                            <w:sdtPr>
                              <w:alias w:val="Numeris"/>
                              <w:tag w:val="nr_63e80332bb5c4ef3bb5b3481a381d05f"/>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460bdb0a9d204c85a6ae00722f6216b5"/>
                        <w:lock w:val="sdtLocked"/>
                        <w:richText/>
                      </w:sdtPr>
                      <w:sdtContent>
                        <w:p>
                          <w:pPr>
                            <w:ind w:firstLine="720"/>
                            <w:jc w:val="both"/>
                            <w:rPr>
                              <w:szCs w:val="24"/>
                              <w:lang w:eastAsia="lt-LT"/>
                            </w:rPr>
                          </w:pPr>
                          <w:sdt>
                            <w:sdtPr>
                              <w:alias w:val="Numeris"/>
                              <w:tag w:val="nr_460bdb0a9d204c85a6ae00722f6216b5"/>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4149a751a3084485933e71c02e26c97e"/>
                        <w:lock w:val="sdtLocked"/>
                        <w:richText/>
                      </w:sdtPr>
                      <w:sdtContent>
                        <w:p>
                          <w:pPr>
                            <w:ind w:firstLine="720"/>
                            <w:jc w:val="both"/>
                            <w:rPr>
                              <w:szCs w:val="24"/>
                              <w:lang w:eastAsia="lt-LT"/>
                            </w:rPr>
                          </w:pPr>
                          <w:sdt>
                            <w:sdtPr>
                              <w:alias w:val="Numeris"/>
                              <w:tag w:val="nr_4149a751a3084485933e71c02e26c97e"/>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p>
                      </w:sdtContent>
                    </w:sdt>
                  </w:sdtContent>
                </w:sdt>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7c57ad658b7e49659682a7f84ac498b8"/>
                    <w:lock w:val="sdtLocked"/>
                    <w:richText/>
                  </w:sdtPr>
                  <w:sdtContent>
                    <w:p>
                      <w:pPr>
                        <w:ind w:firstLine="720"/>
                        <w:jc w:val="both"/>
                        <w:rPr>
                          <w:szCs w:val="24"/>
                          <w:lang w:eastAsia="lt-LT"/>
                        </w:rPr>
                      </w:pPr>
                      <w:sdt>
                        <w:sdtPr>
                          <w:alias w:val="Numeris"/>
                          <w:tag w:val="nr_7c57ad658b7e49659682a7f84ac498b8"/>
                          <w:lock w:val="sdtLocked"/>
                          <w:richText/>
                        </w:sdtPr>
                        <w:sdtContent>
                          <w:r>
                            <w:rPr>
                              <w:szCs w:val="24"/>
                              <w:lang w:eastAsia="lt-LT"/>
                            </w:rPr>
                            <w:t>38.7</w:t>
                          </w:r>
                        </w:sdtContent>
                      </w:sdt>
                      <w:r>
                        <w:rPr>
                          <w:szCs w:val="24"/>
                          <w:lang w:eastAsia="lt-LT"/>
                        </w:rPr>
                        <w:t xml:space="preserve">. duomenys apie asmenis, draudžiamus valstybės lėšomis vadovaujantis Lietuvos Respublikos sveikatos draudimo įstatymo (toliau – Sveikatos draudimo įstatymas) 6 straipsnio 4 dalimi; </w:t>
                      </w:r>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44fd06271076480c9cef6874d431e2d9"/>
                    <w:lock w:val="sdtLocked"/>
                    <w:richText/>
                  </w:sdtPr>
                  <w:sdtContent>
                    <w:p>
                      <w:pPr>
                        <w:ind w:firstLine="720"/>
                        <w:jc w:val="both"/>
                        <w:rPr>
                          <w:szCs w:val="24"/>
                          <w:lang w:eastAsia="lt-LT"/>
                        </w:rPr>
                      </w:pPr>
                      <w:sdt>
                        <w:sdtPr>
                          <w:alias w:val="Numeris"/>
                          <w:tag w:val="nr_44fd06271076480c9cef6874d431e2d9"/>
                          <w:lock w:val="sdtLocked"/>
                          <w:richText/>
                        </w:sdtPr>
                        <w:sdtContent>
                          <w:r>
                            <w:rPr>
                              <w:szCs w:val="24"/>
                              <w:lang w:eastAsia="lt-LT"/>
                            </w:rPr>
                            <w:t>49.12</w:t>
                          </w:r>
                        </w:sdtContent>
                      </w:sdt>
                      <w:r>
                        <w:rPr>
                          <w:szCs w:val="24"/>
                          <w:lang w:eastAsia="lt-LT"/>
                        </w:rPr>
                        <w:t>. darbingumo lygis (nedarbingas, iš dalies darbingas, darbingas);</w:t>
                      </w:r>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ae2c4d9a1b074dbd8f1ade11ea73182f"/>
                <w:lock w:val="sdtLocked"/>
                <w:richText/>
              </w:sdtPr>
              <w:sdtContent>
                <w:p>
                  <w:pPr>
                    <w:tabs>
                      <w:tab w:val="left" w:pos="2355"/>
                    </w:tabs>
                    <w:ind w:firstLine="720"/>
                    <w:jc w:val="both"/>
                    <w:rPr>
                      <w:lang w:eastAsia="lt-LT"/>
                    </w:rPr>
                  </w:pPr>
                  <w:sdt>
                    <w:sdtPr>
                      <w:alias w:val="Numeris"/>
                      <w:tag w:val="nr_ae2c4d9a1b074dbd8f1ade11ea73182f"/>
                      <w:lock w:val="sdtLocked"/>
                      <w:richText/>
                    </w:sdtPr>
                    <w:sdtContent>
                      <w:r>
                        <w:rPr>
                          <w:lang w:eastAsia="lt-LT"/>
                        </w:rPr>
                        <w:t>66</w:t>
                      </w:r>
                    </w:sdtContent>
                  </w:sdt>
                  <w:r>
                    <w:rPr>
                      <w:lang w:eastAsia="lt-LT"/>
                    </w:rPr>
                    <w:t>. Draudėjas, pasibaigus apdraustojo (-ųjų) laikinajam nedarbingumui, pateikia registro tvarkytojui duomenis, nurodytus Nuostatų 46.2 ir 46.4 papunkčiuose, apie draudėjo apdraustiesiems už 2 pirmąsias laikinojo nedarbingumo dienas apskaičiuotas ligos išmokų (pašalpų) sumas ir išmokų (pašalpų) gavimo laikotarpius.</w:t>
                  </w:r>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75e46e6c9e5a4c449dcebdd36bb42d4c"/>
                <w:lock w:val="sdtLocked"/>
                <w:richText/>
              </w:sdtPr>
              <w:sdtContent>
                <w:p>
                  <w:pPr>
                    <w:tabs>
                      <w:tab w:val="left" w:pos="2355"/>
                    </w:tabs>
                    <w:ind w:firstLine="720"/>
                    <w:jc w:val="both"/>
                    <w:rPr>
                      <w:bCs/>
                      <w:lang w:eastAsia="lt-LT"/>
                    </w:rPr>
                  </w:pPr>
                  <w:sdt>
                    <w:sdtPr>
                      <w:alias w:val="Numeris"/>
                      <w:tag w:val="nr_75e46e6c9e5a4c449dcebdd36bb42d4c"/>
                      <w:lock w:val="sdtLocked"/>
                      <w:richText/>
                    </w:sdtPr>
                    <w:sdtContent>
                      <w:r>
                        <w:rPr>
                          <w:lang w:eastAsia="lt-LT"/>
                        </w:rPr>
                        <w:t>71</w:t>
                      </w:r>
                    </w:sdtContent>
                  </w:sdt>
                  <w:r>
                    <w:rPr>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Nuostatų 70 punkto pirmojoje pastraipoje nurodytu atveju, išskyrus atvejus, kai Valstybinei mokesčių inspekcijai </w:t>
                  </w:r>
                  <w:r>
                    <w:rPr>
                      <w:bCs/>
                      <w:lang w:eastAsia="lt-LT"/>
                    </w:rPr>
                    <w:t xml:space="preserve">deklaruota metinė pajamų suma arba išsiimama asmeniniams poreikiams lėšų suma yra didesnė nei nurodyta draudėjo, teikiant duomenis  ir informaciją Nuostatų 69 punkte nustatyta tvarka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2 p."/>
                <w:tag w:val="part_245314a868b24b4d94a3df1a6031893d"/>
                <w:lock w:val="sdtLocked"/>
                <w:richText/>
              </w:sdtPr>
              <w:sdtContent>
                <w:p>
                  <w:pPr>
                    <w:tabs>
                      <w:tab w:val="left" w:pos="2355"/>
                    </w:tabs>
                    <w:ind w:firstLine="720"/>
                    <w:jc w:val="both"/>
                    <w:rPr>
                      <w:lang w:eastAsia="lt-LT"/>
                    </w:rPr>
                  </w:pPr>
                  <w:sdt>
                    <w:sdtPr>
                      <w:alias w:val="Numeris"/>
                      <w:tag w:val="nr_245314a868b24b4d94a3df1a6031893d"/>
                      <w:lock w:val="sdtLocked"/>
                      <w:richText/>
                    </w:sdtPr>
                    <w:sdtContent>
                      <w:r>
                        <w:rPr>
                          <w:lang w:eastAsia="lt-LT"/>
                        </w:rPr>
                        <w:t>72</w:t>
                      </w:r>
                    </w:sdtContent>
                  </w:sdt>
                  <w:r>
                    <w:rPr>
                      <w:lang w:eastAsia="lt-LT"/>
                    </w:rPr>
                    <w:t>.</w:t>
                  </w:r>
                  <w:r>
                    <w:rPr>
                      <w:rFonts w:eastAsia="Calibri"/>
                      <w:szCs w:val="24"/>
                    </w:rPr>
                    <w:t xml:space="preserve"> </w:t>
                  </w:r>
                  <w:r>
                    <w:rPr>
                      <w:lang w:eastAsia="lt-LT"/>
                    </w:rPr>
                    <w:t>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ne vėliau kaip kitą darbo dieną nuo reorganizavimo. Reorganizuojant draudėją prijungimo arba išdalijimo būdu, pranešimą apie apdraustojo valstybinio socialinio draudimo pradžią ir pabaigą draudėjas pateikia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d4135a1d49f45b59032b737ee27ccd4"/>
                <w:lock w:val="sdtLocked"/>
                <w:richText/>
              </w:sdtPr>
              <w:sdtContent>
                <w:p>
                  <w:pPr>
                    <w:tabs>
                      <w:tab w:val="left" w:pos="2355"/>
                    </w:tabs>
                    <w:ind w:firstLine="720"/>
                    <w:jc w:val="both"/>
                    <w:rPr>
                      <w:lang w:eastAsia="lt-LT"/>
                    </w:rPr>
                  </w:pPr>
                  <w:sdt>
                    <w:sdtPr>
                      <w:alias w:val="Numeris"/>
                      <w:tag w:val="nr_8d4135a1d49f45b59032b737ee27ccd4"/>
                      <w:lock w:val="sdtLocked"/>
                      <w:richText/>
                    </w:sdtPr>
                    <w:sdtContent>
                      <w:r>
                        <w:rPr>
                          <w:lang w:eastAsia="lt-LT"/>
                        </w:rPr>
                        <w:t>77</w:t>
                      </w:r>
                    </w:sdtContent>
                  </w:sdt>
                  <w:r>
                    <w:rPr>
                      <w:lang w:eastAsia="lt-LT"/>
                    </w:rPr>
                    <w:t>. Nesukakęs senatvės pensijos amžiaus vienas iš neįgalaus asmens, kuriam nustatytas specialusis nuolatinės slaugos poreikis, tėvų (įtėvių) arba globėjas ar rūpintojas, slaugantis namuose nurodytą neįgalų asmenį, taip pat vienas iš tėvų (įtėvių), globėjas ar rūpintojas, slaugantis namuose visiškos negalios invalidą, pripažintą tokiu iki 2005 m. liepos 1 d., pateikia registro tvarkytojui Nuostatų 11.1–11.4, 11.6, 11.9 ir 11.11 papunkčiuose nurodytus duomenis, dokumentus ir informaciją apie save ir slaugomą asmenį.</w:t>
                  </w:r>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6708c4b5d97745b18e1a0b81ab65866c"/>
                <w:lock w:val="sdtLocked"/>
                <w:richText/>
              </w:sdtPr>
              <w:sdtContent>
                <w:p>
                  <w:pPr>
                    <w:tabs>
                      <w:tab w:val="left" w:pos="2355"/>
                    </w:tabs>
                    <w:ind w:firstLine="720"/>
                    <w:jc w:val="both"/>
                    <w:rPr>
                      <w:lang w:eastAsia="lt-LT"/>
                    </w:rPr>
                  </w:pPr>
                  <w:sdt>
                    <w:sdtPr>
                      <w:alias w:val="Numeris"/>
                      <w:tag w:val="nr_6708c4b5d97745b18e1a0b81ab65866c"/>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asmeniui atstovaujantis asmuo). Registro tvarkytojui pateikiami duomenys, nurodyti Nuostatų 11.1, 11.3, 11.4 ir 11.9 papunkčiuose, taip pat asmens tapatybę patvirtinančio dokumento duomenys bei papildomi dokumentai, kurie nurodyti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82 p."/>
                <w:tag w:val="part_f921a9277218474f867f2174acd2b3d4"/>
                <w:lock w:val="sdtLocked"/>
                <w:richText/>
              </w:sdtPr>
              <w:sdtContent>
                <w:p>
                  <w:pPr>
                    <w:tabs>
                      <w:tab w:val="left" w:pos="2355"/>
                    </w:tabs>
                    <w:ind w:firstLine="720"/>
                    <w:jc w:val="both"/>
                    <w:rPr>
                      <w:lang w:eastAsia="lt-LT"/>
                    </w:rPr>
                  </w:pPr>
                  <w:sdt>
                    <w:sdtPr>
                      <w:alias w:val="Numeris"/>
                      <w:tag w:val="nr_f921a9277218474f867f2174acd2b3d4"/>
                      <w:lock w:val="sdtLocked"/>
                      <w:richText/>
                    </w:sdtPr>
                    <w:sdtContent>
                      <w:r>
                        <w:rPr>
                          <w:lang w:eastAsia="lt-LT"/>
                        </w:rPr>
                        <w:t>82</w:t>
                      </w:r>
                    </w:sdtContent>
                  </w:sdt>
                  <w:r>
                    <w:rPr>
                      <w:lang w:eastAsia="lt-LT"/>
                    </w:rPr>
                    <w:t xml:space="preserve">.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asmeniui atstovaujantis asmuo). Registro tvarkytojui pateikiami duomenys, nurodyti Nuostatų 11.1, 11.3, 11.4 ir 11.9 papunkčiuose, ir papildomi dokumentai, kuriais įrodomi darbo ypatingomis sąlygomis laikotarpiai ir kurie nurodyti Kompensacijų už ypatingas darbo sąlygas apskaičiavimo ir išmokėjimo tvarkos apraše, patvirtintame Lietuvos Respublikos Vyriausybės 1995 m. vasario 20 d. nutarimu Nr. 267 „Dėl Kompensacijų už ypatingas darbo sąlygas apskaičiavimo ir išmokėjimo tvarkos aprašo patvirtinimo“. </w:t>
                  </w:r>
                </w:p>
              </w:sdtContent>
            </w:sdt>
            <w:sdt>
              <w:sdtPr>
                <w:alias w:val="83 p."/>
                <w:tag w:val="part_c58d3d859b4a42c89335e45fa7887de5"/>
                <w:lock w:val="sdtLocked"/>
                <w:richText/>
              </w:sdtPr>
              <w:sdtContent>
                <w:p>
                  <w:pPr>
                    <w:tabs>
                      <w:tab w:val="left" w:pos="2355"/>
                    </w:tabs>
                    <w:ind w:firstLine="720"/>
                    <w:jc w:val="both"/>
                    <w:rPr>
                      <w:lang w:eastAsia="lt-LT"/>
                    </w:rPr>
                  </w:pPr>
                  <w:sdt>
                    <w:sdtPr>
                      <w:alias w:val="Numeris"/>
                      <w:tag w:val="nr_c58d3d859b4a42c89335e45fa7887de5"/>
                      <w:lock w:val="sdtLocked"/>
                      <w:richText/>
                    </w:sdtPr>
                    <w:sdtContent>
                      <w:r>
                        <w:rPr>
                          <w:lang w:eastAsia="lt-LT"/>
                        </w:rPr>
                        <w:t>83</w:t>
                      </w:r>
                    </w:sdtContent>
                  </w:sdt>
                  <w:r>
                    <w:rPr>
                      <w:lang w:eastAsia="lt-LT"/>
                    </w:rPr>
                    <w:t xml:space="preserve">. Kompetentingos institucijos už asmenis, kurie pagal Lietuvos Respublikos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 </w:t>
                  </w:r>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f8a06d8fb4ed4fa6a1a4327b74da98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lang w:eastAsia="lt-LT"/>
                    </w:rPr>
                  </w:pPr>
                  <w:sdt>
                    <w:sdtPr>
                      <w:alias w:val="Numeris"/>
                      <w:tag w:val="nr_f8a06d8fb4ed4fa6a1a4327b74da98c7"/>
                      <w:lock w:val="sdtLocked"/>
                      <w:richText/>
                    </w:sdtPr>
                    <w:sdtContent>
                      <w:r>
                        <w:rPr>
                          <w:lang w:eastAsia="lt-LT"/>
                        </w:rPr>
                        <w:t>94</w:t>
                      </w:r>
                    </w:sdtContent>
                  </w:sdt>
                  <w:r>
                    <w:rPr>
                      <w:lang w:eastAsia="lt-LT"/>
                    </w:rPr>
                    <w:t>. </w:t>
                  </w:r>
                  <w:r>
                    <w:rPr>
                      <w:bCs/>
                      <w:lang w:eastAsia="lt-LT"/>
                    </w:rPr>
                    <w:t>Jeigu nustatoma, kad</w:t>
                  </w:r>
                  <w:r>
                    <w:rPr>
                      <w:lang w:eastAsia="lt-LT"/>
                    </w:rPr>
                    <w:t xml:space="preserve"> dėl registro tvarkytojo kaltės</w:t>
                  </w:r>
                  <w:r>
                    <w:rPr>
                      <w:bCs/>
                      <w:lang w:eastAsia="lt-LT"/>
                    </w:rPr>
                    <w:t xml:space="preserve"> į registro duomenų bazę įrašyti netikslūs duomenys, registro tvarkytojas privalo ne vėliau kaip per 24 valandas neatlygintinai ištaisyti netikslumus ir neatlygintinai pranešti apie tai registro duomenų gavėjams,</w:t>
                  </w:r>
                  <w:r>
                    <w:rPr>
                      <w:lang w:eastAsia="lt-LT"/>
                    </w:rPr>
                    <w:t xml:space="preserve"> susijusių registrų ar valstybės informacinių sistemų tvarkytojams,</w:t>
                  </w:r>
                  <w:r>
                    <w:rPr>
                      <w:bCs/>
                      <w:lang w:eastAsia="lt-LT"/>
                    </w:rPr>
                    <w:t xml:space="preserve"> taip pat duomenų subjektams, kuriems perduoti netikslūs duomenys. </w:t>
                  </w:r>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caa3f1943e9a4baab1a0710f6f045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aa3f1943e9a4baab1a0710f6f04513c"/>
                      <w:lock w:val="sdtLocked"/>
                      <w:richText/>
                    </w:sdtPr>
                    <w:sdtContent>
                      <w:r>
                        <w:rPr>
                          <w:lang w:eastAsia="lt-LT"/>
                        </w:rPr>
                        <w:t>98</w:t>
                      </w:r>
                    </w:sdtContent>
                  </w:sdt>
                  <w:r>
                    <w:rPr>
                      <w:lang w:eastAsia="lt-LT"/>
                    </w:rPr>
                    <w:t>. Sprendimus dėl duomenų ir informacijos tikslinimo priima registro tvarkytojas. Sprendimai dėl duomenų ir informacijos apie asmens valstybinio socialinio pensijų 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5cec7bcbaa354898bca127d738453a06"/>
                    <w:lock w:val="sdtLocked"/>
                    <w:richText/>
                  </w:sdtPr>
                  <w:sdtContent>
                    <w:p>
                      <w:pPr>
                        <w:tabs>
                          <w:tab w:val="left" w:pos="709"/>
                        </w:tabs>
                        <w:ind w:firstLine="720"/>
                        <w:jc w:val="both"/>
                        <w:rPr>
                          <w:lang w:eastAsia="lt-LT"/>
                        </w:rPr>
                      </w:pPr>
                      <w:sdt>
                        <w:sdtPr>
                          <w:alias w:val="Numeris"/>
                          <w:tag w:val="nr_5cec7bcbaa354898bca127d738453a06"/>
                          <w:lock w:val="sdtLocked"/>
                          <w:richText/>
                        </w:sdtPr>
                        <w:sdtContent>
                          <w:r>
                            <w:rPr>
                              <w:lang w:eastAsia="lt-LT"/>
                            </w:rPr>
                            <w:t>101.14</w:t>
                          </w:r>
                        </w:sdtContent>
                      </w:sdt>
                      <w:r>
                        <w:rPr>
                          <w:lang w:eastAsia="lt-LT"/>
                        </w:rPr>
                        <w:t>. Eismo įvykių informacinės sistemos duomenys, nurodyti Nuostatų 42 punkte.</w:t>
                      </w:r>
                    </w:p>
                  </w:sdtContent>
                </w:sdt>
              </w:sdtContent>
            </w:sdt>
            <w:sdt>
              <w:sdtPr>
                <w:alias w:val="102 p."/>
                <w:tag w:val="part_6e22a7dc94ae43f0898f721cd0f11e65"/>
                <w:lock w:val="sdtLocked"/>
                <w:richText/>
              </w:sdtPr>
              <w:sdtContent>
                <w:p>
                  <w:pPr>
                    <w:tabs>
                      <w:tab w:val="left" w:pos="2355"/>
                    </w:tabs>
                    <w:ind w:firstLine="720"/>
                    <w:jc w:val="both"/>
                    <w:rPr>
                      <w:lang w:eastAsia="lt-LT"/>
                    </w:rPr>
                  </w:pPr>
                  <w:sdt>
                    <w:sdtPr>
                      <w:alias w:val="Numeris"/>
                      <w:tag w:val="nr_6e22a7dc94ae43f0898f721cd0f11e65"/>
                      <w:lock w:val="sdtLocked"/>
                      <w:richText/>
                    </w:sdtPr>
                    <w:sdtContent>
                      <w:r>
                        <w:rPr>
                          <w:lang w:eastAsia="lt-LT"/>
                        </w:rPr>
                        <w:t>102</w:t>
                      </w:r>
                    </w:sdtContent>
                  </w:sdt>
                  <w:r>
                    <w:rPr>
                      <w:lang w:eastAsia="lt-LT"/>
                    </w:rPr>
                    <w:t xml:space="preserve">. Lietuvos Respublikos generalinė prokuratūra, Lietuvos Respublikos specialiųjų tyrimų tarnyba, Lietuvos Respublikos valstybės saugumo departamentas, Muitinės departamentas prie Lietuvos Respublikos finansų ministerijos ir Kalėjimų departamentas prie Lietuvos Respublikos teisingumo ministerijos teikia pažymas ir duomenis apie apdraustuosius Fondo valdybos Karinių ir joms prilygintų struktūrų skyriui. </w:t>
                  </w:r>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80911cfc08754a808f32d8aae7a4d1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0911cfc08754a808f32d8aae7a4d103"/>
                      <w:lock w:val="sdtLocked"/>
                      <w:richText/>
                    </w:sdtPr>
                    <w:sdtContent>
                      <w:r>
                        <w:rPr>
                          <w:lang w:eastAsia="lt-LT"/>
                        </w:rPr>
                        <w:t>105</w:t>
                      </w:r>
                    </w:sdtContent>
                  </w:sdt>
                  <w:r>
                    <w:rPr>
                      <w:lang w:eastAsia="lt-LT"/>
                    </w:rPr>
                    <w:t>. Asmens duomenys teikiami vadovaujantis Asmens duomenų teisinės apsaugos įstatymu pagal duomenų teikimo sutartis arba prašymus. Sutartyje turi būti nurodytas asmens duomenų naudojimo tikslas, teikimo ir gavimo teisinis pagrindas, sąlygos bei tvarka ir teikiamų asmens duomenų apimtis. Prašyme turi būti nurodytas asmens duomenų naudojimo tikslas, teikimo bei gavimo teisinis pagrindas ir prašomų pateikti asmens duomenų apimtis.</w:t>
                  </w:r>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d8baa635a3ad47c181a5ef1f40f860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d8baa635a3ad47c181a5ef1f40f860ef"/>
                          <w:lock w:val="sdtLocked"/>
                          <w:richText/>
                        </w:sdtPr>
                        <w:sdtContent>
                          <w:r>
                            <w:rPr>
                              <w:lang w:eastAsia="lt-LT"/>
                            </w:rPr>
                            <w:t>109.2</w:t>
                          </w:r>
                        </w:sdtContent>
                      </w:sdt>
                      <w:r>
                        <w:rPr>
                          <w:lang w:eastAsia="lt-LT"/>
                        </w:rPr>
                        <w:t>. valstybės ir savivaldybių institucijoms – pagal duomenų teikimo sutartis jų tiesioginėms funkcijoms atlikti;</w:t>
                      </w:r>
                      <w:r>
                        <w:rPr>
                          <w:strike/>
                          <w:lang w:eastAsia="lt-LT"/>
                        </w:rPr>
                        <w:t xml:space="preserve"> </w:t>
                      </w:r>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cf635281e8cb4888aa3b90aa937363c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f635281e8cb4888aa3b90aa937363c3"/>
                      <w:lock w:val="sdtLocked"/>
                      <w:richText/>
                    </w:sdtPr>
                    <w:sdtContent>
                      <w:r>
                        <w:rPr>
                          <w:lang w:eastAsia="lt-LT"/>
                        </w:rPr>
                        <w:t>115</w:t>
                      </w:r>
                    </w:sdtContent>
                  </w:sdt>
                  <w:r>
                    <w:rPr>
                      <w:lang w:eastAsia="lt-LT"/>
                    </w:rPr>
                    <w:t>. Registro duomenys užsienio valstybėms teikiami Valstybės informacinių išteklių valdymo įstatymo ir Asmens duomenų teisinės apsaugos įstatymo nustatyta tvarka.</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e9bad6f2904b19b34463842e4271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lang w:eastAsia="lt-LT"/>
                    </w:rPr>
                  </w:pPr>
                  <w:sdt>
                    <w:sdtPr>
                      <w:alias w:val="Numeris"/>
                      <w:tag w:val="nr_17e9bad6f2904b19b34463842e427163"/>
                      <w:lock w:val="sdtLocked"/>
                      <w:richText/>
                    </w:sdtPr>
                    <w:sdtContent>
                      <w:r>
                        <w:rPr>
                          <w:lang w:eastAsia="lt-LT"/>
                        </w:rPr>
                        <w:t>116</w:t>
                      </w:r>
                    </w:sdtContent>
                  </w:sdt>
                  <w:r>
                    <w:rPr>
                      <w:lang w:eastAsia="lt-LT"/>
                    </w:rPr>
                    <w:t xml:space="preserve">.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Asmens duomenų saugumas ir organizacinės ir techninės duomenų saugumo priemonės užtikrinamos vadovaujantis Bendraisiais reikalavimais organizacinėms ir techninėms asmens duomenų saugumo priemonėms ir Bendraisiais reikalavimais organizacinėms ir techninėms duomenų saugumo priemonėms, tvirtinamais Valstybinės duomenų apsaugos inspekcijos direktoriaus.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Registro duomenų sauga užtikrinama vadovaujantis Valstybės informacinių išteklių valdymo įstatymu, Lietuvos standartais LST ISO/IEC 27002, kitais Lietuvos ir tarptautiniais standartais „Informacijos technologija. Saugumo metodai“, apibūdinančiais saugų informacinės sistemos duomenų tvarkymą, techniniais valstybės registrų (kadastrų), žinybinių registrų, valstybės informacinių sistemų ir kitų informacinių sistemų elektroninės informacijos saugos reikalavimais, tvirtinamais vidaus reikalų ministro.</w:t>
                  </w:r>
                </w:p>
              </w:sdtContent>
            </w:sdt>
            <w:sdt>
              <w:sdtPr>
                <w:alias w:val="117 p."/>
                <w:tag w:val="part_4d0fb9084daf4084a7564e552ad7b9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d0fb9084daf4084a7564e552ad7b93f"/>
                      <w:lock w:val="sdtLocked"/>
                      <w:richText/>
                    </w:sdtPr>
                    <w:sdtContent>
                      <w:r>
                        <w:rPr>
                          <w:lang w:eastAsia="lt-LT"/>
                        </w:rPr>
                        <w:t>117</w:t>
                      </w:r>
                    </w:sdtContent>
                  </w:sdt>
                  <w:r>
                    <w:rPr>
                      <w:lang w:eastAsia="lt-LT"/>
                    </w:rPr>
                    <w:t>. Vadovaujantis Lietuvos Respublikos valstybės ir tarnybos paslapčių įstatymu, Asmens duomenų teisinės apsaugos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p>
              </w:sdtContent>
            </w:sdt>
            <w:sdt>
              <w:sdtPr>
                <w:alias w:val="118 p."/>
                <w:tag w:val="part_c9b24065bec8431d97a3e48c9af8017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9b24065bec8431d97a3e48c9af8017a"/>
                      <w:lock w:val="sdtLocked"/>
                      <w:richText/>
                    </w:sdtPr>
                    <w:sdtContent>
                      <w:r>
                        <w:rPr>
                          <w:lang w:eastAsia="lt-LT"/>
                        </w:rPr>
                        <w:t>118</w:t>
                      </w:r>
                    </w:sdtContent>
                  </w:sdt>
                  <w:r>
                    <w:rPr>
                      <w:lang w:eastAsia="lt-LT"/>
                    </w:rPr>
                    <w:t>. Tvarkant registrą, taikomos saugos priemonės, kurių paskirtis – užtikrinti duomenų tikslumą ir apsaugoti juos nuo atsitiktinio ar neteisėto sunaikinimo, pakeitimo, sugadinimo, atskleidimo, neteisėto pasisavinimo, paskelbimo, pateikimo ar kitokio naudojimo, taip pat kokio nors kito neteisėto tvarkymo. Registro tvarkytojas pasirenka registro duomenų saugos priemones pagal duomenų pobūdį ir jų tvarkymo keliamą riziką.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Teisinėmis, organizacinėmis, techninėmis ir kitomis priemonėmis užtikrinama, kad tvarkant registrą nebūtų įrašyti netikslūs duomenys, kad duomenys atitiktų pateiktus dokumentus.</w:t>
                  </w:r>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6C22EE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0.xml"/>
  <Relationship Id="rId11" Type="http://schemas.openxmlformats.org/officeDocument/2006/relationships/header" Target="header58.xml"/>
  <Relationship Id="rId12" Type="http://schemas.openxmlformats.org/officeDocument/2006/relationships/header" Target="header59.xml"/>
  <Relationship Id="rId13" Type="http://schemas.openxmlformats.org/officeDocument/2006/relationships/footer" Target="footer58.xml"/>
  <Relationship Id="rId14" Type="http://schemas.openxmlformats.org/officeDocument/2006/relationships/footer" Target="footer59.xml"/>
  <Relationship Id="rId15" Type="http://schemas.openxmlformats.org/officeDocument/2006/relationships/header" Target="header60.xml"/>
  <Relationship Id="rId16" Type="http://schemas.openxmlformats.org/officeDocument/2006/relationships/footer" Target="footer60.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0.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b93ca457ad814bc284e5eb8057db2e61">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beb9306c0d83446a999bf420db110839">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e18433fc410d488d91c67c277d468664"/>
      <Part Type="punktas" Nr="4" Abbr="4 p." DocPartId="76c905da635149759c4721ab41aa2cca" PartId="14ec12fcb52d45eb9cd3ac76c1ff03ac"/>
      <Part Type="punktas" Nr="5" Abbr="5 p." DocPartId="895cefccceeb4fdaa7a99877acf0516a" PartId="232104773a9a49a7b542acb1213f5e3e"/>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b582d06cc84b469a9a2f139eeaf78e4d">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284f9f8cfbf6465b816b4875da4db20a">
        <Part Type="papunktis" Nr="8.1" Abbr="8.1 pp." DocPartId="32754038544e40f4a02a56262276a402" PartId="9c789721ee484654ac78380c0bad5ee9"/>
        <Part Type="papunktis" Nr="8.2" Abbr="8.2 pp." DocPartId="6985f4ea99e444ae984c0556ff3171de" PartId="2c6c728bab034fafb5308168670bd1a5"/>
        <Part Type="papunktis" Nr="8.3" Abbr="8.3 pp." DocPartId="b0db915eac464003ac3a2a2de803fe4b" PartId="1102b4fe010b401fb13daf824883eaf5"/>
        <Part Type="papunktis" Nr="8.4" Abbr="8.4 pp." DocPartId="39819929d50344e0b9e102ad406e508f" PartId="336cfd851da9474c9a40c91e6474e274"/>
      </Part>
      <Part Type="punktas" Nr="9" Abbr="9 p." DocPartId="839fc292be0d4934909b29075ae33bcf" PartId="36d923d5904d4aff90ca4d635ac0407f">
        <Part Type="papunktis" Nr="9.1" Abbr="9.1 pp." DocPartId="f9b7def9318d46978758062315b7761c" PartId="aa3d9cbd7c68451382614d717024d1af"/>
        <Part Type="papunktis" Nr="9.2" Abbr="9.2 pp." DocPartId="459b01964efe45d1894d34462d0326b9" PartId="08930e7d760543428b72d870f104d85c"/>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30ed8ecc748540b6b502a1d60c56a37f"/>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a275185229004b879790ee71743011a3"/>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0b3684f8bb074f7dbf12c938b3ac6f51">
        <Part Type="papunktis" Nr="20.1" Abbr="20.1 pp." DocPartId="e546f0169c65433d83dfd19a277c38f1" PartId="78139cee6ac446e59975a0e42962636d">
          <Part Type="papunktis" Nr="20.1.1" Abbr="20.1.1 pp." DocPartId="e799fe6a21b44e918b51510adb6848d6" PartId="430ca1817abb4985ad8f74dbe278dc79"/>
          <Part Type="papunktis" Nr="20.1.2" Abbr="20.1.2 pp." DocPartId="de90a2c08b7f4899ae79732937e5136c" PartId="42a9243d1ce74dbab5e745a480ce3c71"/>
          <Part Type="papunktis" Nr="20.1.3" Abbr="20.1.3 pp." DocPartId="ef013dfdf28a4727b27668947fa9f66a" PartId="c43a6687c14842dbb13f796d31338362"/>
          <Part Type="papunktis" Nr="20.1.4" Abbr="20.1.4 pp." DocPartId="d888a6e5a48a45d0a4c29939b1f7438f" PartId="f493bfa8cbf74c0b9e336ac569768988"/>
          <Part Type="papunktis" Nr="20.1.5" Abbr="20.1.5 pp." DocPartId="22886761a4b044e4a22b59463ffb4f06" PartId="f61b0453ac3343c693e624f9c0c006f0"/>
        </Part>
        <Part Type="papunktis" Nr="20.2" Abbr="20.2 pp." DocPartId="9d4b0de910484ef39cabdd90cbd94f5f" PartId="e6055688b787413ebea16824b1f92908">
          <Part Type="papunktis" Nr="20.2.1" Abbr="20.2.1 pp." DocPartId="b95a0b0d5b5a45c6aaf2a09cfc00d45b" PartId="c19b79ce91b840289becf22d28ad34c6"/>
          <Part Type="papunktis" Nr="20.2.2" Abbr="20.2.2 pp." DocPartId="a1eba092a2834dbf8403a1a135aa19c8" PartId="86ff918e87cd4e0e8d30234daa85f240"/>
          <Part Type="papunktis" Nr="20.2.3" Abbr="20.2.3 pp." DocPartId="e3f927693c5749718996fa3bc5432d28" PartId="63e80332bb5c4ef3bb5b3481a381d05f"/>
          <Part Type="papunktis" Nr="20.2.4" Abbr="20.2.4 pp." DocPartId="7ab5e48bfa3642fbbbd1cd595a2acbbd" PartId="460bdb0a9d204c85a6ae00722f6216b5"/>
          <Part Type="papunktis" Nr="20.2.5" Abbr="20.2.5 pp." DocPartId="a5efd862bf3543ba954467daa28b17ab" PartId="4149a751a3084485933e71c02e26c97e"/>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7c57ad658b7e49659682a7f84ac498b8"/>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44fd06271076480c9cef6874d431e2d9"/>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ae2c4d9a1b074dbd8f1ade11ea73182f"/>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75e46e6c9e5a4c449dcebdd36bb42d4c"/>
      <Part Type="punktas" Nr="72" Abbr="72 p." DocPartId="51536d963d3e402e89d4a2b4a9d65baf" PartId="245314a868b24b4d94a3df1a6031893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d4135a1d49f45b59032b737ee27ccd4"/>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6708c4b5d97745b18e1a0b81ab65866c"/>
      <Part Type="punktas" Nr="82" Abbr="82 p." DocPartId="2052c1d1abd24728963015620add4049" PartId="f921a9277218474f867f2174acd2b3d4"/>
      <Part Type="punktas" Nr="83" Abbr="83 p." DocPartId="6e26460218204562b1b3524fe8d9f33b" PartId="c58d3d859b4a42c89335e45fa7887de5"/>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f8a06d8fb4ed4fa6a1a4327b74da98c7"/>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caa3f1943e9a4baab1a0710f6f04513c"/>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5cec7bcbaa354898bca127d738453a06"/>
      </Part>
      <Part Type="punktas" Nr="102" Abbr="102 p." DocPartId="a73acda3707d45218204fc061cb4f77a" PartId="6e22a7dc94ae43f0898f721cd0f11e65"/>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80911cfc08754a808f32d8aae7a4d10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d8baa635a3ad47c181a5ef1f40f860ef"/>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cf635281e8cb4888aa3b90aa937363c3"/>
    </Part>
    <Part Type="skyrius" Nr="8" Title="REGISTRO DUOMENŲ IR DOKUMENTŲ SAUGA" DocPartId="8b566f4cc57f4750b691f862193531b3" PartId="7457a2501292496f8da1dd96e7ab16aa">
      <Part Type="punktas" Nr="116" Abbr="116 p." DocPartId="1e161f72bf634607b4a959a7e1ff3308" PartId="17e9bad6f2904b19b34463842e427163"/>
      <Part Type="punktas" Nr="117" Abbr="117 p." DocPartId="f5f410d7b02948f8bd894b6c821a10b2" PartId="4d0fb9084daf4084a7564e552ad7b93f"/>
      <Part Type="punktas" Nr="118" Abbr="118 p." DocPartId="5126ae6e6b7b4a2eae9ffbe10c33f537" PartId="c9b24065bec8431d97a3e48c9af8017a"/>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00AB3F51-7FDA-4B06-8C97-3091499A1A07}">
  <ds:schemaRefs>
    <ds:schemaRef ds:uri="http://lrs.lt/TAIS/DocParts"/>
  </ds:schemaRefs>
</ds:datastoreItem>
</file>

<file path=docProps/app.xml><?xml version="1.0" encoding="utf-8"?>
<Properties xmlns="http://schemas.openxmlformats.org/officeDocument/2006/extended-properties">
  <Template>Normal.dotm</Template>
  <TotalTime>42</TotalTime>
  <Pages>25</Pages>
  <Words>54905</Words>
  <Characters>31296</Characters>
  <Application>Microsoft Office Word</Application>
  <DocSecurity>0</DocSecurity>
  <Lines>260</Lines>
  <Paragraphs>172</Paragraphs>
  <ScaleCrop>false</ScaleCrop>
  <Company/>
  <LinksUpToDate>false</LinksUpToDate>
  <CharactersWithSpaces>86029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2018-02-27T09:33:00Z</dcterms:modified>
  <revision>31</revision>
</coreProperties>
</file>