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ecb193f2404209b304b62f08277392"/>
        <w:lock w:val="sdtLocked"/>
        <w:richText/>
      </w:sdtPr>
      <w:sdtContent>
        <w:p>
          <w:pPr>
            <w:jc w:val="both"/>
            <w:rPr>
              <w:rFonts w:ascii="Times New Roman" w:hAnsi="Times New Roman"/>
            </w:rPr>
          </w:pPr>
          <w:r>
            <w:rPr>
              <w:rFonts w:ascii="Times New Roman" w:hAnsi="Times New Roman"/>
              <w:b/>
              <w:i/>
            </w:rPr>
            <w:t>Suvestinė redakcija nuo 2009-11-06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17" w:tgtFrame="_blank" w:history="1">
                <w:r>
                  <w:rPr>
                    <w:color w:val="0000FF"/>
                    <w:u w:val="single"/>
                  </w:rPr>
                  <w:t>17-447</w:t>
                </w:r>
              </w:hyperlink>
              <w:r>
                <w:rPr>
                  <w:color w:val="000000"/>
                </w:rPr>
                <w:t xml:space="preserve">; 2004, Nr. </w:t>
              </w:r>
              <w:hyperlink r:id="rId18" w:tgtFrame="_blank" w:history="1">
                <w:r>
                  <w:rPr>
                    <w:color w:val="0000FF"/>
                    <w:u w:val="single"/>
                  </w:rPr>
                  <w:t>171-6295</w:t>
                </w:r>
              </w:hyperlink>
              <w:r>
                <w:rPr>
                  <w:color w:val="000000"/>
                </w:rPr>
                <w:t xml:space="preserve">) 10 straipsniu ir Lietuvos Respublikos valstybės registrų įstatymo (Žin., 1996, Nr. </w:t>
              </w:r>
              <w:hyperlink r:id="rId19"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043dacd704234d36b788c7afec045d7d"/>
                <w:lock w:val="sdtLocked"/>
                <w:richText/>
              </w:sdtPr>
              <w:sdtContent>
                <w:p>
                  <w:pPr>
                    <w:ind w:firstLine="709"/>
                    <w:jc w:val="both"/>
                    <w:rPr>
                      <w:color w:val="000000"/>
                    </w:rPr>
                  </w:pPr>
                  <w:sdt>
                    <w:sdtPr>
                      <w:alias w:val="Numeris"/>
                      <w:tag w:val="nr_043dacd704234d36b788c7afec045d7d"/>
                      <w:lock w:val="sdtLocked"/>
                      <w:richText/>
                    </w:sdtPr>
                    <w:sdtContent>
                      <w:r>
                        <w:rPr>
                          <w:color w:val="000000"/>
                        </w:rPr>
                        <w:t>4</w:t>
                      </w:r>
                    </w:sdtContent>
                  </w:sdt>
                  <w:r>
                    <w:rPr>
                      <w:color w:val="000000"/>
                    </w:rPr>
                    <w:t>. Šiuose Nuostatuose vartojamos sąvokos</w:t>
                  </w:r>
                  <w:r>
                    <w:rPr>
                      <w:bCs/>
                      <w:color w:val="000000"/>
                    </w:rPr>
                    <w:t xml:space="preserve"> atitinka </w:t>
                  </w:r>
                  <w:r>
                    <w:rPr>
                      <w:color w:val="000000"/>
                    </w:rPr>
                    <w:t xml:space="preserve">Lietuvos Respublikos valstybinio socialinio draudimo įstatymo (Žin., 1991, Nr. </w:t>
                  </w:r>
                  <w:hyperlink r:id="rId20" w:tgtFrame="_blank" w:history="1">
                    <w:r>
                      <w:rPr>
                        <w:color w:val="0000FF"/>
                        <w:u w:val="single"/>
                      </w:rPr>
                      <w:t>17-447</w:t>
                    </w:r>
                  </w:hyperlink>
                  <w:r>
                    <w:rPr>
                      <w:color w:val="000000"/>
                    </w:rPr>
                    <w:t xml:space="preserve">; 2004, Nr. </w:t>
                  </w:r>
                  <w:hyperlink r:id="rId21" w:tgtFrame="_blank" w:history="1">
                    <w:r>
                      <w:rPr>
                        <w:color w:val="0000FF"/>
                        <w:u w:val="single"/>
                      </w:rPr>
                      <w:t>171-6295</w:t>
                    </w:r>
                  </w:hyperlink>
                  <w:r>
                    <w:rPr>
                      <w:color w:val="000000"/>
                    </w:rPr>
                    <w:t xml:space="preserve">) ir kitų valstybinį socialinį draudimą reglamentuojančių teisės aktų, Lietuvos Respublikos valstybės registrų įstatymo (Žin., 1996, Nr. </w:t>
                  </w:r>
                  <w:hyperlink r:id="rId22" w:tgtFrame="_blank" w:history="1">
                    <w:r>
                      <w:rPr>
                        <w:color w:val="0000FF"/>
                        <w:u w:val="single"/>
                      </w:rPr>
                      <w:t>86-2043</w:t>
                    </w:r>
                  </w:hyperlink>
                  <w:r>
                    <w:rPr>
                      <w:color w:val="000000"/>
                    </w:rPr>
                    <w:t>; 2004, Nr. 124-4488), Lietuvos Respublikos a</w:t>
                  </w:r>
                  <w:r>
                    <w:rPr>
                      <w:color w:val="000000"/>
                      <w:spacing w:val="-2"/>
                    </w:rPr>
                    <w:t xml:space="preserve">smens duomenų teisinės apsaugos </w:t>
                  </w:r>
                  <w:r>
                    <w:rPr>
                      <w:color w:val="000000"/>
                    </w:rPr>
                    <w:t>įstatymo</w:t>
                  </w:r>
                  <w:r>
                    <w:rPr>
                      <w:color w:val="000000"/>
                      <w:spacing w:val="-2"/>
                    </w:rPr>
                    <w:t xml:space="preserve"> (Žin., 1996, Nr. </w:t>
                  </w:r>
                  <w:hyperlink r:id="rId23" w:tgtFrame="_blank" w:history="1">
                    <w:r>
                      <w:rPr>
                        <w:color w:val="0000FF"/>
                        <w:spacing w:val="-2"/>
                        <w:u w:val="single"/>
                      </w:rPr>
                      <w:t>63-1479</w:t>
                    </w:r>
                  </w:hyperlink>
                  <w:r>
                    <w:rPr>
                      <w:color w:val="000000"/>
                      <w:spacing w:val="-2"/>
                    </w:rPr>
                    <w:t xml:space="preserve">; 2003, Nr. </w:t>
                  </w:r>
                  <w:hyperlink r:id="rId24" w:tgtFrame="_blank" w:history="1">
                    <w:r>
                      <w:rPr>
                        <w:color w:val="0000FF"/>
                        <w:spacing w:val="-2"/>
                        <w:u w:val="single"/>
                      </w:rPr>
                      <w:t>15-597</w:t>
                    </w:r>
                  </w:hyperlink>
                  <w:r>
                    <w:rPr>
                      <w:color w:val="000000"/>
                      <w:spacing w:val="-2"/>
                    </w:rPr>
                    <w:t>)</w:t>
                  </w:r>
                  <w:r>
                    <w:rPr>
                      <w:bCs/>
                      <w:color w:val="000000"/>
                    </w:rPr>
                    <w:t xml:space="preserve"> sąvokas</w:t>
                  </w:r>
                  <w:r>
                    <w:rPr>
                      <w:color w:val="000000"/>
                    </w:rPr>
                    <w:t>.</w:t>
                  </w:r>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25"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d4c0af7a891b4435902b68655375f63d"/>
                    <w:lock w:val="sdtLocked"/>
                    <w:richText/>
                  </w:sdtPr>
                  <w:sdtContent>
                    <w:p>
                      <w:pPr>
                        <w:ind w:firstLine="709"/>
                        <w:jc w:val="both"/>
                        <w:rPr>
                          <w:color w:val="000000"/>
                        </w:rPr>
                      </w:pPr>
                      <w:sdt>
                        <w:sdtPr>
                          <w:alias w:val="Numeris"/>
                          <w:tag w:val="nr_d4c0af7a891b4435902b68655375f63d"/>
                          <w:lock w:val="sdtLocked"/>
                          <w:richText/>
                        </w:sdtPr>
                        <w:sdtContent>
                          <w:r>
                            <w:rPr>
                              <w:color w:val="000000"/>
                            </w:rPr>
                            <w:t>14.10</w:t>
                          </w:r>
                        </w:sdtContent>
                      </w:sdt>
                      <w:r>
                        <w:rPr>
                          <w:color w:val="000000"/>
                        </w:rPr>
                        <w:t>. atlieka kitas Lietuvos Respublikos įstatymuose, kituose teisės aktuose nustatytas funkcijas.</w:t>
                      </w:r>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785e52aeb3c4461dbd787d5616959b0c"/>
                        <w:lock w:val="sdtLocked"/>
                        <w:richText/>
                      </w:sdtPr>
                      <w:sdtContent>
                        <w:p>
                          <w:pPr>
                            <w:ind w:firstLine="709"/>
                            <w:jc w:val="both"/>
                            <w:rPr>
                              <w:color w:val="000000"/>
                            </w:rPr>
                          </w:pPr>
                          <w:sdt>
                            <w:sdtPr>
                              <w:alias w:val="Numeris"/>
                              <w:tag w:val="nr_785e52aeb3c4461dbd787d5616959b0c"/>
                              <w:lock w:val="sdtLocked"/>
                              <w:richText/>
                            </w:sdtPr>
                            <w:sdtContent>
                              <w:r>
                                <w:rPr>
                                  <w:spacing w:val="-2"/>
                                </w:rPr>
                                <w:t>20.2.24</w:t>
                              </w:r>
                            </w:sdtContent>
                          </w:sdt>
                          <w:r>
                            <w:rPr>
                              <w:spacing w:val="-2"/>
                            </w:rPr>
                            <w:t xml:space="preserve">. socialinio draudimo pranešimų, patvirtintų Fondo valdybos direktoriaus 2007 m. birželio 15 d. įsakymu Nr. V-256 „Dėl 1-SD pranešimo apie apdraustųjų valstybinio socialinio draudimo pradžią ir 2-SD pranešimo apie apdraustųjų valstybinio socialinio draudimo pabaigą pateikimo taisyklių patvirtinimo“ (Žin., 2007, Nr. </w:t>
                          </w:r>
                          <w:hyperlink r:id="rId26" w:tgtFrame="_blank" w:history="1">
                            <w:r>
                              <w:rPr>
                                <w:color w:val="0000FF"/>
                                <w:spacing w:val="-2"/>
                                <w:u w:val="single"/>
                              </w:rPr>
                              <w:t>68-2711</w:t>
                            </w:r>
                          </w:hyperlink>
                          <w:r>
                            <w:rPr>
                              <w:spacing w:val="-2"/>
                            </w:rPr>
                            <w:t xml:space="preserve">), 2007 m. birželio 15 d. įsakymu Nr. V-257 „Dėl 9-SD pranešimo apie motinai (įmotei), tėvui (įtėviui) arba vaiko globėjui suteiktas (atšauktas) atostogas vaikui prižiūrėti pateikimo taisyklių patvirtinimo“ (Žin., 2007, Nr. </w:t>
                          </w:r>
                          <w:hyperlink r:id="rId27" w:tgtFrame="_blank" w:history="1">
                            <w:r>
                              <w:rPr>
                                <w:color w:val="0000FF"/>
                                <w:spacing w:val="-2"/>
                                <w:u w:val="single"/>
                              </w:rPr>
                              <w:t>68-2712</w:t>
                            </w:r>
                          </w:hyperlink>
                          <w:r>
                            <w:rPr>
                              <w:spacing w:val="-2"/>
                            </w:rPr>
                            <w:t xml:space="preserve">), 2007 m. birželio 20 d. įsakymu V-261 „Dėl 12-SD pranešimo apie apdraustųjų nedraudiminius laikotarpius pateikimo taisyklių patvirtinimo“ (Žin., 2007, Nr. </w:t>
                          </w:r>
                          <w:hyperlink r:id="rId28" w:tgtFrame="_blank" w:history="1">
                            <w:r>
                              <w:rPr>
                                <w:color w:val="0000FF"/>
                                <w:spacing w:val="-2"/>
                                <w:u w:val="single"/>
                              </w:rPr>
                              <w:t>69-2775</w:t>
                            </w:r>
                          </w:hyperlink>
                          <w:r>
                            <w:rPr>
                              <w:spacing w:val="-2"/>
                            </w:rPr>
                            <w:t xml:space="preserve">), 2007 m. liepos 4 d. įsakymu Nr. V-295 „Dėl SAM pranešimo apie apdraustuosius už ataskaitinį ketvirtį pateikimo taisyklių patvirtinimo“ (Žin., 2007, Nr. </w:t>
                          </w:r>
                          <w:hyperlink r:id="rId29" w:tgtFrame="_blank" w:history="1">
                            <w:r>
                              <w:rPr>
                                <w:color w:val="0000FF"/>
                                <w:spacing w:val="-2"/>
                                <w:u w:val="single"/>
                              </w:rPr>
                              <w:t>75-2998</w:t>
                            </w:r>
                          </w:hyperlink>
                          <w:r>
                            <w:rPr>
                              <w:spacing w:val="-2"/>
                            </w:rPr>
                            <w:t xml:space="preserve">), 2009 m. kovo 30 d. įsakymu Nr. V-142 „Dėl SAV pranešimo apie savarankiškai dirbančius asmenis taisyklių patvirtinimo“ (Žin., 2009, Nr. </w:t>
                          </w:r>
                          <w:hyperlink r:id="rId30" w:tgtFrame="_blank" w:history="1">
                            <w:r>
                              <w:rPr>
                                <w:color w:val="0000FF"/>
                                <w:spacing w:val="-2"/>
                                <w:u w:val="single"/>
                              </w:rPr>
                              <w:t>37-1427</w:t>
                            </w:r>
                          </w:hyperlink>
                          <w:r>
                            <w:rPr>
                              <w:spacing w:val="-2"/>
                            </w:rPr>
                            <w:t xml:space="preserve">), 2009 m. kovo 6 d. įsakymu V-105 „Dėl 13-SD pranešimo apie asmenis, gaunančius pajamas pagal autorines sutartis, taip pat apie asmenis, gaunančius pajamas iš sporto ar atlikėjo veiklos, pateikimo taisyklių patvirtinimo“ (Žin., 2009, Nr. </w:t>
                          </w:r>
                          <w:hyperlink r:id="rId31" w:tgtFrame="_blank" w:history="1">
                            <w:r>
                              <w:rPr>
                                <w:color w:val="0000FF"/>
                                <w:spacing w:val="-2"/>
                                <w:u w:val="single"/>
                              </w:rPr>
                              <w:t>28-1127</w:t>
                            </w:r>
                          </w:hyperlink>
                          <w:r>
                            <w:rPr>
                              <w:spacing w:val="-2"/>
                            </w:rPr>
                            <w:t>),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2"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3" w:tgtFrame="_blank" w:history="1">
                    <w:r>
                      <w:rPr>
                        <w:color w:val="0000FF"/>
                        <w:u w:val="single"/>
                      </w:rPr>
                      <w:t>5-78</w:t>
                    </w:r>
                  </w:hyperlink>
                  <w:r>
                    <w:rPr>
                      <w:color w:val="000000"/>
                    </w:rPr>
                    <w:t xml:space="preserve">; 1999, Nr. </w:t>
                  </w:r>
                  <w:hyperlink r:id="rId34"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35"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ff66c0bac01e4c13b31f62141cf690b2"/>
                    <w:lock w:val="sdtLocked"/>
                    <w:richText/>
                  </w:sdtPr>
                  <w:sdtContent>
                    <w:p>
                      <w:pPr>
                        <w:ind w:firstLine="709"/>
                        <w:jc w:val="both"/>
                        <w:rPr>
                          <w:color w:val="000000"/>
                        </w:rPr>
                      </w:pPr>
                      <w:sdt>
                        <w:sdtPr>
                          <w:alias w:val="Numeris"/>
                          <w:tag w:val="nr_ff66c0bac01e4c13b31f62141cf690b2"/>
                          <w:lock w:val="sdtLocked"/>
                          <w:richText/>
                        </w:sdtPr>
                        <w:sdtContent>
                          <w:r>
                            <w:t>25.2</w:t>
                          </w:r>
                        </w:sdtContent>
                      </w:sdt>
                      <w: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ketvirčio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išskyrus šių Nuostatų 25.3, 25.8 ir 25.9 punktuose numatytus atvejus. </w:t>
                      </w:r>
                      <w:r>
                        <w:rPr>
                          <w:color w:val="000000"/>
                        </w:rPr>
                        <w:t>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947e39423a3247e89baf073658834315"/>
                    <w:lock w:val="sdtLocked"/>
                    <w:richText/>
                  </w:sdtPr>
                  <w:sdtContent>
                    <w:p>
                      <w:pPr>
                        <w:ind w:firstLine="709"/>
                        <w:jc w:val="both"/>
                        <w:rPr>
                          <w:bCs/>
                          <w:color w:val="000000"/>
                        </w:rPr>
                      </w:pPr>
                      <w:sdt>
                        <w:sdtPr>
                          <w:alias w:val="Numeris"/>
                          <w:tag w:val="nr_947e39423a3247e89baf073658834315"/>
                          <w:lock w:val="sdtLocked"/>
                          <w:richText/>
                        </w:sdtPr>
                        <w:sdtContent>
                          <w:r>
                            <w:rPr>
                              <w:color w:val="000000"/>
                            </w:rPr>
                            <w:t>25.5</w:t>
                          </w:r>
                        </w:sdtContent>
                      </w:sdt>
                      <w:r>
                        <w:rPr>
                          <w:color w:val="000000"/>
                        </w:rPr>
                        <w:t>. Draudėjas pateikia teritorinei registro tvarkymo įstaigai duomenis apie apdraustajam per kalendorinį ketvirtį apskaičiuotas draudžiamųjų pajamų ir valstybinio socialinio draudimo įmokų sumas (šių Nuostatų 20.1.4 ir 20.2.24 punktai). Duomenys pateikiami kiekvieną ketvirtį, ne vėliau kaip iki kito ketvirčio pirmojo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81deecac7e44e8692d417dc2a700da1"/>
                    <w:lock w:val="sdtLocked"/>
                    <w:richText/>
                  </w:sdtPr>
                  <w:sdtContent>
                    <w:p>
                      <w:pPr>
                        <w:ind w:firstLine="709"/>
                        <w:jc w:val="both"/>
                        <w:rPr>
                          <w:bCs/>
                          <w:color w:val="000000"/>
                        </w:rPr>
                      </w:pPr>
                      <w:sdt>
                        <w:sdtPr>
                          <w:alias w:val="Numeris"/>
                          <w:tag w:val="nr_881deecac7e44e8692d417dc2a700da1"/>
                          <w:lock w:val="sdtLocked"/>
                          <w:richText/>
                        </w:sdtPr>
                        <w:sdtContent>
                          <w:r>
                            <w:rPr>
                              <w:bCs/>
                              <w:color w:val="000000"/>
                            </w:rPr>
                            <w:t>25.8</w:t>
                          </w:r>
                        </w:sdtContent>
                      </w:sdt>
                      <w:r>
                        <w:rPr>
                          <w:color w:val="000000"/>
                        </w:rPr>
                        <w:t>. K</w:t>
                      </w:r>
                      <w:r>
                        <w:rPr>
                          <w:bCs/>
                          <w:color w:val="000000"/>
                        </w:rPr>
                        <w:t xml:space="preserve">ai juridinis asmuo reorganizuojamas, nesvarbu, kokiu reorganizavimo būdu, teritorinei </w:t>
                      </w:r>
                      <w:r>
                        <w:rPr>
                          <w:color w:val="000000"/>
                        </w:rPr>
                        <w:t>registro</w:t>
                      </w:r>
                      <w:r>
                        <w:rPr>
                          <w:bCs/>
                          <w:color w:val="000000"/>
                        </w:rPr>
                        <w:t xml:space="preserve"> tvarkymo įstaigai pateikiamas pranešimas apie draudėjo reorganizavimą (šių Nuostatų 20.2.1 ir 20.2.24 punktai). Jeigu juridinis asmuo reorganizuojamas, teritorinei registro tvarkymo įstaigai perduodami duomenys apie apdraustajam apskaičiuotas draudžiamąsias pajamas (šių Nuostatų 20.1.4 ir 20.2.24 punktai) iki reorganizavimo dienos. Duomenis apie draudžiamąsias pajamas, apskaičiuotas laikotarpiu nuo reorganizavimo dienos iki ketvirčio pabaigos, ir apie šio laikotarpio valstybinio socialinio draudimo įmokas teritorinei </w:t>
                      </w:r>
                      <w:r>
                        <w:rPr>
                          <w:color w:val="000000"/>
                        </w:rPr>
                        <w:t>registro</w:t>
                      </w:r>
                      <w:r>
                        <w:rPr>
                          <w:bCs/>
                          <w:color w:val="000000"/>
                        </w:rPr>
                        <w:t xml:space="preserve"> tvarkymo įstaigai pateikia naujas arba reorganizuojamas juridinis asmuo.</w:t>
                      </w:r>
                      <w:r>
                        <w:rPr>
                          <w:color w:val="000000"/>
                        </w:rP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25.9 pp."/>
                    <w:tag w:val="part_c050e1959569484a86f8307944efd435"/>
                    <w:lock w:val="sdtLocked"/>
                    <w:richText/>
                  </w:sdtPr>
                  <w:sdtContent>
                    <w:p>
                      <w:pPr>
                        <w:ind w:firstLine="709"/>
                        <w:jc w:val="both"/>
                        <w:rPr>
                          <w:bCs/>
                          <w:color w:val="000000"/>
                        </w:rPr>
                      </w:pPr>
                      <w:sdt>
                        <w:sdtPr>
                          <w:alias w:val="Numeris"/>
                          <w:tag w:val="nr_c050e1959569484a86f8307944efd435"/>
                          <w:lock w:val="sdtLocked"/>
                          <w:richText/>
                        </w:sdtPr>
                        <w:sdtContent>
                          <w:r>
                            <w:t>25.9</w:t>
                          </w:r>
                        </w:sdtContent>
                      </w:sdt>
                      <w:r>
                        <w:t xml:space="preserve">. Bausmių vykdymo institucijos, įstaigos ir valstybės įmonės prie pataisos įstaigų </w:t>
                      </w:r>
                      <w:r>
                        <w:rPr>
                          <w:color w:val="000000"/>
                        </w:rPr>
                        <w:t xml:space="preserve">kiekvieną ketvirtį, ne vėliau kaip iki kito ketvirčio pirmojo mėnesio 15 dienos </w:t>
                      </w:r>
                      <w:r>
                        <w:t>SAM pranešimo SAM3SD</w:t>
                      </w:r>
                      <w:r>
                        <w:rPr>
                          <w:bCs/>
                          <w:iCs/>
                        </w:rPr>
                        <w:t>P priede apie apdraustųjų valstybinio socialinio draudimo laikotarpius ir socialinio draudimo įmokas</w:t>
                      </w:r>
                      <w:r>
                        <w:t xml:space="preserve"> pateikia teritorinei registro tvarkymo įstaigai duomenis apie gaunančių darbo užmokestį nuteistųjų laisvės atėmimu, už kuriuos priskaičiuoja nelaimingų atsitikimų darbe ir profesinių ligų socialinio draudimo įmokas, valstybinio socialinio draudimo laikotarpius, nurodydamos apdraustojo vardą, pavardę, asmens kodą, asmens socialinio draudimo numerį (kai asmeniui jau suteiktas socialinio draudimo numeris pagal šių Nuostatų 30 punktą), pajamų, nuo kurių priskaičiuojamos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10 pp."/>
                    <w:tag w:val="part_b870f7589e0c49f08d8e39f56c0ad092"/>
                    <w:lock w:val="sdtLocked"/>
                    <w:richText/>
                  </w:sdtPr>
                  <w:sdtContent>
                    <w:p>
                      <w:pPr>
                        <w:ind w:firstLine="709"/>
                        <w:jc w:val="both"/>
                      </w:pPr>
                      <w:sdt>
                        <w:sdtPr>
                          <w:alias w:val="Numeris"/>
                          <w:tag w:val="nr_b870f7589e0c49f08d8e39f56c0ad092"/>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priskaičiuoto atitinkamo atlygio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11 pp."/>
                    <w:tag w:val="part_04044fb1554f4ddda017c63d5be14763"/>
                    <w:lock w:val="sdtLocked"/>
                    <w:richText/>
                  </w:sdtPr>
                  <w:sdtContent>
                    <w:p>
                      <w:pPr>
                        <w:ind w:firstLine="709"/>
                        <w:jc w:val="both"/>
                        <w:rPr>
                          <w:bCs/>
                          <w:color w:val="000000"/>
                        </w:rPr>
                      </w:pPr>
                      <w:sdt>
                        <w:sdtPr>
                          <w:alias w:val="Numeris"/>
                          <w:tag w:val="nr_04044fb1554f4ddda017c63d5be14763"/>
                          <w:lock w:val="sdtLocked"/>
                          <w:richText/>
                        </w:sdtPr>
                        <w:sdtContent>
                          <w:r>
                            <w:t>25.11</w:t>
                          </w:r>
                        </w:sdtContent>
                      </w:sdt>
                      <w:r>
                        <w:t xml:space="preserve">. Savarankiškai dirbantys asmenys, kurie socialinio draudimo įmokas avansu apskaičiuoja ir sumoka nuo jų pačių pasirinktos sumos, pateikia teritorinei registro tvarkymo įstaigai duomenis apie per kalendorinį ketvirtį apskaičiuotas draudžiamųjų pajamų ir valstybinio socialinio draudimo įmokų sumas (šių Nuostatų 20.1.4 ir 20.2.24 punktai). Duomenys teikiami vadovaujančiosios registro tvarkymo įstaigos nustatyta tvarka, kiekvieną ketvirtį, ne vėliau kaip iki kito ketvirčio pirmojo mėnesio 15 dienos. Teritorinė registro tvarkymo įstaiga savarankiškai dirbančių asmenų (išskyrus verslo liudijimus turinčius asmenis, ūkininkus ir jų partnerius, kai žemės ūkio valdos ekonominis dydis už praėjusių metų mokestinį laikotarpį nuo sausio 1 d. iki gruodžio 31 d. yra ne mažesnis nei 4 europinio dydžio vienetai ir ne didesnis nei 14 europinio dydžio vienetų) praėjusių metų pajamų metinę sumą, nuo kurios turi būti apskaičiuotos ir sumokėtos socialinio draudimo įmokos (remiantis Valstybinės mokesčių inspekcijos duomenimis), ir jų sumokėtų įmokų metinę sumą vadovaujančiosios registro tvarkymo įstaigos nustatyta tvarka išdėsto ketvirčiais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49"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6"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7"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8" w:tgtFrame="_blank" w:history="1">
                            <w:r>
                              <w:rPr>
                                <w:bCs/>
                                <w:color w:val="0000FF"/>
                                <w:u w:val="single"/>
                              </w:rPr>
                              <w:t>21-493</w:t>
                            </w:r>
                          </w:hyperlink>
                          <w:r>
                            <w:rPr>
                              <w:bCs/>
                              <w:color w:val="000000"/>
                            </w:rPr>
                            <w:t xml:space="preserve">; 2005, Nr. </w:t>
                          </w:r>
                          <w:hyperlink r:id="rId39"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0" w:tgtFrame="_blank" w:history="1">
                            <w:r>
                              <w:rPr>
                                <w:bCs/>
                                <w:color w:val="0000FF"/>
                                <w:u w:val="single"/>
                              </w:rPr>
                              <w:t>91-1781</w:t>
                            </w:r>
                          </w:hyperlink>
                          <w:r>
                            <w:rPr>
                              <w:bCs/>
                              <w:color w:val="000000"/>
                            </w:rPr>
                            <w:t xml:space="preserve">; 2005, Nr. </w:t>
                          </w:r>
                          <w:hyperlink r:id="rId41"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2" w:tgtFrame="_blank" w:history="1">
                            <w:r>
                              <w:rPr>
                                <w:bCs/>
                                <w:color w:val="0000FF"/>
                                <w:u w:val="single"/>
                              </w:rPr>
                              <w:t>17-398</w:t>
                            </w:r>
                          </w:hyperlink>
                          <w:r>
                            <w:rPr>
                              <w:bCs/>
                              <w:color w:val="000000"/>
                            </w:rPr>
                            <w:t xml:space="preserve">; 2005, Nr. </w:t>
                          </w:r>
                          <w:hyperlink r:id="rId43"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3d41ef377af04d3393c6bf72b34bc305"/>
                <w:lock w:val="sdtLocked"/>
                <w:richText/>
              </w:sdtPr>
              <w:sdtContent>
                <w:p>
                  <w:pPr>
                    <w:ind w:firstLine="709"/>
                    <w:jc w:val="both"/>
                    <w:rPr>
                      <w:color w:val="000000"/>
                    </w:rPr>
                  </w:pPr>
                  <w:sdt>
                    <w:sdtPr>
                      <w:alias w:val="Numeris"/>
                      <w:tag w:val="nr_3d41ef377af04d3393c6bf72b34bc305"/>
                      <w:lock w:val="sdtLocked"/>
                      <w:richText/>
                    </w:sdtPr>
                    <w:sdtContent>
                      <w:r>
                        <w:rPr>
                          <w:color w:val="000000"/>
                        </w:rPr>
                        <w:t>41</w:t>
                      </w:r>
                    </w:sdtContent>
                  </w:sdt>
                  <w:r>
                    <w:rPr>
                      <w:color w:val="000000"/>
                    </w:rPr>
                    <w:t>.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4" w:tgtFrame="_blank" w:history="1">
                    <w:r>
                      <w:rPr>
                        <w:color w:val="0000FF"/>
                        <w:u w:val="single"/>
                      </w:rPr>
                      <w:t>171-6295</w:t>
                    </w:r>
                  </w:hyperlink>
                  <w:r>
                    <w:rPr>
                      <w:color w:val="000000"/>
                    </w:rPr>
                    <w:t>) įsigaliojimo. Draudėjas, prieš pateikdamas patikslintas apyskaitas (ataskaitas) ir duomenis apie apdraustųjų asmenų didesnes draudžiamąsias pajamas už praėjusį laikotarpį, privalo sumokėti į Fondą trūkstamas valstybinio socialinio draudimo įmokas ir delspinigius pagal tuo laikotarpiu galiojusius dydžius. Sprendimą dėl duomenų tikslinimo priima teritorinės registro tvarkymo įstaigos direktorius (jo pavaduotojas).</w:t>
                  </w:r>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6ae9b4c581a3474493852c7082121caa"/>
                    <w:lock w:val="sdtLocked"/>
                    <w:richText/>
                  </w:sdtPr>
                  <w:sdtContent>
                    <w:p>
                      <w:pPr>
                        <w:ind w:firstLine="709"/>
                        <w:jc w:val="both"/>
                        <w:rPr>
                          <w:color w:val="000000"/>
                        </w:rPr>
                      </w:pPr>
                      <w:sdt>
                        <w:sdtPr>
                          <w:alias w:val="Numeris"/>
                          <w:tag w:val="nr_6ae9b4c581a3474493852c7082121caa"/>
                          <w:lock w:val="sdtLocked"/>
                          <w:richText/>
                        </w:sdtPr>
                        <w:sdtContent>
                          <w:r>
                            <w:rPr>
                              <w:color w:val="000000"/>
                            </w:rPr>
                            <w:t>57.3</w:t>
                          </w:r>
                        </w:sdtContent>
                      </w:sdt>
                      <w:r>
                        <w:rPr>
                          <w:color w:val="000000"/>
                        </w:rPr>
                        <w:t>. mokesčių administravimo ir teisėtvarkos institucijoms – jų tiesioginėms funkcijoms atlikti;</w:t>
                      </w:r>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5"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6"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7" w:tgtFrame="_blank" w:history="1">
                    <w:r>
                      <w:rPr>
                        <w:color w:val="0000FF"/>
                        <w:u w:val="single"/>
                      </w:rPr>
                      <w:t>107-2389</w:t>
                    </w:r>
                  </w:hyperlink>
                  <w:r>
                    <w:rPr>
                      <w:color w:val="000000"/>
                    </w:rPr>
                    <w:t xml:space="preserve">; 2004, Nr. </w:t>
                  </w:r>
                  <w:hyperlink r:id="rId48"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DED36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wmf"/>
  <Relationship Id="rId16" Type="http://schemas.openxmlformats.org/officeDocument/2006/relationships/control" Target="activeX/activeX10.xml"/>
  <Relationship Id="rId17" Type="http://schemas.openxmlformats.org/officeDocument/2006/relationships/hyperlink" TargetMode="External" Target="https://www.e-tar.lt/portal/lt/legalAct/TAR.0F9036415DBD"/>
  <Relationship Id="rId18" Type="http://schemas.openxmlformats.org/officeDocument/2006/relationships/hyperlink" TargetMode="External" Target="https://www.e-tar.lt/portal/lt/legalAct/TAR.AB8D4779ABE1"/>
  <Relationship Id="rId19" Type="http://schemas.openxmlformats.org/officeDocument/2006/relationships/hyperlink" TargetMode="External" Target="https://www.e-tar.lt/portal/lt/legalAct/TAR.65532A74E296"/>
  <Relationship Id="rId2" Type="http://schemas.openxmlformats.org/officeDocument/2006/relationships/header" Target="header29.xml"/>
  <Relationship Id="rId20" Type="http://schemas.openxmlformats.org/officeDocument/2006/relationships/hyperlink" TargetMode="External" Target="https://www.e-tar.lt/portal/lt/legalAct/TAR.0F9036415DBD"/>
  <Relationship Id="rId21" Type="http://schemas.openxmlformats.org/officeDocument/2006/relationships/hyperlink" TargetMode="External" Target="https://www.e-tar.lt/portal/lt/legalAct/TAR.AB8D4779ABE1"/>
  <Relationship Id="rId22" Type="http://schemas.openxmlformats.org/officeDocument/2006/relationships/hyperlink" TargetMode="External" Target="https://www.e-tar.lt/portal/lt/legalAct/TAR.65532A74E296"/>
  <Relationship Id="rId23" Type="http://schemas.openxmlformats.org/officeDocument/2006/relationships/hyperlink" TargetMode="External" Target="https://www.e-tar.lt/portal/lt/legalAct/TAR.5368B592234C"/>
  <Relationship Id="rId24" Type="http://schemas.openxmlformats.org/officeDocument/2006/relationships/hyperlink" TargetMode="External" Target="https://www.e-tar.lt/portal/lt/legalAct/TAR.A5D68BD2EAFF"/>
  <Relationship Id="rId25" Type="http://schemas.openxmlformats.org/officeDocument/2006/relationships/hyperlink" TargetMode="External" Target="https://www.e-tar.lt/portal/lt/legalAct/TAR.3EB34933E485"/>
  <Relationship Id="rId26" Type="http://schemas.openxmlformats.org/officeDocument/2006/relationships/hyperlink" TargetMode="External" Target="https://www.e-tar.lt/portal/lt/legalAct/TAR.09D09BE994E8"/>
  <Relationship Id="rId27" Type="http://schemas.openxmlformats.org/officeDocument/2006/relationships/hyperlink" TargetMode="External" Target="https://www.e-tar.lt/portal/lt/legalAct/TAR.373F2D474870"/>
  <Relationship Id="rId28" Type="http://schemas.openxmlformats.org/officeDocument/2006/relationships/hyperlink" TargetMode="External" Target="https://www.e-tar.lt/portal/lt/legalAct/TAR.4A574BD4D88D"/>
  <Relationship Id="rId29" Type="http://schemas.openxmlformats.org/officeDocument/2006/relationships/hyperlink" TargetMode="External" Target="https://www.e-tar.lt/portal/lt/legalAct/TAR.E4591721786D"/>
  <Relationship Id="rId3" Type="http://schemas.openxmlformats.org/officeDocument/2006/relationships/footer" Target="footer28.xml"/>
  <Relationship Id="rId30" Type="http://schemas.openxmlformats.org/officeDocument/2006/relationships/hyperlink" TargetMode="External" Target="https://www.e-tar.lt/portal/lt/legalAct/TAR.DCFF55F00321"/>
  <Relationship Id="rId31" Type="http://schemas.openxmlformats.org/officeDocument/2006/relationships/hyperlink" TargetMode="External" Target="https://www.e-tar.lt/portal/lt/legalAct/TAR.8C60CC0DE5D7"/>
  <Relationship Id="rId32" Type="http://schemas.openxmlformats.org/officeDocument/2006/relationships/hyperlink" TargetMode="External" Target="https://www.e-tar.lt/portal/lt/legalAct/TAR.AF1B122D7145"/>
  <Relationship Id="rId33" Type="http://schemas.openxmlformats.org/officeDocument/2006/relationships/hyperlink" TargetMode="External" Target="https://www.e-tar.lt/portal/lt/legalAct/TAR.DCBDC82E26CD"/>
  <Relationship Id="rId34" Type="http://schemas.openxmlformats.org/officeDocument/2006/relationships/hyperlink" TargetMode="External" Target="https://www.e-tar.lt/portal/lt/legalAct/TAR.A941BFE880F7"/>
  <Relationship Id="rId35" Type="http://schemas.openxmlformats.org/officeDocument/2006/relationships/hyperlink" TargetMode="External" Target="https://www.e-tar.lt/portal/lt/legalAct/TAR.31185A622C9F"/>
  <Relationship Id="rId36" Type="http://schemas.openxmlformats.org/officeDocument/2006/relationships/hyperlink" TargetMode="External" Target="https://www.e-tar.lt/portal/lt/legalAct/TAR.4707C1616570"/>
  <Relationship Id="rId37" Type="http://schemas.openxmlformats.org/officeDocument/2006/relationships/hyperlink" TargetMode="External" Target="https://www.e-tar.lt/portal/lt/legalAct/TAR.818206FCA97A"/>
  <Relationship Id="rId38" Type="http://schemas.openxmlformats.org/officeDocument/2006/relationships/hyperlink" TargetMode="External" Target="https://www.e-tar.lt/portal/lt/legalAct/TAR.918C2468A8B1"/>
  <Relationship Id="rId39" Type="http://schemas.openxmlformats.org/officeDocument/2006/relationships/hyperlink" TargetMode="External" Target="https://www.e-tar.lt/portal/lt/legalAct/TAR.FCAE5B35B9C1"/>
  <Relationship Id="rId4" Type="http://schemas.openxmlformats.org/officeDocument/2006/relationships/footer" Target="footer29.xml"/>
  <Relationship Id="rId40" Type="http://schemas.openxmlformats.org/officeDocument/2006/relationships/hyperlink" TargetMode="External" Target="https://www.e-tar.lt/portal/lt/legalAct/TAR.260B8E89C210"/>
  <Relationship Id="rId41" Type="http://schemas.openxmlformats.org/officeDocument/2006/relationships/hyperlink" TargetMode="External" Target="https://www.e-tar.lt/portal/lt/legalAct/TAR.852A0C3624A4"/>
  <Relationship Id="rId42" Type="http://schemas.openxmlformats.org/officeDocument/2006/relationships/hyperlink" TargetMode="External" Target="https://www.e-tar.lt/portal/lt/legalAct/TAR.4481B1F47C94"/>
  <Relationship Id="rId43" Type="http://schemas.openxmlformats.org/officeDocument/2006/relationships/hyperlink" TargetMode="External" Target="https://www.e-tar.lt/portal/lt/legalAct/TAR.212FD4F231C2"/>
  <Relationship Id="rId44" Type="http://schemas.openxmlformats.org/officeDocument/2006/relationships/hyperlink" TargetMode="External" Target="https://www.e-tar.lt/portal/lt/legalAct/TAR.AB8D4779ABE1"/>
  <Relationship Id="rId45" Type="http://schemas.openxmlformats.org/officeDocument/2006/relationships/hyperlink" TargetMode="External" Target="https://www.e-tar.lt/portal/lt/legalAct/TAR.8888B0E576BC"/>
  <Relationship Id="rId46" Type="http://schemas.openxmlformats.org/officeDocument/2006/relationships/hyperlink" TargetMode="External" Target="https://www.e-tar.lt/portal/lt/legalAct/TAR.69A782236F58"/>
  <Relationship Id="rId47" Type="http://schemas.openxmlformats.org/officeDocument/2006/relationships/hyperlink" TargetMode="External" Target="https://www.e-tar.lt/portal/lt/legalAct/TAR.1FEF229DA7C6"/>
  <Relationship Id="rId48" Type="http://schemas.openxmlformats.org/officeDocument/2006/relationships/hyperlink" TargetMode="External" Target="https://www.e-tar.lt/portal/lt/legalAct/TAR.3BB4C58062C3"/>
  <Relationship Id="rId49" Type="http://schemas.openxmlformats.org/officeDocument/2006/relationships/hyperlink" TargetMode="External" Target="https://www.e-tar.lt/portal/lt/legalAct/TAR.5B98B417E564"/>
  <Relationship Id="rId5" Type="http://schemas.openxmlformats.org/officeDocument/2006/relationships/header" Target="header30.xml"/>
  <Relationship Id="rId50" Type="http://schemas.openxmlformats.org/officeDocument/2006/relationships/customXml" Target="../customXml/item1.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3decb193f2404209b304b62f08277392">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043dacd704234d36b788c7afec045d7d"/>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544dc8c91a884166aa22ef4a5dbcfd3e" PartId="d4c0af7a891b4435902b68655375f63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785e52aeb3c4461dbd787d5616959b0c"/>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ff66c0bac01e4c13b31f62141cf690b2"/>
        <Part Type="papunktis" Nr="25.3" Abbr="25.3 pp." DocPartId="d84ee324cce34061981115f0d87cdb9a" PartId="25b17deb4171475fab89720ba382b158"/>
        <Part Type="papunktis" Nr="25.4" Abbr="25.4 pp." DocPartId="7bc1074c5cac4bb58e0658957ebec362" PartId="70a1346b7b5048a186ce5da7384ad7a2"/>
        <Part Type="papunktis" Nr="25.5" Abbr="25.5 pp." DocPartId="418e2242433d493e9b111d402f6fe4f4" PartId="947e39423a3247e89baf073658834315"/>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81deecac7e44e8692d417dc2a700da1"/>
        <Part Type="papunktis" Nr="25.9" Abbr="25.9 pp." DocPartId="ec211d4d76174813b7564b21c92cda4b" PartId="c050e1959569484a86f8307944efd435"/>
        <Part Type="papunktis" Nr="25.10" Abbr="25.10 pp." DocPartId="2c9d963644c943669d597d919870928d" PartId="b870f7589e0c49f08d8e39f56c0ad092"/>
        <Part Type="papunktis" Nr="25.11" Abbr="25.11 pp." DocPartId="c75c4b88008d4c60a42ed70ded149021" PartId="04044fb1554f4ddda017c63d5be14763"/>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3d41ef377af04d3393c6bf72b34bc305"/>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6ae9b4c581a3474493852c7082121caa"/>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C1E00C9D-9A55-4324-A321-5AA6566AA650}">
  <ds:schemaRefs>
    <ds:schemaRef ds:uri="http://lrs.lt/TAIS/DocParts"/>
  </ds:schemaRefs>
</ds:datastoreItem>
</file>

<file path=docProps/app.xml><?xml version="1.0" encoding="utf-8"?>
<Properties xmlns="http://schemas.openxmlformats.org/officeDocument/2006/extended-properties">
  <Template>Normal.dotm</Template>
  <TotalTime>13</TotalTime>
  <Pages>18</Pages>
  <Words>40636</Words>
  <Characters>23164</Characters>
  <Application>Microsoft Office Word</Application>
  <DocSecurity>0</DocSecurity>
  <Lines>193</Lines>
  <Paragraphs>127</Paragraphs>
  <ScaleCrop>false</ScaleCrop>
  <Company/>
  <LinksUpToDate>false</LinksUpToDate>
  <CharactersWithSpaces>63673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2017-04-24T11:10:00Z</dcterms:modified>
  <revision>11</revision>
</coreProperties>
</file>