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2.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2.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434397a381a4dc4b8a0bd1de68b4964"/>
        <w:lock w:val="sdtLocked"/>
        <w:richText/>
      </w:sdtPr>
      <w:sdtContent>
        <w:p>
          <w:pPr>
            <w:jc w:val="both"/>
            <w:rPr>
              <w:rFonts w:ascii="Times New Roman" w:hAnsi="Times New Roman"/>
            </w:rPr>
          </w:pPr>
          <w:r>
            <w:rPr>
              <w:rFonts w:ascii="Times New Roman" w:hAnsi="Times New Roman"/>
              <w:b/>
              <w:i/>
            </w:rPr>
            <w:t>Suvestinė redakcija nuo 2025-12-01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A604B7C37CCE">
            <w:r w:rsidRPr="00532B9F">
              <w:rPr>
                <w:rFonts w:ascii="Times New Roman" w:eastAsia="MS Mincho" w:hAnsi="Times New Roman"/>
                <w:sz w:val="20"/>
                <w:i/>
                <w:iCs/>
                <w:color w:val="0000FF" w:themeColor="hyperlink"/>
                <w:u w:val="single"/>
              </w:rPr>
              <w:t>43-1658</w:t>
            </w:r>
          </w:fldSimple>
          <w:r>
            <w:rPr>
              <w:rFonts w:ascii="Times New Roman" w:eastAsia="MS Mincho" w:hAnsi="Times New Roman"/>
              <w:sz w:val="20"/>
              <w:i/>
              <w:iCs/>
            </w:rPr>
            <w:t>, i. k. 1072330ISAK003D-162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2021-10-19:</w:t>
          </w:r>
        </w:p>
        <w:p>
          <w:pPr>
            <w:rPr>
              <w:rFonts w:ascii="Times New Roman" w:hAnsi="Times New Roman"/>
              <w:sz w:val="20"/>
              <w:i/>
            </w:rPr>
          </w:pPr>
          <w:r>
            <w:rPr>
              <w:rFonts w:ascii="Times New Roman" w:hAnsi="Times New Roman"/>
              <w:sz w:val="20"/>
              <w:i/>
            </w:rPr>
            <w:t xml:space="preserve">Nr. </w:t>
          </w:r>
          <w:fldSimple w:instr="HYPERLINK https://www.e-tar.lt/portal/legalAct.html?documentId=3e4f2dc0300c11ec992fe4cdfceb5666">
            <w:r w:rsidRPr="00532B9F">
              <w:rPr>
                <w:rFonts w:ascii="Times New Roman" w:eastAsia="MS Mincho" w:hAnsi="Times New Roman"/>
                <w:sz w:val="20"/>
                <w:i/>
                <w:iCs/>
                <w:color w:val="0000FF" w:themeColor="hyperlink"/>
                <w:u w:val="single"/>
              </w:rPr>
              <w:t>3D-654</w:t>
            </w:r>
          </w:fldSimple>
          <w:r>
            <w:rPr>
              <w:rFonts w:ascii="Times New Roman" w:eastAsia="MS Mincho" w:hAnsi="Times New Roman"/>
              <w:sz w:val="20"/>
              <w:i/>
              <w:iCs/>
            </w:rPr>
            <w:t>,
2021-10-18,
paskelbta TAR 2021-10-18, i. k. 2021-21766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suppressAutoHyphens/>
            <w:overflowPunct w:val="0"/>
            <w:jc w:val="center"/>
            <w:textAlignment w:val="center"/>
            <w:rPr>
              <w:b/>
              <w:color w:val="000000"/>
              <w:szCs w:val="24"/>
            </w:rPr>
          </w:pPr>
          <w:r>
            <w:rPr>
              <w:b/>
              <w:color w:val="000000"/>
              <w:spacing w:val="20"/>
              <w:szCs w:val="24"/>
            </w:rPr>
            <w:t xml:space="preserve">DĖL </w:t>
          </w:r>
          <w:r>
            <w:rPr>
              <w:b/>
              <w:color w:val="000000"/>
              <w:szCs w:val="24"/>
            </w:rPr>
            <w:t xml:space="preserve">VALSTYBĖS PAGALBOS TEIKIMO UŽ ŠALUTINIŲ GYVŪNINIŲ PRODUKTŲ, NESKIRTŲ VARTOTI ŽMONĖMS, ŠALINIMĄ IR NAIKINIMĄ TAISYKLIŲ PATVIRTINIMO </w:t>
          </w:r>
        </w:p>
        <w:p>
          <w:pPr>
            <w:suppressAutoHyphens/>
            <w:overflowPunct w:val="0"/>
            <w:jc w:val="center"/>
            <w:textAlignment w:val="center"/>
            <w:rPr>
              <w:b/>
              <w:color w:val="000000"/>
              <w:szCs w:val="24"/>
            </w:rPr>
          </w:pPr>
        </w:p>
        <w:p>
          <w:pPr>
            <w:suppressAutoHyphens/>
            <w:overflowPunct w:val="0"/>
            <w:jc w:val="center"/>
            <w:textAlignment w:val="center"/>
            <w:rPr>
              <w:b/>
              <w:color w:val="000000"/>
              <w:szCs w:val="24"/>
            </w:rPr>
          </w:pPr>
          <w:r>
            <w:rPr>
              <w:color w:val="000000"/>
            </w:rPr>
            <w:t>2007 m. balandžio 13 d. Nr. 3D-162</w:t>
          </w:r>
        </w:p>
        <w:p>
          <w:pPr>
            <w:suppressAutoHyphens/>
            <w:overflowPunct w:val="0"/>
            <w:jc w:val="center"/>
            <w:textAlignment w:val="center"/>
            <w:rPr>
              <w:b/>
              <w:color w:val="000000"/>
              <w:szCs w:val="24"/>
            </w:rPr>
          </w:pPr>
          <w:r>
            <w:rPr>
              <w:color w:val="000000"/>
            </w:rPr>
            <w:t>Vilnius</w:t>
          </w:r>
        </w:p>
        <w:p>
          <w:pPr>
            <w:overflowPunct w:val="0"/>
            <w:jc w:val="center"/>
            <w:textAlignment w:val="baseline"/>
            <w:rPr>
              <w:szCs w:val="24"/>
            </w:rPr>
          </w:pPr>
        </w:p>
        <w:p>
          <w:pPr>
            <w:overflowPunct w:val="0"/>
            <w:jc w:val="center"/>
            <w:textAlignment w:val="baseline"/>
            <w:rPr>
              <w:szCs w:val="24"/>
            </w:rPr>
          </w:pPr>
        </w:p>
        <w:sdt>
          <w:sdtPr>
            <w:alias w:val="preambule"/>
            <w:tag w:val="part_15b8185010694464a9bb170b6b87f8cc"/>
            <w:lock w:val="sdtLocked"/>
            <w:richText/>
          </w:sdtPr>
          <w:sdtContent>
            <w:p>
              <w:pPr>
                <w:overflowPunct w:val="0"/>
                <w:spacing w:line="360" w:lineRule="auto"/>
                <w:ind w:firstLine="567"/>
                <w:jc w:val="both"/>
                <w:textAlignment w:val="baseline"/>
                <w:rPr>
                  <w:color w:val="000000"/>
                  <w:szCs w:val="24"/>
                </w:rPr>
              </w:pPr>
              <w:r>
                <w:rPr>
                  <w:color w:val="000000"/>
                </w:rPr>
                <w:t xml:space="preserve">Vadovaudamasis Lietuvos Respublikos žemės ūkio, maisto ūkio ir kaimo plėtros įstatymo  7 straipsnio 2 dalies 6 punktu ir 8 straipsnio 4 dalimi bei įgyvendindamas 2005 m. birželio 21 d. Tarybos reglamentą (EB) Nr. 1290/2005 dėl bendrosios žemės ūkio politikos finansavimo, su visais pakeitimais,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w:t>
              </w:r>
            </w:p>
          </w:sdtContent>
        </w:sdt>
        <w:sdt>
          <w:sdtPr>
            <w:alias w:val="pastraipa"/>
            <w:tag w:val="part_c43e73c5094449d49beae9c800a03a15"/>
            <w:lock w:val="sdtLocked"/>
            <w:richText/>
          </w:sdtPr>
          <w:sdtContent>
            <w:p>
              <w:pPr>
                <w:overflowPunct w:val="0"/>
                <w:spacing w:line="360" w:lineRule="auto"/>
                <w:ind w:firstLine="567"/>
                <w:jc w:val="both"/>
                <w:textAlignment w:val="baseline"/>
              </w:pPr>
              <w:r>
                <w:rPr>
                  <w:color w:val="000000"/>
                  <w:szCs w:val="24"/>
                </w:rPr>
                <w:t xml:space="preserve">t v i r t i n u Valstybės pagalbos teikimo už šalutinių gyvūninių produktų, neskirtų vartoti žmonėms, šalinimą ir naikinimą taisykles (pridedama). </w:t>
              </w:r>
            </w:p>
          </w:sdtContent>
        </w:sdt>
        <w:sdt>
          <w:sdtPr>
            <w:alias w:val="signatura"/>
            <w:tag w:val="part_5e4973839b2c47d9b94c37c9b4d833db"/>
            <w:lock w:val="sdtLocked"/>
            <w:richText/>
          </w:sdtPr>
          <w:sdtContent>
            <w:p>
              <w:pPr>
                <w:tabs>
                  <w:tab w:val="right" w:pos="9639"/>
                </w:tabs>
              </w:pPr>
            </w:p>
            <w:p>
              <w:pPr>
                <w:tabs>
                  <w:tab w:val="right" w:pos="9639"/>
                </w:tabs>
              </w:pPr>
            </w:p>
            <w:p>
              <w:pPr>
                <w:tabs>
                  <w:tab w:val="right" w:pos="9639"/>
                </w:tabs>
              </w:pPr>
            </w:p>
            <w:p>
              <w:pPr>
                <w:tabs>
                  <w:tab w:val="right" w:pos="9072"/>
                </w:tabs>
              </w:pPr>
              <w:r>
                <w:t>ŽEMĖS ŪKIO MINISTRĖ</w:t>
                <w:tab/>
                <w:t>KAZIMIRA DANUTĖ PRUNSKIENĖ</w:t>
              </w:r>
            </w:p>
            <w:p>
              <w:pPr>
                <w:ind w:firstLine="709"/>
                <w:jc w:val="both"/>
              </w:pPr>
            </w:p>
            <w:p>
              <w:pPr>
                <w:ind w:firstLine="709"/>
                <w:jc w:val="both"/>
              </w:pPr>
            </w:p>
            <w:tbl>
              <w:tblPr>
                <w:tblStyle w:val="Lentelstinklelis"/>
                <w:tblW w:w="95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3097"/>
                <w:gridCol w:w="3097"/>
              </w:tblGrid>
              <w:tr>
                <w:tc>
                  <w:tcPr>
                    <w:tcW w:w="3369" w:type="dxa"/>
                  </w:tcPr>
                  <w:p>
                    <w:pPr>
                      <w:jc w:val="both"/>
                      <w:rPr>
                        <w:szCs w:val="24"/>
                      </w:rPr>
                    </w:pPr>
                    <w:r>
                      <w:rPr>
                        <w:szCs w:val="24"/>
                      </w:rPr>
                      <w:t>SUDERINTA</w:t>
                    </w:r>
                  </w:p>
                  <w:p>
                    <w:pPr>
                      <w:jc w:val="both"/>
                      <w:rPr>
                        <w:szCs w:val="24"/>
                      </w:rPr>
                    </w:pPr>
                    <w:r>
                      <w:rPr>
                        <w:szCs w:val="24"/>
                      </w:rPr>
                      <w:t>Lietuvos Respublikos</w:t>
                    </w:r>
                  </w:p>
                  <w:p>
                    <w:pPr>
                      <w:jc w:val="both"/>
                      <w:rPr>
                        <w:szCs w:val="24"/>
                      </w:rPr>
                    </w:pPr>
                    <w:r>
                      <w:rPr>
                        <w:szCs w:val="24"/>
                      </w:rPr>
                      <w:t>finansų ministerijos</w:t>
                    </w:r>
                  </w:p>
                  <w:p>
                    <w:pPr>
                      <w:jc w:val="both"/>
                      <w:rPr>
                        <w:szCs w:val="24"/>
                      </w:rPr>
                    </w:pPr>
                    <w:r>
                      <w:rPr>
                        <w:szCs w:val="24"/>
                      </w:rPr>
                      <w:t>2007 m. kovo 28 d. raštu</w:t>
                    </w:r>
                  </w:p>
                  <w:p>
                    <w:pPr>
                      <w:jc w:val="both"/>
                    </w:pPr>
                    <w:r>
                      <w:rPr>
                        <w:szCs w:val="24"/>
                      </w:rPr>
                      <w:t>Nr. ((1.16-0203)-5K-0709608))</w:t>
                    </w:r>
                  </w:p>
                </w:tc>
                <w:tc>
                  <w:tcPr>
                    <w:tcW w:w="3097" w:type="dxa"/>
                  </w:tcPr>
                  <w:p>
                    <w:pPr>
                      <w:jc w:val="both"/>
                      <w:rPr>
                        <w:szCs w:val="24"/>
                      </w:rPr>
                    </w:pPr>
                    <w:r>
                      <w:rPr>
                        <w:szCs w:val="24"/>
                      </w:rPr>
                      <w:t>SUDERINTA</w:t>
                    </w:r>
                  </w:p>
                  <w:p>
                    <w:pPr>
                      <w:jc w:val="both"/>
                      <w:rPr>
                        <w:szCs w:val="24"/>
                      </w:rPr>
                    </w:pPr>
                    <w:r>
                      <w:rPr>
                        <w:szCs w:val="24"/>
                      </w:rPr>
                      <w:t>Valstybinės maisto ir</w:t>
                    </w:r>
                  </w:p>
                  <w:p>
                    <w:pPr>
                      <w:jc w:val="both"/>
                      <w:rPr>
                        <w:szCs w:val="24"/>
                      </w:rPr>
                    </w:pPr>
                    <w:r>
                      <w:rPr>
                        <w:szCs w:val="24"/>
                      </w:rPr>
                      <w:t>veterinarijos tarnybos</w:t>
                    </w:r>
                  </w:p>
                  <w:p>
                    <w:pPr>
                      <w:jc w:val="both"/>
                      <w:rPr>
                        <w:szCs w:val="24"/>
                      </w:rPr>
                    </w:pPr>
                    <w:r>
                      <w:rPr>
                        <w:szCs w:val="24"/>
                      </w:rPr>
                      <w:t>2007 m. balandžio 13 d. raštu</w:t>
                    </w:r>
                  </w:p>
                  <w:p>
                    <w:pPr>
                      <w:jc w:val="both"/>
                    </w:pPr>
                    <w:r>
                      <w:rPr>
                        <w:szCs w:val="24"/>
                      </w:rPr>
                      <w:t>Nr. B6-(1.19)-534</w:t>
                    </w:r>
                  </w:p>
                </w:tc>
                <w:tc>
                  <w:tcPr>
                    <w:tcW w:w="3097" w:type="dxa"/>
                  </w:tcPr>
                  <w:p>
                    <w:pPr>
                      <w:jc w:val="both"/>
                      <w:rPr>
                        <w:szCs w:val="24"/>
                      </w:rPr>
                    </w:pPr>
                    <w:r>
                      <w:rPr>
                        <w:szCs w:val="24"/>
                      </w:rPr>
                      <w:t>SUDERINTA</w:t>
                    </w:r>
                  </w:p>
                  <w:p>
                    <w:pPr>
                      <w:jc w:val="both"/>
                      <w:rPr>
                        <w:szCs w:val="24"/>
                      </w:rPr>
                    </w:pPr>
                    <w:r>
                      <w:rPr>
                        <w:szCs w:val="24"/>
                      </w:rPr>
                      <w:t>Lietuvos Respublikos</w:t>
                    </w:r>
                  </w:p>
                  <w:p>
                    <w:pPr>
                      <w:jc w:val="both"/>
                      <w:rPr>
                        <w:szCs w:val="24"/>
                      </w:rPr>
                    </w:pPr>
                    <w:r>
                      <w:rPr>
                        <w:szCs w:val="24"/>
                      </w:rPr>
                      <w:t>konkurencijos tarybos</w:t>
                    </w:r>
                  </w:p>
                  <w:p>
                    <w:pPr>
                      <w:jc w:val="both"/>
                      <w:rPr>
                        <w:szCs w:val="24"/>
                      </w:rPr>
                    </w:pPr>
                    <w:r>
                      <w:rPr>
                        <w:szCs w:val="24"/>
                      </w:rPr>
                      <w:t>2007 m. kovo 28 d. raštu</w:t>
                    </w:r>
                  </w:p>
                  <w:p>
                    <w:pPr>
                      <w:jc w:val="both"/>
                    </w:pPr>
                    <w:r>
                      <w:rPr>
                        <w:szCs w:val="24"/>
                      </w:rPr>
                      <w:t>Nr. (9.8-10)-6V-285</w:t>
                    </w:r>
                  </w:p>
                </w:tc>
              </w:tr>
            </w:tbl>
            <w:p>
              <w:pPr>
                <w:tabs>
                  <w:tab w:val="left" w:pos="3933"/>
                  <w:tab w:val="left" w:pos="7068"/>
                </w:tabs>
                <w:rPr>
                  <w:szCs w:val="24"/>
                </w:rPr>
              </w:pPr>
            </w:p>
          </w:sdtContent>
        </w:sdt>
        <w:p/>
      </w:sdtContent>
    </w:sdt>
    <w:sdt>
      <w:sdtPr>
        <w:alias w:val="patvirtinta"/>
        <w:tag w:val="part_d230416f722644ad8e4764dd51501441"/>
        <w:lock w:val="sdtLocked"/>
        <w:richText/>
      </w:sdtPr>
      <w:sdtContent>
        <w:p>
          <w:pPr>
            <w:widowControl w:val="0"/>
            <w:suppressAutoHyphens/>
            <w:ind w:left="4535"/>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851" w:bottom="1134" w:left="1701" w:header="709" w:footer="567" w:gutter="0"/>
              <w:pgNumType w:start="1"/>
              <w:cols w:space="1296"/>
              <w:titlePg/>
              <w:docGrid w:linePitch="326"/>
            </w:sectPr>
          </w:pPr>
        </w:p>
        <w:p>
          <w:pPr>
            <w:widowControl w:val="0"/>
            <w:suppressAutoHyphens/>
            <w:ind w:left="4535"/>
          </w:pPr>
          <w:r>
            <w:t>PATVIRTINTA</w:t>
          </w:r>
        </w:p>
        <w:p>
          <w:pPr>
            <w:widowControl w:val="0"/>
            <w:suppressAutoHyphens/>
            <w:ind w:left="4535"/>
          </w:pPr>
          <w:r>
            <w:t xml:space="preserve">Lietuvos Respublikos žemės ūkio ministro </w:t>
          </w:r>
        </w:p>
        <w:p>
          <w:pPr>
            <w:widowControl w:val="0"/>
            <w:suppressAutoHyphens/>
            <w:ind w:left="4535"/>
          </w:pPr>
          <w:r>
            <w:t>2007 m. balandžio 13 d. įsakymu Nr. 3D-162</w:t>
          </w:r>
        </w:p>
        <w:p>
          <w:pPr>
            <w:widowControl w:val="0"/>
            <w:suppressAutoHyphens/>
            <w:ind w:left="4535"/>
          </w:pPr>
          <w:r>
            <w:t xml:space="preserve">(Lietuvos Respublikos žemės ūkio ministro </w:t>
          </w:r>
        </w:p>
        <w:p>
          <w:pPr>
            <w:widowControl w:val="0"/>
            <w:suppressAutoHyphens/>
            <w:ind w:left="4535"/>
            <w:rPr>
              <w:szCs w:val="24"/>
              <w:lang w:eastAsia="lt-LT"/>
            </w:rPr>
          </w:pPr>
          <w:r>
            <w:t xml:space="preserve">2024 m. gegužės 28 d. įsakymo Nr. </w:t>
          </w:r>
          <w:r>
            <w:rPr>
              <w:szCs w:val="24"/>
              <w:lang w:eastAsia="lt-LT"/>
            </w:rPr>
            <w:t>3D-428</w:t>
          </w:r>
        </w:p>
        <w:p>
          <w:pPr>
            <w:widowControl w:val="0"/>
            <w:suppressAutoHyphens/>
            <w:ind w:left="4535"/>
          </w:pPr>
          <w:r>
            <w:t>redakcija)</w:t>
          </w:r>
        </w:p>
        <w:p>
          <w:pPr>
            <w:widowControl w:val="0"/>
            <w:suppressAutoHyphens/>
            <w:jc w:val="both"/>
          </w:pPr>
        </w:p>
        <w:p>
          <w:pPr>
            <w:widowControl w:val="0"/>
            <w:suppressAutoHyphens/>
            <w:jc w:val="center"/>
            <w:rPr>
              <w:b/>
              <w:bCs/>
              <w:caps/>
            </w:rPr>
          </w:pPr>
        </w:p>
        <w:p>
          <w:pPr>
            <w:widowControl w:val="0"/>
            <w:suppressAutoHyphens/>
            <w:jc w:val="center"/>
            <w:rPr>
              <w:b/>
              <w:bCs/>
              <w:caps/>
            </w:rPr>
          </w:pPr>
          <w:r>
            <w:rPr>
              <w:b/>
              <w:bCs/>
              <w:caps/>
            </w:rPr>
            <w:t>VALSTYBĖS PAGALBOS TEIKIMO UŽ ŠALUTINIŲ GYVŪNINIŲ PRODUKTŲ, NESKIRTŲ VARTOTI ŽMONĖMS, ŠALINIMĄ IR NAIKINIMĄ TAISYKLĖS</w:t>
          </w:r>
        </w:p>
        <w:p>
          <w:pPr>
            <w:widowControl w:val="0"/>
            <w:suppressAutoHyphens/>
            <w:jc w:val="center"/>
          </w:pPr>
        </w:p>
        <w:p>
          <w:pPr>
            <w:widowControl w:val="0"/>
            <w:suppressAutoHyphens/>
            <w:jc w:val="center"/>
            <w:rPr>
              <w:b/>
            </w:rPr>
          </w:pPr>
        </w:p>
        <w:sdt>
          <w:sdtPr>
            <w:alias w:val="skyrius"/>
            <w:tag w:val="part_0cd0856672c14f338170b24a406c308f"/>
            <w:lock w:val="sdtLocked"/>
            <w:richText/>
          </w:sdtPr>
          <w:sdtContent>
            <w:p>
              <w:pPr>
                <w:widowControl w:val="0"/>
                <w:suppressAutoHyphens/>
                <w:jc w:val="center"/>
                <w:rPr>
                  <w:b/>
                </w:rPr>
              </w:pPr>
              <w:sdt>
                <w:sdtPr>
                  <w:alias w:val="Numeris"/>
                  <w:tag w:val="nr_0cd0856672c14f338170b24a406c308f"/>
                  <w:lock w:val="sdtLocked"/>
                  <w:richText/>
                </w:sdtPr>
                <w:sdtContent>
                  <w:r>
                    <w:rPr>
                      <w:b/>
                    </w:rPr>
                    <w:t>I</w:t>
                  </w:r>
                </w:sdtContent>
              </w:sdt>
              <w:r>
                <w:rPr>
                  <w:b/>
                </w:rPr>
                <w:t xml:space="preserve"> SKYRIUS</w:t>
              </w:r>
            </w:p>
            <w:p>
              <w:pPr>
                <w:widowControl w:val="0"/>
                <w:suppressAutoHyphens/>
                <w:jc w:val="center"/>
                <w:rPr>
                  <w:b/>
                  <w:bCs/>
                  <w:caps/>
                </w:rPr>
              </w:pPr>
              <w:sdt>
                <w:sdtPr>
                  <w:alias w:val="Pavadinimas"/>
                  <w:tag w:val="title_0cd0856672c14f338170b24a406c308f"/>
                  <w:lock w:val="sdtLocked"/>
                  <w:richText/>
                </w:sdtPr>
                <w:sdtContent>
                  <w:r>
                    <w:rPr>
                      <w:b/>
                      <w:bCs/>
                      <w:caps/>
                    </w:rPr>
                    <w:t>BENDROSIOS NUOSTATOS</w:t>
                  </w:r>
                </w:sdtContent>
              </w:sdt>
            </w:p>
            <w:p>
              <w:pPr>
                <w:widowControl w:val="0"/>
                <w:suppressAutoHyphens/>
                <w:jc w:val="both"/>
              </w:pPr>
            </w:p>
            <w:sdt>
              <w:sdtPr>
                <w:alias w:val="1 p."/>
                <w:tag w:val="part_b31e17804a184c4fa6d862cb8f6525fa"/>
                <w:lock w:val="sdtLocked"/>
                <w:richText/>
              </w:sdtPr>
              <w:sdtContent>
                <w:p>
                  <w:pPr>
                    <w:overflowPunct w:val="0"/>
                    <w:spacing w:line="360" w:lineRule="auto"/>
                    <w:ind w:firstLine="567"/>
                    <w:jc w:val="both"/>
                    <w:textAlignment w:val="baseline"/>
                    <w:rPr>
                      <w:rFonts w:eastAsia="MS Mincho"/>
                      <w:i/>
                      <w:iCs/>
                      <w:sz w:val="20"/>
                    </w:rPr>
                  </w:pPr>
                  <w:sdt>
                    <w:sdtPr>
                      <w:alias w:val="Numeris"/>
                      <w:tag w:val="nr_b31e17804a184c4fa6d862cb8f6525fa"/>
                      <w:lock w:val="sdtLocked"/>
                      <w:richText/>
                    </w:sdtPr>
                    <w:sdtContent>
                      <w:r>
                        <w:rPr>
                          <w:szCs w:val="24"/>
                          <w:lang w:val="en-GB"/>
                        </w:rPr>
                        <w:t>1</w:t>
                      </w:r>
                    </w:sdtContent>
                  </w:sdt>
                  <w:r>
                    <w:rPr>
                      <w:szCs w:val="24"/>
                      <w:lang w:val="en-GB"/>
                    </w:rPr>
                    <w:t xml:space="preserve">. Valstybės pagalbos teikimo už šalutinių gyvūninių produktų, neskirtų vartoti žmonėms, šalinimą ir naikinimą taisyklės (toliau – taisyklės) parengtos įgyvendinant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 (toliau – ŠGP reglamentas), 2001 m. gegužės 22 d. Europos Parlamento ir Tarybos reglamentą (EB) 999/2001, nustatantį tam tikrų užkrečiamųjų spongiforminių encefalopatijų prevencijos, kontrolės ir likvidavimo taisykles, su visais pakeitimais, vadovaujantis </w:t>
                  </w:r>
                  <w:r>
                    <w:rPr>
                      <w:szCs w:val="24"/>
                      <w:lang w:val="en-US"/>
                    </w:rPr>
                    <w:t xml:space="preserve">2022 m. gruodžio 14 d. </w:t>
                  </w:r>
                  <w:r>
                    <w:rPr>
                      <w:szCs w:val="24"/>
                      <w:lang w:val="en-GB"/>
                    </w:rPr>
                    <w:t>Europos Komisijos reglamento (ES) Nr. 2022/2472, kuriuo skelbiama, kad tam tikrų kategorijų pagalba žemės bei miškų ūkio sektoriuose ir kaimo vietovėse yra suderinama su vidaus rinka pagal Sutarties dėl Europos Sąjungos veikimo 107 ir 108 straipsnius (toliau – Reglamentas (ES) Nr. 2022/2472), III skyriaus 27 straipsnio ir I skyriaus nuostatomis</w:t>
                  </w:r>
                  <w:r>
                    <w:rPr>
                      <w:b/>
                      <w:bCs/>
                      <w:szCs w:val="24"/>
                      <w:lang w:val="en-GB"/>
                    </w:rPr>
                    <w:t xml:space="preserve"> </w:t>
                  </w:r>
                  <w:r>
                    <w:rPr>
                      <w:szCs w:val="24"/>
                      <w:lang w:val="en-GB"/>
                    </w:rPr>
                    <w:t xml:space="preserve">ir atsižvelgiant į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w:t>
                  </w:r>
                </w:p>
              </w:sdtContent>
            </w:sdt>
            <w:sdt>
              <w:sdtPr>
                <w:alias w:val="2 p."/>
                <w:tag w:val="part_4f760f207dad46be9c6446f91257f4dc"/>
                <w:lock w:val="sdtLocked"/>
                <w:richText/>
              </w:sdtPr>
              <w:sdtContent>
                <w:p>
                  <w:pPr>
                    <w:widowControl w:val="0"/>
                    <w:suppressAutoHyphens/>
                    <w:spacing w:line="360" w:lineRule="auto"/>
                    <w:ind w:firstLine="567"/>
                    <w:jc w:val="both"/>
                  </w:pPr>
                  <w:sdt>
                    <w:sdtPr>
                      <w:alias w:val="Numeris"/>
                      <w:tag w:val="nr_4f760f207dad46be9c6446f91257f4dc"/>
                      <w:lock w:val="sdtLocked"/>
                      <w:richText/>
                    </w:sdtPr>
                    <w:sdtContent>
                      <w:r>
                        <w:t>2</w:t>
                      </w:r>
                    </w:sdtContent>
                  </w:sdt>
                  <w:r>
                    <w:t>. Šios taisyklės nustato valstybės pagalbos už 1 ir 2 kategorijų šalutinių gyvūninių produktų, nurodytų taisyklių 1 priede, neskirtų vartoti žmonėms, šalinimą ir naikinimą (toliau – pagalba) skyrimo iš valstybės biudžeto lėšų sąlygas ir tvarką.</w:t>
                  </w:r>
                </w:p>
              </w:sdtContent>
            </w:sdt>
            <w:sdt>
              <w:sdtPr>
                <w:alias w:val="3 p."/>
                <w:tag w:val="part_66d94ca26f5e4677851b063adae69b09"/>
                <w:lock w:val="sdtLocked"/>
                <w:richText/>
              </w:sdtPr>
              <w:sdtContent>
                <w:p>
                  <w:pPr>
                    <w:overflowPunct w:val="0"/>
                    <w:spacing w:line="360" w:lineRule="auto"/>
                    <w:ind w:firstLine="567"/>
                    <w:jc w:val="both"/>
                    <w:textAlignment w:val="center"/>
                    <w:rPr>
                      <w:szCs w:val="24"/>
                      <w:lang w:eastAsia="lt-LT"/>
                    </w:rPr>
                  </w:pPr>
                  <w:sdt>
                    <w:sdtPr>
                      <w:alias w:val="Numeris"/>
                      <w:tag w:val="nr_66d94ca26f5e4677851b063adae69b09"/>
                      <w:lock w:val="sdtLocked"/>
                      <w:richText/>
                    </w:sdtPr>
                    <w:sdtContent>
                      <w:r>
                        <w:rPr>
                          <w:szCs w:val="24"/>
                          <w:lang w:eastAsia="lt-LT"/>
                        </w:rPr>
                        <w:t>3</w:t>
                      </w:r>
                    </w:sdtContent>
                  </w:sdt>
                  <w:r>
                    <w:rPr>
                      <w:szCs w:val="24"/>
                      <w:lang w:eastAsia="lt-LT"/>
                    </w:rPr>
                    <w:t>. Šiose taisyklėse vartojamos sąvokos:</w:t>
                  </w:r>
                </w:p>
                <w:sdt>
                  <w:sdtPr>
                    <w:alias w:val="3.1 pp."/>
                    <w:tag w:val="part_0dcf0b05a48f4448b5fe8b39fcc87696"/>
                    <w:lock w:val="sdtLocked"/>
                    <w:richText/>
                  </w:sdtPr>
                  <w:sdtContent>
                    <w:p>
                      <w:pPr>
                        <w:spacing w:line="360" w:lineRule="auto"/>
                        <w:ind w:firstLine="567"/>
                        <w:jc w:val="both"/>
                        <w:textAlignment w:val="center"/>
                        <w:rPr>
                          <w:szCs w:val="24"/>
                          <w:lang w:val="en-GB"/>
                        </w:rPr>
                      </w:pPr>
                      <w:sdt>
                        <w:sdtPr>
                          <w:alias w:val="Numeris"/>
                          <w:tag w:val="nr_0dcf0b05a48f4448b5fe8b39fcc87696"/>
                          <w:lock w:val="sdtLocked"/>
                          <w:richText/>
                        </w:sdtPr>
                        <w:sdtContent>
                          <w:r>
                            <w:rPr>
                              <w:szCs w:val="24"/>
                              <w:lang w:val="en-GB"/>
                            </w:rPr>
                            <w:t>3.1</w:t>
                          </w:r>
                        </w:sdtContent>
                      </w:sdt>
                      <w:r>
                        <w:rPr>
                          <w:szCs w:val="24"/>
                          <w:lang w:val="en-GB"/>
                        </w:rPr>
                        <w:t>.</w:t>
                      </w:r>
                      <w:r>
                        <w:rPr>
                          <w:b/>
                          <w:bCs/>
                          <w:szCs w:val="24"/>
                          <w:lang w:val="en-GB"/>
                        </w:rPr>
                        <w:t xml:space="preserve"> ataskaitinis mėnuo </w:t>
                      </w:r>
                      <w:r>
                        <w:rPr>
                          <w:szCs w:val="24"/>
                          <w:lang w:val="en-GB"/>
                        </w:rPr>
                        <w:t>–</w:t>
                      </w:r>
                      <w:r>
                        <w:rPr>
                          <w:b/>
                          <w:bCs/>
                          <w:szCs w:val="24"/>
                          <w:lang w:val="en-GB"/>
                        </w:rPr>
                        <w:t xml:space="preserve"> </w:t>
                      </w:r>
                      <w:r>
                        <w:rPr>
                          <w:szCs w:val="24"/>
                          <w:lang w:val="en-GB"/>
                        </w:rPr>
                        <w:t>praėjęs mėnuo, už kurį atsiskaito ŠGP tvarkytojas taisyklių 16 punkte nustatyta tvarka;</w:t>
                      </w:r>
                    </w:p>
                  </w:sdtContent>
                </w:sdt>
                <w:sdt>
                  <w:sdtPr>
                    <w:alias w:val="3.2 pp."/>
                    <w:tag w:val="part_3f56380f81ad4501a6b1393968f02108"/>
                    <w:lock w:val="sdtLocked"/>
                    <w:richText/>
                  </w:sdtPr>
                  <w:sdtContent>
                    <w:p>
                      <w:pPr>
                        <w:spacing w:line="360" w:lineRule="auto"/>
                        <w:ind w:firstLine="567"/>
                        <w:jc w:val="both"/>
                        <w:textAlignment w:val="center"/>
                        <w:rPr>
                          <w:szCs w:val="24"/>
                          <w:lang w:eastAsia="lt-LT"/>
                        </w:rPr>
                      </w:pPr>
                      <w:sdt>
                        <w:sdtPr>
                          <w:alias w:val="Numeris"/>
                          <w:tag w:val="nr_3f56380f81ad4501a6b1393968f02108"/>
                          <w:lock w:val="sdtLocked"/>
                          <w:richText/>
                        </w:sdtPr>
                        <w:sdtContent>
                          <w:r>
                            <w:rPr>
                              <w:szCs w:val="24"/>
                              <w:lang w:eastAsia="lt-LT"/>
                            </w:rPr>
                            <w:t>3.2</w:t>
                          </w:r>
                        </w:sdtContent>
                      </w:sdt>
                      <w:r>
                        <w:rPr>
                          <w:szCs w:val="24"/>
                          <w:lang w:eastAsia="lt-LT"/>
                        </w:rPr>
                        <w:t xml:space="preserve">. </w:t>
                      </w:r>
                      <w:r>
                        <w:rPr>
                          <w:b/>
                          <w:bCs/>
                          <w:szCs w:val="24"/>
                          <w:lang w:eastAsia="lt-LT"/>
                        </w:rPr>
                        <w:t xml:space="preserve">šalutiniai gyvūniniai produktai </w:t>
                      </w:r>
                      <w:r>
                        <w:rPr>
                          <w:szCs w:val="24"/>
                          <w:lang w:eastAsia="lt-LT"/>
                        </w:rPr>
                        <w:t>(toliau –</w:t>
                      </w:r>
                      <w:r>
                        <w:rPr>
                          <w:b/>
                          <w:bCs/>
                          <w:szCs w:val="24"/>
                          <w:lang w:eastAsia="lt-LT"/>
                        </w:rPr>
                        <w:t xml:space="preserve"> </w:t>
                      </w:r>
                      <w:r>
                        <w:rPr>
                          <w:szCs w:val="24"/>
                          <w:lang w:eastAsia="lt-LT"/>
                        </w:rPr>
                        <w:t>ŠGP) –</w:t>
                      </w:r>
                      <w:r>
                        <w:rPr>
                          <w:b/>
                          <w:bCs/>
                          <w:szCs w:val="24"/>
                          <w:lang w:eastAsia="lt-LT"/>
                        </w:rPr>
                        <w:t xml:space="preserve"> </w:t>
                      </w:r>
                      <w:r>
                        <w:rPr>
                          <w:szCs w:val="24"/>
                          <w:lang w:eastAsia="lt-LT"/>
                        </w:rPr>
                        <w:t>nužudyti ar nugaišę gyvūnai arba jų kūno dalys, maistui skirti, bet pagal paskirtį nenaudojami gyvūniniai produktai, taip pat kiaušialąstės, embrionai ir sperma;</w:t>
                      </w:r>
                    </w:p>
                  </w:sdtContent>
                </w:sdt>
                <w:sdt>
                  <w:sdtPr>
                    <w:alias w:val="3.3 pp."/>
                    <w:tag w:val="part_3b7e30c9769d45ebb57704326cad381e"/>
                    <w:lock w:val="sdtLocked"/>
                    <w:richText/>
                  </w:sdtPr>
                  <w:sdtContent>
                    <w:p>
                      <w:pPr>
                        <w:spacing w:line="360" w:lineRule="auto"/>
                        <w:ind w:firstLine="567"/>
                        <w:jc w:val="both"/>
                        <w:textAlignment w:val="center"/>
                        <w:rPr>
                          <w:szCs w:val="24"/>
                          <w:lang w:eastAsia="lt-LT"/>
                        </w:rPr>
                      </w:pPr>
                      <w:sdt>
                        <w:sdtPr>
                          <w:alias w:val="Numeris"/>
                          <w:tag w:val="nr_3b7e30c9769d45ebb57704326cad381e"/>
                          <w:lock w:val="sdtLocked"/>
                          <w:richText/>
                        </w:sdtPr>
                        <w:sdtContent>
                          <w:r>
                            <w:rPr>
                              <w:szCs w:val="24"/>
                              <w:lang w:eastAsia="lt-LT"/>
                            </w:rPr>
                            <w:t>3.3</w:t>
                          </w:r>
                        </w:sdtContent>
                      </w:sdt>
                      <w:r>
                        <w:rPr>
                          <w:szCs w:val="24"/>
                          <w:lang w:eastAsia="lt-LT"/>
                        </w:rPr>
                        <w:t>.</w:t>
                      </w:r>
                      <w:r>
                        <w:rPr>
                          <w:b/>
                          <w:bCs/>
                          <w:szCs w:val="24"/>
                          <w:lang w:eastAsia="lt-LT"/>
                        </w:rPr>
                        <w:t xml:space="preserve"> šalutinių gyvūninių produktų turėtojas </w:t>
                      </w:r>
                      <w:r>
                        <w:rPr>
                          <w:szCs w:val="24"/>
                          <w:lang w:eastAsia="lt-LT"/>
                        </w:rPr>
                        <w:t>(toliau – ŠGP turėtojas)</w:t>
                      </w:r>
                      <w:r>
                        <w:rPr>
                          <w:b/>
                          <w:bCs/>
                          <w:szCs w:val="24"/>
                          <w:lang w:eastAsia="lt-LT"/>
                        </w:rPr>
                        <w:t xml:space="preserve"> </w:t>
                      </w:r>
                      <w:r>
                        <w:rPr>
                          <w:szCs w:val="24"/>
                          <w:lang w:eastAsia="lt-LT"/>
                        </w:rPr>
                        <w:t>–</w:t>
                      </w:r>
                      <w:r>
                        <w:rPr>
                          <w:b/>
                          <w:bCs/>
                          <w:szCs w:val="24"/>
                          <w:lang w:eastAsia="lt-LT"/>
                        </w:rPr>
                        <w:t xml:space="preserve"> </w:t>
                      </w:r>
                      <w:r>
                        <w:rPr>
                          <w:szCs w:val="24"/>
                          <w:lang w:eastAsia="lt-LT"/>
                        </w:rPr>
                        <w:t>pirmine žemės ūkio produktų gamyba besiverčiantis fizinis ar juridinis asmuo, kurio veikloje atsiranda šalutinių gyvūninių produktų; žemės ūkio krypties mokslo ar mokymo įstaiga, turinti nugaišintų bandomųjų gyvūnų; kompetentinga valstybės institucija, atsakinga už nugaišusių gyvūnų, kurių turėtojo nustatyti neįmanoma, ar rastų negyvų laukinių gyvūnų, įtariamų sirgus užkrečiamosiomis pavojingomis žmonėms ar gyvūnams ligomis, šalinimą ir naikinimą;</w:t>
                      </w:r>
                    </w:p>
                  </w:sdtContent>
                </w:sdt>
                <w:sdt>
                  <w:sdtPr>
                    <w:alias w:val="3.4 pp."/>
                    <w:tag w:val="part_ebeb517e5ce64389bc3beabf6b55079c"/>
                    <w:lock w:val="sdtLocked"/>
                    <w:richText/>
                  </w:sdtPr>
                  <w:sdtContent>
                    <w:p>
                      <w:pPr>
                        <w:spacing w:line="360" w:lineRule="auto"/>
                        <w:ind w:firstLine="567"/>
                        <w:jc w:val="both"/>
                        <w:textAlignment w:val="center"/>
                        <w:rPr>
                          <w:szCs w:val="24"/>
                          <w:lang w:eastAsia="lt-LT"/>
                        </w:rPr>
                      </w:pPr>
                      <w:sdt>
                        <w:sdtPr>
                          <w:alias w:val="Numeris"/>
                          <w:tag w:val="nr_ebeb517e5ce64389bc3beabf6b55079c"/>
                          <w:lock w:val="sdtLocked"/>
                          <w:richText/>
                        </w:sdtPr>
                        <w:sdtContent>
                          <w:r>
                            <w:rPr>
                              <w:szCs w:val="24"/>
                              <w:lang w:eastAsia="lt-LT"/>
                            </w:rPr>
                            <w:t>3.4</w:t>
                          </w:r>
                        </w:sdtContent>
                      </w:sdt>
                      <w:r>
                        <w:rPr>
                          <w:szCs w:val="24"/>
                          <w:lang w:eastAsia="lt-LT"/>
                        </w:rPr>
                        <w:t>.</w:t>
                      </w:r>
                      <w:r>
                        <w:rPr>
                          <w:b/>
                          <w:bCs/>
                          <w:szCs w:val="24"/>
                          <w:lang w:eastAsia="lt-LT"/>
                        </w:rPr>
                        <w:t xml:space="preserve"> šalutinių gyvūninių produktų tvarkymo įmonė </w:t>
                      </w:r>
                      <w:r>
                        <w:rPr>
                          <w:szCs w:val="24"/>
                          <w:lang w:eastAsia="lt-LT"/>
                        </w:rPr>
                        <w:t>(toliau – ŠGP tvarkytojas) –</w:t>
                      </w:r>
                      <w:r>
                        <w:rPr>
                          <w:b/>
                          <w:bCs/>
                          <w:szCs w:val="24"/>
                          <w:lang w:eastAsia="lt-LT"/>
                        </w:rPr>
                        <w:t xml:space="preserve"> </w:t>
                      </w:r>
                      <w:r>
                        <w:rPr>
                          <w:szCs w:val="24"/>
                          <w:lang w:eastAsia="lt-LT"/>
                        </w:rPr>
                        <w:t>ŠGP turėtojo 1 ir 2 kategorijų ŠGP pašalinantis (surenkantis ir transportuojantis) ir 2 kategorijos ŠGP sunaikinantis (perdirbantis ir (arba) sudeginantis) bei 1 kategorijos ŠGP sunaikinimą užtikrinantis juridinis asmuo;</w:t>
                      </w:r>
                    </w:p>
                  </w:sdtContent>
                </w:sdt>
                <w:sdt>
                  <w:sdtPr>
                    <w:alias w:val="3.5 pp."/>
                    <w:tag w:val="part_56070885a57e4c21b0889f46035cd0f3"/>
                    <w:lock w:val="sdtLocked"/>
                    <w:richText/>
                  </w:sdtPr>
                  <w:sdtContent>
                    <w:p>
                      <w:pPr>
                        <w:spacing w:line="360" w:lineRule="auto"/>
                        <w:ind w:firstLine="567"/>
                        <w:jc w:val="both"/>
                        <w:textAlignment w:val="baseline"/>
                        <w:rPr>
                          <w:szCs w:val="24"/>
                          <w:lang w:eastAsia="lt-LT"/>
                        </w:rPr>
                      </w:pPr>
                      <w:sdt>
                        <w:sdtPr>
                          <w:alias w:val="Numeris"/>
                          <w:tag w:val="nr_56070885a57e4c21b0889f46035cd0f3"/>
                          <w:lock w:val="sdtLocked"/>
                          <w:richText/>
                        </w:sdtPr>
                        <w:sdtContent>
                          <w:r>
                            <w:rPr>
                              <w:szCs w:val="24"/>
                              <w:lang w:eastAsia="lt-LT"/>
                            </w:rPr>
                            <w:t>3.5</w:t>
                          </w:r>
                        </w:sdtContent>
                      </w:sdt>
                      <w:r>
                        <w:rPr>
                          <w:szCs w:val="24"/>
                          <w:lang w:eastAsia="lt-LT"/>
                        </w:rPr>
                        <w:t>.</w:t>
                      </w:r>
                      <w:r>
                        <w:rPr>
                          <w:b/>
                          <w:bCs/>
                          <w:szCs w:val="24"/>
                          <w:lang w:eastAsia="lt-LT"/>
                        </w:rPr>
                        <w:t xml:space="preserve"> Žemės ūkio ministerijos informacinė sistema</w:t>
                      </w:r>
                      <w:r>
                        <w:rPr>
                          <w:szCs w:val="24"/>
                          <w:lang w:eastAsia="lt-LT"/>
                        </w:rPr>
                        <w:t xml:space="preserve"> (toliau – ŽŪMIS) – prie Lietuvos Respublikos žemės ūkio ministerijos valdymo srities priskirtų institucijų ir įstaigų teikiamų paslaugų informacinė sistema;</w:t>
                      </w:r>
                    </w:p>
                  </w:sdtContent>
                </w:sdt>
                <w:sdt>
                  <w:sdtPr>
                    <w:alias w:val="3.6 pp."/>
                    <w:tag w:val="part_a004fbd4378b4234b381f434fc005685"/>
                    <w:lock w:val="sdtLocked"/>
                    <w:richText/>
                  </w:sdtPr>
                  <w:sdtContent>
                    <w:p>
                      <w:pPr>
                        <w:overflowPunct w:val="0"/>
                        <w:spacing w:line="360" w:lineRule="auto"/>
                        <w:ind w:firstLine="567"/>
                        <w:jc w:val="both"/>
                        <w:textAlignment w:val="baseline"/>
                        <w:rPr>
                          <w:szCs w:val="24"/>
                          <w:lang w:val="en-GB"/>
                        </w:rPr>
                      </w:pPr>
                      <w:sdt>
                        <w:sdtPr>
                          <w:alias w:val="Numeris"/>
                          <w:tag w:val="nr_a004fbd4378b4234b381f434fc005685"/>
                          <w:lock w:val="sdtLocked"/>
                          <w:richText/>
                        </w:sdtPr>
                        <w:sdtContent>
                          <w:r>
                            <w:rPr>
                              <w:szCs w:val="24"/>
                              <w:lang w:val="en-GB"/>
                            </w:rPr>
                            <w:t>3.6</w:t>
                          </w:r>
                        </w:sdtContent>
                      </w:sdt>
                      <w:r>
                        <w:rPr>
                          <w:szCs w:val="24"/>
                          <w:lang w:val="en-GB"/>
                        </w:rPr>
                        <w:t>. kitos šiose taisyklėse vartojamos sąvokos apibrėžtos ŠGP reglamente ir Reglamente (ES) Nr. 2022/2472.</w:t>
                      </w:r>
                    </w:p>
                    <w:p>
                      <w:pPr>
                        <w:overflowPunct w:val="0"/>
                        <w:spacing w:line="360" w:lineRule="auto"/>
                        <w:ind w:firstLine="567"/>
                        <w:jc w:val="both"/>
                        <w:textAlignment w:val="baseline"/>
                        <w:rPr>
                          <w:szCs w:val="24"/>
                        </w:rPr>
                      </w:pPr>
                    </w:p>
                  </w:sdtContent>
                </w:sdt>
              </w:sdtContent>
            </w:sdt>
          </w:sdtContent>
        </w:sdt>
        <w:sdt>
          <w:sdtPr>
            <w:alias w:val="skyrius"/>
            <w:tag w:val="part_b55d7075b41740daa8d5777b05bd8244"/>
            <w:lock w:val="sdtLocked"/>
            <w:richText/>
          </w:sdtPr>
          <w:sdtContent>
            <w:p>
              <w:pPr>
                <w:widowControl w:val="0"/>
                <w:suppressAutoHyphens/>
                <w:jc w:val="center"/>
                <w:rPr>
                  <w:rFonts w:eastAsia="MS Mincho"/>
                  <w:b/>
                  <w:iCs/>
                  <w:szCs w:val="24"/>
                </w:rPr>
              </w:pPr>
              <w:sdt>
                <w:sdtPr>
                  <w:alias w:val="Numeris"/>
                  <w:tag w:val="nr_b55d7075b41740daa8d5777b05bd8244"/>
                  <w:lock w:val="sdtLocked"/>
                  <w:richText/>
                </w:sdtPr>
                <w:sdtContent>
                  <w:r>
                    <w:rPr>
                      <w:rFonts w:eastAsia="MS Mincho"/>
                      <w:b/>
                      <w:iCs/>
                      <w:szCs w:val="24"/>
                    </w:rPr>
                    <w:t>II</w:t>
                  </w:r>
                </w:sdtContent>
              </w:sdt>
              <w:r>
                <w:rPr>
                  <w:rFonts w:eastAsia="MS Mincho"/>
                  <w:b/>
                  <w:iCs/>
                  <w:szCs w:val="24"/>
                </w:rPr>
                <w:t xml:space="preserve"> SKYRIUS</w:t>
              </w:r>
            </w:p>
            <w:p>
              <w:pPr>
                <w:widowControl w:val="0"/>
                <w:suppressAutoHyphens/>
                <w:jc w:val="center"/>
                <w:rPr>
                  <w:b/>
                  <w:bCs/>
                  <w:caps/>
                </w:rPr>
              </w:pPr>
              <w:sdt>
                <w:sdtPr>
                  <w:alias w:val="Pavadinimas"/>
                  <w:tag w:val="title_b55d7075b41740daa8d5777b05bd8244"/>
                  <w:lock w:val="sdtLocked"/>
                  <w:richText/>
                </w:sdtPr>
                <w:sdtContent>
                  <w:r>
                    <w:rPr>
                      <w:b/>
                      <w:bCs/>
                      <w:caps/>
                    </w:rPr>
                    <w:t>tinkamos finansuoti išlaidos ir Pagalbos dydis</w:t>
                  </w:r>
                </w:sdtContent>
              </w:sdt>
            </w:p>
            <w:p>
              <w:pPr>
                <w:widowControl w:val="0"/>
                <w:suppressAutoHyphens/>
                <w:ind w:firstLine="567"/>
                <w:jc w:val="both"/>
              </w:pPr>
            </w:p>
            <w:sdt>
              <w:sdtPr>
                <w:alias w:val="4 p."/>
                <w:tag w:val="part_6244e6135ae0401983fc829e2c5e756c"/>
                <w:lock w:val="sdtLocked"/>
                <w:richText/>
              </w:sdtPr>
              <w:sdtContent>
                <w:p>
                  <w:pPr>
                    <w:widowControl w:val="0"/>
                    <w:suppressAutoHyphens/>
                    <w:spacing w:line="360" w:lineRule="auto"/>
                    <w:ind w:firstLine="567"/>
                    <w:jc w:val="both"/>
                  </w:pPr>
                  <w:sdt>
                    <w:sdtPr>
                      <w:alias w:val="Numeris"/>
                      <w:tag w:val="nr_6244e6135ae0401983fc829e2c5e756c"/>
                      <w:lock w:val="sdtLocked"/>
                      <w:richText/>
                    </w:sdtPr>
                    <w:sdtContent>
                      <w:r>
                        <w:t>4</w:t>
                      </w:r>
                    </w:sdtContent>
                  </w:sdt>
                  <w:r>
                    <w:t>. Pagalba teikiama už šių ŠGP pašalinimą (surinkimą bei transportavimą) ir sunaikinimą (perdirbimą ir (arba) sudeginimą):</w:t>
                  </w:r>
                </w:p>
                <w:sdt>
                  <w:sdtPr>
                    <w:alias w:val="4.1 pp."/>
                    <w:tag w:val="part_ba14747bc44842d7a7aaa25122b57375"/>
                    <w:lock w:val="sdtLocked"/>
                    <w:richText/>
                  </w:sdtPr>
                  <w:sdtContent>
                    <w:p>
                      <w:pPr>
                        <w:widowControl w:val="0"/>
                        <w:suppressAutoHyphens/>
                        <w:spacing w:line="360" w:lineRule="auto"/>
                        <w:ind w:firstLine="567"/>
                        <w:jc w:val="both"/>
                      </w:pPr>
                      <w:sdt>
                        <w:sdtPr>
                          <w:alias w:val="Numeris"/>
                          <w:tag w:val="nr_ba14747bc44842d7a7aaa25122b57375"/>
                          <w:lock w:val="sdtLocked"/>
                          <w:richText/>
                        </w:sdtPr>
                        <w:sdtContent>
                          <w:r>
                            <w:t>4.1</w:t>
                          </w:r>
                        </w:sdtContent>
                      </w:sdt>
                      <w:r>
                        <w:t>. nugaišusių, nugaišintų ar nužudytų ūkinių gyvūnų, kurie nuosavybės ar patikėjimo teise priklauso fiziniams ar juridiniams asmenims, besiverčiantiems pirmine žemės ūkio produktų gamyba;</w:t>
                      </w:r>
                    </w:p>
                  </w:sdtContent>
                </w:sdt>
                <w:sdt>
                  <w:sdtPr>
                    <w:alias w:val="4.2 pp."/>
                    <w:tag w:val="part_d651a606d9f6404eb04295d4a5bc744b"/>
                    <w:lock w:val="sdtLocked"/>
                    <w:richText/>
                  </w:sdtPr>
                  <w:sdtContent>
                    <w:p>
                      <w:pPr>
                        <w:widowControl w:val="0"/>
                        <w:suppressAutoHyphens/>
                        <w:spacing w:line="360" w:lineRule="auto"/>
                        <w:ind w:firstLine="567"/>
                        <w:jc w:val="both"/>
                      </w:pPr>
                      <w:sdt>
                        <w:sdtPr>
                          <w:alias w:val="Numeris"/>
                          <w:tag w:val="nr_d651a606d9f6404eb04295d4a5bc744b"/>
                          <w:lock w:val="sdtLocked"/>
                          <w:richText/>
                        </w:sdtPr>
                        <w:sdtContent>
                          <w:r>
                            <w:t>4.2</w:t>
                          </w:r>
                        </w:sdtContent>
                      </w:sdt>
                      <w:r>
                        <w:t>. žemės ūkio krypties mokslo ar mokymo įstaigų nugaišintų bandomųjų gyvūnų;</w:t>
                      </w:r>
                    </w:p>
                  </w:sdtContent>
                </w:sdt>
                <w:sdt>
                  <w:sdtPr>
                    <w:alias w:val="4.3 pp."/>
                    <w:tag w:val="part_12806a859a854603b6594af47144a9c5"/>
                    <w:lock w:val="sdtLocked"/>
                    <w:richText/>
                  </w:sdtPr>
                  <w:sdtContent>
                    <w:p>
                      <w:pPr>
                        <w:widowControl w:val="0"/>
                        <w:suppressAutoHyphens/>
                        <w:spacing w:line="360" w:lineRule="auto"/>
                        <w:ind w:firstLine="567"/>
                        <w:jc w:val="both"/>
                      </w:pPr>
                      <w:sdt>
                        <w:sdtPr>
                          <w:alias w:val="Numeris"/>
                          <w:tag w:val="nr_12806a859a854603b6594af47144a9c5"/>
                          <w:lock w:val="sdtLocked"/>
                          <w:richText/>
                        </w:sdtPr>
                        <w:sdtContent>
                          <w:r>
                            <w:t>4.3</w:t>
                          </w:r>
                        </w:sdtContent>
                      </w:sdt>
                      <w:r>
                        <w:t>. valstybės institucijų surastų nugaišusių gyvūnų, kurių savininko nustatyti neįmanoma ir dėl kurių gali kilti pavojus žmonių ar gyvūnų sveikatai ir aplinkai;</w:t>
                      </w:r>
                    </w:p>
                  </w:sdtContent>
                </w:sdt>
                <w:sdt>
                  <w:sdtPr>
                    <w:alias w:val="4.4 pp."/>
                    <w:tag w:val="part_678bb65171d940e685d47fbe071b4db3"/>
                    <w:lock w:val="sdtLocked"/>
                    <w:richText/>
                  </w:sdtPr>
                  <w:sdtContent>
                    <w:p>
                      <w:pPr>
                        <w:widowControl w:val="0"/>
                        <w:suppressAutoHyphens/>
                        <w:spacing w:line="360" w:lineRule="auto"/>
                        <w:ind w:firstLine="567"/>
                        <w:jc w:val="both"/>
                      </w:pPr>
                      <w:sdt>
                        <w:sdtPr>
                          <w:alias w:val="Numeris"/>
                          <w:tag w:val="nr_678bb65171d940e685d47fbe071b4db3"/>
                          <w:lock w:val="sdtLocked"/>
                          <w:richText/>
                        </w:sdtPr>
                        <w:sdtContent>
                          <w:r>
                            <w:t>4.4</w:t>
                          </w:r>
                        </w:sdtContent>
                      </w:sdt>
                      <w:r>
                        <w:t>. nugaišusių laukinių gyvūnų, įtariamų sirgus užkrečiamosiomis pavojingomis žmonėms ar gyvūnams ligomis.</w:t>
                      </w:r>
                    </w:p>
                  </w:sdtContent>
                </w:sdt>
              </w:sdtContent>
            </w:sdt>
            <w:sdt>
              <w:sdtPr>
                <w:alias w:val="5 p."/>
                <w:tag w:val="part_474e612b158047d7a5b91246c95ee21e"/>
                <w:lock w:val="sdtLocked"/>
                <w:richText/>
              </w:sdtPr>
              <w:sdtContent>
                <w:p>
                  <w:pPr>
                    <w:overflowPunct w:val="0"/>
                    <w:spacing w:line="360" w:lineRule="auto"/>
                    <w:ind w:firstLine="567"/>
                    <w:jc w:val="both"/>
                    <w:textAlignment w:val="baseline"/>
                    <w:rPr>
                      <w:szCs w:val="24"/>
                      <w:lang w:eastAsia="lt-LT"/>
                    </w:rPr>
                  </w:pPr>
                  <w:sdt>
                    <w:sdtPr>
                      <w:alias w:val="Numeris"/>
                      <w:tag w:val="nr_474e612b158047d7a5b91246c95ee21e"/>
                      <w:lock w:val="sdtLocked"/>
                      <w:richText/>
                    </w:sdtPr>
                    <w:sdtContent>
                      <w:r>
                        <w:rPr>
                          <w:szCs w:val="24"/>
                          <w:lang w:eastAsia="lt-LT"/>
                        </w:rPr>
                        <w:t>5</w:t>
                      </w:r>
                    </w:sdtContent>
                  </w:sdt>
                  <w:r>
                    <w:rPr>
                      <w:szCs w:val="24"/>
                      <w:lang w:eastAsia="lt-LT"/>
                    </w:rPr>
                    <w:t>. Pagalba negali būti teikiama, jei:</w:t>
                  </w:r>
                </w:p>
                <w:sdt>
                  <w:sdtPr>
                    <w:alias w:val="5.1 pp."/>
                    <w:tag w:val="part_dafd981718ac4769abf1e351b1537bce"/>
                    <w:lock w:val="sdtLocked"/>
                    <w:richText/>
                  </w:sdtPr>
                  <w:sdtContent>
                    <w:p>
                      <w:pPr>
                        <w:overflowPunct w:val="0"/>
                        <w:spacing w:line="360" w:lineRule="auto"/>
                        <w:ind w:firstLine="567"/>
                        <w:jc w:val="both"/>
                        <w:textAlignment w:val="baseline"/>
                      </w:pPr>
                      <w:sdt>
                        <w:sdtPr>
                          <w:alias w:val="Numeris"/>
                          <w:tag w:val="nr_dafd981718ac4769abf1e351b1537bce"/>
                          <w:lock w:val="sdtLocked"/>
                          <w:richText/>
                        </w:sdtPr>
                        <w:sdtContent>
                          <w:r>
                            <w:rPr>
                              <w:szCs w:val="24"/>
                              <w:lang w:eastAsia="lt-LT"/>
                            </w:rPr>
                            <w:t>5.1</w:t>
                          </w:r>
                        </w:sdtContent>
                      </w:sdt>
                      <w:r>
                        <w:rPr>
                          <w:szCs w:val="24"/>
                          <w:lang w:eastAsia="lt-LT"/>
                        </w:rPr>
                        <w:t>. ŠGP turėtojas gavo paramą iš kitų nacionalinių ir (ar) ES programų ir (ar) priemonių toms pačioms pagalbos skyrimo kriterijus atitinkančioms išlaidoms kompensuoti</w:t>
                      </w:r>
                      <w:r>
                        <w:t>;</w:t>
                      </w:r>
                    </w:p>
                  </w:sdtContent>
                </w:sdt>
                <w:sdt>
                  <w:sdtPr>
                    <w:alias w:val="5.2 pp."/>
                    <w:tag w:val="part_cfbafa5e55804ddc863c99f18ecf3282"/>
                    <w:lock w:val="sdtLocked"/>
                    <w:richText/>
                  </w:sdtPr>
                  <w:sdtContent>
                    <w:p>
                      <w:pPr>
                        <w:overflowPunct w:val="0"/>
                        <w:spacing w:line="360" w:lineRule="auto"/>
                        <w:ind w:firstLine="567"/>
                        <w:jc w:val="both"/>
                        <w:textAlignment w:val="baseline"/>
                      </w:pPr>
                      <w:sdt>
                        <w:sdtPr>
                          <w:alias w:val="Numeris"/>
                          <w:tag w:val="nr_cfbafa5e55804ddc863c99f18ecf3282"/>
                          <w:lock w:val="sdtLocked"/>
                          <w:richText/>
                        </w:sdtPr>
                        <w:sdtContent>
                          <w:r>
                            <w:t>5.2</w:t>
                          </w:r>
                        </w:sdtContent>
                      </w:sdt>
                      <w:r>
                        <w:t xml:space="preserve">. Lietuvoje nėra vykdoma nuosekli </w:t>
                      </w:r>
                      <w:r>
                        <w:rPr>
                          <w:color w:val="000000"/>
                        </w:rPr>
                        <w:t xml:space="preserve">užkrečiamųjų spongiforminių encefalopatijų </w:t>
                      </w:r>
                      <w:r>
                        <w:t xml:space="preserve">stebėsenos programa, patvirtinta Valstybinės maisto veterinarijos tarnybos direktoriaus 2016 m. sausio 21 d.  įsakymu Nr. B1-39 „Dėl </w:t>
                      </w:r>
                      <w:r>
                        <w:rPr>
                          <w:color w:val="000000"/>
                        </w:rPr>
                        <w:t xml:space="preserve">užkrečiamųjų spongiforminių encefalopatijų </w:t>
                      </w:r>
                      <w:r>
                        <w:t>stebėsenos programos patvirtinimo“, kuria užtikrinama, kad visi kritę ūkiniai gyvūnai būtų saugiai pašalinti.</w:t>
                      </w:r>
                    </w:p>
                  </w:sdtContent>
                </w:sdt>
              </w:sdtContent>
            </w:sdt>
            <w:sdt>
              <w:sdtPr>
                <w:alias w:val="6 p."/>
                <w:tag w:val="part_be70487c98d04b36802ed722f889a5df"/>
                <w:lock w:val="sdtLocked"/>
                <w:richText/>
              </w:sdtPr>
              <w:sdtContent>
                <w:p>
                  <w:pPr>
                    <w:widowControl w:val="0"/>
                    <w:spacing w:line="360" w:lineRule="auto"/>
                    <w:ind w:firstLine="567"/>
                    <w:jc w:val="both"/>
                    <w:rPr>
                      <w:szCs w:val="24"/>
                      <w:lang w:eastAsia="lt-LT"/>
                    </w:rPr>
                  </w:pPr>
                  <w:sdt>
                    <w:sdtPr>
                      <w:alias w:val="Numeris"/>
                      <w:tag w:val="nr_be70487c98d04b36802ed722f889a5df"/>
                      <w:lock w:val="sdtLocked"/>
                      <w:richText/>
                    </w:sdtPr>
                    <w:sdtContent>
                      <w:r>
                        <w:rPr>
                          <w:szCs w:val="24"/>
                          <w:lang w:eastAsia="lt-LT"/>
                        </w:rPr>
                        <w:t>6</w:t>
                      </w:r>
                    </w:sdtContent>
                  </w:sdt>
                  <w:r>
                    <w:rPr>
                      <w:szCs w:val="24"/>
                      <w:lang w:eastAsia="lt-LT"/>
                    </w:rPr>
                    <w:t xml:space="preserve">. Pagalba negali viršyti  taisyklių 1 priede nurodyto pagalbos intensyvumo ir didžiausiųjų pagalbos dydžių. Visi naudojami skaičiai yra bruto, t. y. neatskaičius mokesčių ar kitų rinkliavų.</w:t>
                  </w:r>
                </w:p>
              </w:sdtContent>
            </w:sdt>
            <w:sdt>
              <w:sdtPr>
                <w:alias w:val="7 p."/>
                <w:tag w:val="part_e8018820b31a4d628dfa4fcbed76c8b9"/>
                <w:lock w:val="sdtLocked"/>
                <w:richText/>
              </w:sdtPr>
              <w:sdtContent>
                <w:p>
                  <w:pPr>
                    <w:overflowPunct w:val="0"/>
                    <w:spacing w:line="360" w:lineRule="auto"/>
                    <w:ind w:firstLine="567"/>
                    <w:jc w:val="both"/>
                    <w:textAlignment w:val="baseline"/>
                  </w:pPr>
                  <w:sdt>
                    <w:sdtPr>
                      <w:alias w:val="Numeris"/>
                      <w:tag w:val="nr_e8018820b31a4d628dfa4fcbed76c8b9"/>
                      <w:lock w:val="sdtLocked"/>
                      <w:richText/>
                    </w:sdtPr>
                    <w:sdtContent>
                      <w:r>
                        <w:rPr>
                          <w:szCs w:val="24"/>
                          <w:lang w:eastAsia="lt-LT"/>
                        </w:rPr>
                        <w:t>7</w:t>
                      </w:r>
                    </w:sdtContent>
                  </w:sdt>
                  <w:r>
                    <w:t xml:space="preserve">. Taisyklių 1 priede nurodyti didžiausieji pagalbos už vienos tonos ŠGP šalinimą ir naikinimą dydžiai nustatomi atsižvelgiant į pagalbai skiriamas lėšas ir 1 ir 2 kategorijų ŠGP šalinimo ir naikinimo sąnaudų įvertinimą pagal šių taisyklių 8 priede pateiktą Sąnaudų, kurių pagrindu nustatomi valstybės pagalbos dydžiai už šalutinių gyvūninių produktų, neskirtų vartoti žmonėms, šalinimą ir naikinimą, apskaičiavimo tvarkos aprašą. </w:t>
                  </w:r>
                </w:p>
              </w:sdtContent>
            </w:sdt>
            <w:sdt>
              <w:sdtPr>
                <w:alias w:val="8 p."/>
                <w:tag w:val="part_ef28fb08b6f64f75b41b15ec728096d5"/>
                <w:lock w:val="sdtLocked"/>
                <w:richText/>
              </w:sdtPr>
              <w:sdtContent>
                <w:p>
                  <w:pPr>
                    <w:widowControl w:val="0"/>
                    <w:suppressAutoHyphens/>
                    <w:spacing w:line="360" w:lineRule="auto"/>
                    <w:ind w:firstLine="567"/>
                    <w:jc w:val="both"/>
                    <w:rPr>
                      <w:szCs w:val="24"/>
                    </w:rPr>
                  </w:pPr>
                  <w:sdt>
                    <w:sdtPr>
                      <w:alias w:val="Numeris"/>
                      <w:tag w:val="nr_ef28fb08b6f64f75b41b15ec728096d5"/>
                      <w:lock w:val="sdtLocked"/>
                      <w:richText/>
                    </w:sdtPr>
                    <w:sdtContent>
                      <w:r>
                        <w:t>8</w:t>
                      </w:r>
                    </w:sdtContent>
                  </w:sdt>
                  <w:r>
                    <w:t xml:space="preserve">. </w:t>
                  </w:r>
                  <w:r>
                    <w:rPr>
                      <w:szCs w:val="24"/>
                    </w:rPr>
                    <w:t>Pridėtinės vertės mokestis (toliau – PVM) nėra tinkama finansuoti išlaida.</w:t>
                  </w:r>
                </w:p>
                <w:p>
                  <w:pPr>
                    <w:widowControl w:val="0"/>
                    <w:suppressAutoHyphens/>
                    <w:spacing w:line="360" w:lineRule="auto"/>
                    <w:ind w:firstLine="567"/>
                    <w:jc w:val="both"/>
                    <w:rPr>
                      <w:szCs w:val="24"/>
                    </w:rPr>
                  </w:pPr>
                </w:p>
              </w:sdtContent>
            </w:sdt>
          </w:sdtContent>
        </w:sdt>
        <w:sdt>
          <w:sdtPr>
            <w:alias w:val="skyrius"/>
            <w:tag w:val="part_584f1a4ee95a4996866839b36b3026ca"/>
            <w:lock w:val="sdtLocked"/>
            <w:richText/>
          </w:sdtPr>
          <w:sdtContent>
            <w:p>
              <w:pPr>
                <w:jc w:val="center"/>
                <w:rPr>
                  <w:b/>
                  <w:bCs/>
                  <w:szCs w:val="24"/>
                </w:rPr>
              </w:pPr>
              <w:sdt>
                <w:sdtPr>
                  <w:alias w:val="Numeris"/>
                  <w:tag w:val="nr_584f1a4ee95a4996866839b36b3026ca"/>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584f1a4ee95a4996866839b36b3026ca"/>
                  <w:lock w:val="sdtLocked"/>
                  <w:richText/>
                </w:sdtPr>
                <w:sdtContent>
                  <w:r>
                    <w:rPr>
                      <w:b/>
                      <w:bCs/>
                      <w:szCs w:val="24"/>
                    </w:rPr>
                    <w:t>PRIEMOKOS NUSTATYMO TVARKA</w:t>
                  </w:r>
                </w:sdtContent>
              </w:sdt>
            </w:p>
            <w:p>
              <w:pPr>
                <w:ind w:firstLine="567"/>
                <w:jc w:val="center"/>
                <w:rPr>
                  <w:szCs w:val="24"/>
                </w:rPr>
              </w:pPr>
            </w:p>
            <w:sdt>
              <w:sdtPr>
                <w:alias w:val="9 p."/>
                <w:tag w:val="part_d1e879ed6c0948b3a9aa5f03e2fd49a0"/>
                <w:lock w:val="sdtLocked"/>
                <w:richText/>
              </w:sdtPr>
              <w:sdtContent>
                <w:p>
                  <w:pPr>
                    <w:spacing w:line="360" w:lineRule="auto"/>
                    <w:ind w:firstLine="567"/>
                    <w:jc w:val="both"/>
                    <w:rPr>
                      <w:szCs w:val="24"/>
                    </w:rPr>
                  </w:pPr>
                  <w:sdt>
                    <w:sdtPr>
                      <w:alias w:val="Numeris"/>
                      <w:tag w:val="nr_d1e879ed6c0948b3a9aa5f03e2fd49a0"/>
                      <w:lock w:val="sdtLocked"/>
                      <w:richText/>
                    </w:sdtPr>
                    <w:sdtContent>
                      <w:r>
                        <w:rPr>
                          <w:szCs w:val="24"/>
                        </w:rPr>
                        <w:t>9</w:t>
                      </w:r>
                    </w:sdtContent>
                  </w:sdt>
                  <w:r>
                    <w:rPr>
                      <w:szCs w:val="24"/>
                    </w:rPr>
                    <w:t xml:space="preserve">. ŠGP tvarkytojas gali taikyti priemoką </w:t>
                  </w:r>
                  <w:r>
                    <w:rPr>
                      <w:szCs w:val="24"/>
                      <w:lang w:eastAsia="lt-LT"/>
                    </w:rPr>
                    <w:t>už vienos tonos 1 ir 2 kategorijų (kiekvienai kategorijai atskirai) ŠGP pašalinimą ir sunaikinimą, jei ji suderinta šių taisyklių 13 punkte nurodyta tvarka.</w:t>
                  </w:r>
                </w:p>
              </w:sdtContent>
            </w:sdt>
            <w:sdt>
              <w:sdtPr>
                <w:alias w:val="10 p."/>
                <w:tag w:val="part_459121137a6e45e9a4914bb8364346ad"/>
                <w:lock w:val="sdtLocked"/>
                <w:richText/>
              </w:sdtPr>
              <w:sdtContent>
                <w:p>
                  <w:pPr>
                    <w:spacing w:line="360" w:lineRule="auto"/>
                    <w:ind w:firstLine="567"/>
                    <w:jc w:val="both"/>
                  </w:pPr>
                  <w:sdt>
                    <w:sdtPr>
                      <w:alias w:val="Numeris"/>
                      <w:tag w:val="nr_459121137a6e45e9a4914bb8364346ad"/>
                      <w:lock w:val="sdtLocked"/>
                      <w:richText/>
                    </w:sdtPr>
                    <w:sdtContent>
                      <w:r>
                        <w:rPr>
                          <w:szCs w:val="24"/>
                          <w:lang w:eastAsia="lt-LT"/>
                        </w:rPr>
                        <w:t>10</w:t>
                      </w:r>
                    </w:sdtContent>
                  </w:sdt>
                  <w:r>
                    <w:rPr>
                      <w:szCs w:val="24"/>
                      <w:lang w:eastAsia="lt-LT"/>
                    </w:rPr>
                    <w:t xml:space="preserve">. ŠGP tvarkytojo taikoma priemoka ir teikiama pagalbos suma už vienos tonos 1 ir 2 kategorijų (kiekvienai kategorijai atskirai) ŠGP pašalinimą ir sunaikinimą </w:t>
                  </w:r>
                  <w:r>
                    <w:t xml:space="preserve">negali viršyti įmonės patiriamų sąnaudų atsižvelgiant į gaunamas pajamas iš 1 ir 2 kategorijų ŠGP šalinimo ir naikinimo veiklos (patirtų sąnaudų suma mažinama gautų pajamų suma). </w:t>
                  </w:r>
                </w:p>
              </w:sdtContent>
            </w:sdt>
            <w:sdt>
              <w:sdtPr>
                <w:alias w:val="11 p."/>
                <w:tag w:val="part_91877cea2c0241909b1e4c78365a9811"/>
                <w:lock w:val="sdtLocked"/>
                <w:richText/>
              </w:sdtPr>
              <w:sdtContent>
                <w:p>
                  <w:pPr>
                    <w:spacing w:line="360" w:lineRule="auto"/>
                    <w:ind w:firstLine="567"/>
                    <w:jc w:val="both"/>
                    <w:rPr>
                      <w:szCs w:val="24"/>
                    </w:rPr>
                  </w:pPr>
                  <w:sdt>
                    <w:sdtPr>
                      <w:alias w:val="Numeris"/>
                      <w:tag w:val="nr_91877cea2c0241909b1e4c78365a9811"/>
                      <w:lock w:val="sdtLocked"/>
                      <w:richText/>
                    </w:sdtPr>
                    <w:sdtContent>
                      <w:r>
                        <w:t>1</w:t>
                      </w:r>
                      <w:r>
                        <w:rPr>
                          <w:szCs w:val="24"/>
                        </w:rPr>
                        <w:t>1</w:t>
                      </w:r>
                    </w:sdtContent>
                  </w:sdt>
                  <w:r>
                    <w:rPr>
                      <w:szCs w:val="24"/>
                    </w:rPr>
                    <w:t xml:space="preserve">. </w:t>
                  </w:r>
                  <w:r>
                    <w:t xml:space="preserve">ŠGP tvarkytojui nusprendus didinti priemokos dydį, jis valstybės įmonei Žemės ūkio duomenų centrui (toliau – Centras) turi pateikti el. paštu </w:t>
                  </w:r>
                  <w:r>
                    <w:rPr>
                      <w:color w:val="0000FF"/>
                      <w:u w:val="single"/>
                    </w:rPr>
                    <w:t>info@zudc.lt</w:t>
                  </w:r>
                  <w:r>
                    <w:t xml:space="preserve"> įmonės </w:t>
                  </w:r>
                  <w:r>
                    <w:rPr>
                      <w:szCs w:val="24"/>
                      <w:lang w:eastAsia="lt-LT"/>
                    </w:rPr>
                    <w:t xml:space="preserve">siūlomą taikyti </w:t>
                  </w:r>
                  <w:r>
                    <w:t xml:space="preserve">priemoką už </w:t>
                  </w:r>
                  <w:r>
                    <w:rPr>
                      <w:szCs w:val="24"/>
                      <w:lang w:eastAsia="lt-LT"/>
                    </w:rPr>
                    <w:t xml:space="preserve">vienos tonos 1 ir 2 kategorijų (kiekvienos kategorijos atskirai) ŠGP šalinimo ir (ar) naikinimo (atskirai kiekvienai veiklai: šalinimo ir naikinimo)  ir šios priemokos pagrindimą (prieš tai buvusio metų ketvirčio patiriamas tiesiogines, netiesiogines ir bendrąsias sąnaudas ir gaunamas pajamas).</w:t>
                  </w:r>
                </w:p>
              </w:sdtContent>
            </w:sdt>
            <w:sdt>
              <w:sdtPr>
                <w:alias w:val="12 p."/>
                <w:tag w:val="part_a26f3900f4e245e78bb148bba7b71a48"/>
                <w:lock w:val="sdtLocked"/>
                <w:richText/>
              </w:sdtPr>
              <w:sdtContent>
                <w:p>
                  <w:pPr>
                    <w:spacing w:line="360" w:lineRule="auto"/>
                    <w:ind w:firstLine="567"/>
                    <w:jc w:val="both"/>
                    <w:rPr>
                      <w:szCs w:val="24"/>
                      <w:lang w:eastAsia="lt-LT"/>
                    </w:rPr>
                  </w:pPr>
                  <w:sdt>
                    <w:sdtPr>
                      <w:alias w:val="Numeris"/>
                      <w:tag w:val="nr_a26f3900f4e245e78bb148bba7b71a48"/>
                      <w:lock w:val="sdtLocked"/>
                      <w:richText/>
                    </w:sdtPr>
                    <w:sdtContent>
                      <w:r>
                        <w:rPr>
                          <w:szCs w:val="24"/>
                          <w:lang w:eastAsia="lt-LT"/>
                        </w:rPr>
                        <w:t>12</w:t>
                      </w:r>
                    </w:sdtContent>
                  </w:sdt>
                  <w:r>
                    <w:rPr>
                      <w:szCs w:val="24"/>
                      <w:lang w:eastAsia="lt-LT"/>
                    </w:rPr>
                    <w:t xml:space="preserve">. Centras per 10 d. d. turi įvertinti, ar įmonės numatoma priemoka ir teikiama pagalbos suma neviršija įmonės patiriamų sąnaudų atsižvelgiant į gautas pajamas, už minėtą veiklą įvertindama prieš tai buvusio metų ketvirčio duomenis, ir ar </w:t>
                  </w:r>
                  <w:r>
                    <w:t>neviršija taisyklių 1 priede nurodyto pagalbos intensyvumo</w:t>
                  </w:r>
                  <w:r>
                    <w:rPr>
                      <w:szCs w:val="24"/>
                      <w:lang w:eastAsia="lt-LT"/>
                    </w:rPr>
                    <w:t xml:space="preserve">. </w:t>
                  </w:r>
                </w:p>
              </w:sdtContent>
            </w:sdt>
            <w:sdt>
              <w:sdtPr>
                <w:alias w:val="13 p."/>
                <w:tag w:val="part_85c141adcbf842adbf3dc5b1b790044b"/>
                <w:lock w:val="sdtLocked"/>
                <w:richText/>
              </w:sdtPr>
              <w:sdtContent>
                <w:p>
                  <w:pPr>
                    <w:spacing w:line="360" w:lineRule="auto"/>
                    <w:ind w:firstLine="567"/>
                    <w:jc w:val="both"/>
                    <w:rPr>
                      <w:szCs w:val="24"/>
                      <w:lang w:eastAsia="lt-LT"/>
                    </w:rPr>
                  </w:pPr>
                  <w:sdt>
                    <w:sdtPr>
                      <w:alias w:val="Numeris"/>
                      <w:tag w:val="nr_85c141adcbf842adbf3dc5b1b790044b"/>
                      <w:lock w:val="sdtLocked"/>
                      <w:richText/>
                    </w:sdtPr>
                    <w:sdtContent>
                      <w:r>
                        <w:rPr>
                          <w:szCs w:val="24"/>
                          <w:lang w:eastAsia="lt-LT"/>
                        </w:rPr>
                        <w:t>13</w:t>
                      </w:r>
                    </w:sdtContent>
                  </w:sdt>
                  <w:r>
                    <w:rPr>
                      <w:szCs w:val="24"/>
                      <w:lang w:eastAsia="lt-LT"/>
                    </w:rPr>
                    <w:t xml:space="preserve">. </w:t>
                  </w:r>
                  <w:r>
                    <w:t xml:space="preserve">Jeigu Centras nustato, kad </w:t>
                  </w:r>
                  <w:r>
                    <w:rPr>
                      <w:szCs w:val="24"/>
                      <w:lang w:eastAsia="lt-LT"/>
                    </w:rPr>
                    <w:t xml:space="preserve">numatoma priemoka ir teikiama pagalbos suma atitinka įmonės patirtas sąnaudas atsižvelgiant į gautas pajamas už vienos tonos 1 ir 2 kategorijų  ŠGP šalinimą ir naikinimą ir </w:t>
                  </w:r>
                  <w:r>
                    <w:t>neviršija taisyklių 1 priede nurodyto pagalbos intensyvumo</w:t>
                  </w:r>
                  <w:r>
                    <w:rPr>
                      <w:szCs w:val="24"/>
                      <w:lang w:eastAsia="lt-LT"/>
                    </w:rPr>
                    <w:t>, jis raštu informuoja ŠGP tvarkytoją ir Agentūrą, jog įmonė gali pradėti taikyti priemoką ŠGP turėtojams, atitinkantiems taisyklių 16 punkto nuostatas.</w:t>
                  </w:r>
                </w:p>
              </w:sdtContent>
            </w:sdt>
            <w:sdt>
              <w:sdtPr>
                <w:alias w:val="14 p."/>
                <w:tag w:val="part_e45d9ad533324ca49db72fca011ebc50"/>
                <w:lock w:val="sdtLocked"/>
                <w:richText/>
              </w:sdtPr>
              <w:sdtContent>
                <w:p>
                  <w:pPr>
                    <w:spacing w:line="360" w:lineRule="auto"/>
                    <w:ind w:firstLine="567"/>
                    <w:jc w:val="both"/>
                    <w:rPr>
                      <w:szCs w:val="24"/>
                      <w:lang w:eastAsia="lt-LT"/>
                    </w:rPr>
                  </w:pPr>
                  <w:sdt>
                    <w:sdtPr>
                      <w:alias w:val="Numeris"/>
                      <w:tag w:val="nr_e45d9ad533324ca49db72fca011ebc50"/>
                      <w:lock w:val="sdtLocked"/>
                      <w:richText/>
                    </w:sdtPr>
                    <w:sdtContent>
                      <w:r>
                        <w:rPr>
                          <w:szCs w:val="24"/>
                          <w:lang w:eastAsia="lt-LT"/>
                        </w:rPr>
                        <w:t>14</w:t>
                      </w:r>
                    </w:sdtContent>
                  </w:sdt>
                  <w:r>
                    <w:rPr>
                      <w:szCs w:val="24"/>
                      <w:lang w:eastAsia="lt-LT"/>
                    </w:rPr>
                    <w:t xml:space="preserve">. Jeigu Centras nustato, kad numatoma priemoka ir teikiama pagalbos suma viršija įmonės patirtas sąnaudas atsižvelgiant į gautas pajamas už vienos tonos 1 ir 2 kategorijų ŠGP šalinimą ir naikinimą ir </w:t>
                  </w:r>
                  <w:r>
                    <w:t>taisyklių 1 priede nurodytą pagalbos intensyvumą,</w:t>
                  </w:r>
                  <w:r>
                    <w:rPr>
                      <w:szCs w:val="24"/>
                      <w:lang w:eastAsia="lt-LT"/>
                    </w:rPr>
                    <w:t xml:space="preserve"> priemoka ŠGP turėtojams, gaunantiems pagalbą natūra ir atitinkantiems taisyklių 16 punkto nuostatas, negali būti taikoma. Tokiu atveju Centras informuoja el. paštu ir raštu ŠGP tvarkytoją ir Agentūrą, kad priemoka negali būti taikoma, nurodydamas sprendimo motyvus ir apskundimo tvarką.</w:t>
                  </w:r>
                </w:p>
              </w:sdtContent>
            </w:sdt>
            <w:sdt>
              <w:sdtPr>
                <w:alias w:val="15 p."/>
                <w:tag w:val="part_7cd9a53a29b14251956ff2c0b58c3c1e"/>
                <w:lock w:val="sdtLocked"/>
                <w:richText/>
              </w:sdtPr>
              <w:sdtContent>
                <w:p>
                  <w:pPr>
                    <w:spacing w:line="360" w:lineRule="auto"/>
                    <w:ind w:firstLine="567"/>
                    <w:jc w:val="both"/>
                    <w:rPr>
                      <w:szCs w:val="24"/>
                      <w:lang w:eastAsia="lt-LT"/>
                    </w:rPr>
                  </w:pPr>
                  <w:sdt>
                    <w:sdtPr>
                      <w:alias w:val="Numeris"/>
                      <w:tag w:val="nr_7cd9a53a29b14251956ff2c0b58c3c1e"/>
                      <w:lock w:val="sdtLocked"/>
                      <w:richText/>
                    </w:sdtPr>
                    <w:sdtContent>
                      <w:r>
                        <w:rPr>
                          <w:szCs w:val="24"/>
                          <w:lang w:eastAsia="lt-LT"/>
                        </w:rPr>
                        <w:t>15</w:t>
                      </w:r>
                    </w:sdtContent>
                  </w:sdt>
                  <w:r>
                    <w:rPr>
                      <w:szCs w:val="24"/>
                      <w:lang w:eastAsia="lt-LT"/>
                    </w:rPr>
                    <w:t xml:space="preserve">. Patvirtinus taisyklių 1 priede nurodytus pagalbos dydžius ŠGP tvarkytojas privalo peržiūrėti taikomą priemoką ir per 1 mėnesį priemoką iš naujo suderinti el. paštu </w:t>
                  </w:r>
                  <w:r>
                    <w:rPr>
                      <w:color w:val="0000FF"/>
                      <w:u w:val="single"/>
                    </w:rPr>
                    <w:t>info@zudc.lt</w:t>
                  </w:r>
                  <w:r>
                    <w:rPr>
                      <w:szCs w:val="24"/>
                      <w:lang w:eastAsia="lt-LT"/>
                    </w:rPr>
                    <w:t xml:space="preserve"> ir raštu su Centru. </w:t>
                  </w:r>
                </w:p>
                <w:p>
                  <w:pPr>
                    <w:ind w:firstLine="62"/>
                    <w:jc w:val="center"/>
                    <w:rPr>
                      <w:szCs w:val="24"/>
                    </w:rPr>
                  </w:pPr>
                </w:p>
              </w:sdtContent>
            </w:sdt>
          </w:sdtContent>
        </w:sdt>
        <w:sdt>
          <w:sdtPr>
            <w:alias w:val="skyrius"/>
            <w:tag w:val="part_e94e9b13c26a40f7a3b97cd895f86510"/>
            <w:lock w:val="sdtLocked"/>
            <w:richText/>
          </w:sdtPr>
          <w:sdtContent>
            <w:p>
              <w:pPr>
                <w:widowControl w:val="0"/>
                <w:suppressAutoHyphens/>
                <w:jc w:val="center"/>
                <w:rPr>
                  <w:b/>
                  <w:bCs/>
                  <w:caps/>
                </w:rPr>
              </w:pPr>
              <w:sdt>
                <w:sdtPr>
                  <w:alias w:val="Numeris"/>
                  <w:tag w:val="nr_e94e9b13c26a40f7a3b97cd895f86510"/>
                  <w:lock w:val="sdtLocked"/>
                  <w:richText/>
                </w:sdtPr>
                <w:sdtContent>
                  <w:r>
                    <w:rPr>
                      <w:b/>
                      <w:bCs/>
                      <w:caps/>
                    </w:rPr>
                    <w:t>IV</w:t>
                  </w:r>
                </w:sdtContent>
              </w:sdt>
              <w:r>
                <w:rPr>
                  <w:b/>
                  <w:bCs/>
                  <w:caps/>
                </w:rPr>
                <w:t xml:space="preserve"> skyrius</w:t>
              </w:r>
            </w:p>
            <w:p>
              <w:pPr>
                <w:widowControl w:val="0"/>
                <w:suppressAutoHyphens/>
                <w:jc w:val="center"/>
                <w:rPr>
                  <w:b/>
                  <w:bCs/>
                  <w:caps/>
                </w:rPr>
              </w:pPr>
              <w:sdt>
                <w:sdtPr>
                  <w:alias w:val="Pavadinimas"/>
                  <w:tag w:val="title_e94e9b13c26a40f7a3b97cd895f86510"/>
                  <w:lock w:val="sdtLocked"/>
                  <w:richText/>
                </w:sdtPr>
                <w:sdtContent>
                  <w:r>
                    <w:rPr>
                      <w:b/>
                      <w:bCs/>
                      <w:caps/>
                    </w:rPr>
                    <w:t xml:space="preserve">REIKALAVIMAI ŠGp TURĖTOJAMS </w:t>
                  </w:r>
                </w:sdtContent>
              </w:sdt>
            </w:p>
            <w:p>
              <w:pPr>
                <w:widowControl w:val="0"/>
                <w:suppressAutoHyphens/>
                <w:jc w:val="center"/>
                <w:rPr>
                  <w:caps/>
                </w:rPr>
              </w:pPr>
            </w:p>
            <w:sdt>
              <w:sdtPr>
                <w:alias w:val="16 p."/>
                <w:tag w:val="part_bfb99f774dde4f15abe177aadec08c74"/>
                <w:lock w:val="sdtLocked"/>
                <w:richText/>
              </w:sdtPr>
              <w:sdtContent>
                <w:p>
                  <w:pPr>
                    <w:tabs>
                      <w:tab w:val="left" w:pos="1276"/>
                    </w:tabs>
                    <w:overflowPunct w:val="0"/>
                    <w:spacing w:line="360" w:lineRule="auto"/>
                    <w:ind w:firstLine="567"/>
                    <w:jc w:val="both"/>
                    <w:textAlignment w:val="baseline"/>
                    <w:rPr>
                      <w:szCs w:val="24"/>
                    </w:rPr>
                  </w:pPr>
                  <w:sdt>
                    <w:sdtPr>
                      <w:alias w:val="Numeris"/>
                      <w:tag w:val="nr_bfb99f774dde4f15abe177aadec08c74"/>
                      <w:lock w:val="sdtLocked"/>
                      <w:richText/>
                    </w:sdtPr>
                    <w:sdtContent>
                      <w:r>
                        <w:rPr>
                          <w:szCs w:val="24"/>
                        </w:rPr>
                        <w:t>16</w:t>
                      </w:r>
                    </w:sdtContent>
                  </w:sdt>
                  <w:r>
                    <w:rPr>
                      <w:szCs w:val="24"/>
                    </w:rPr>
                    <w:t xml:space="preserve">. Pagalba natūra teikiama ŠGP turėtojams, kurie: </w:t>
                  </w:r>
                </w:p>
                <w:sdt>
                  <w:sdtPr>
                    <w:alias w:val="16.1 pp."/>
                    <w:tag w:val="part_70944f760f1c43719e0b9ff6d14dba0c"/>
                    <w:lock w:val="sdtLocked"/>
                    <w:richText/>
                  </w:sdtPr>
                  <w:sdtContent>
                    <w:p>
                      <w:pPr>
                        <w:overflowPunct w:val="0"/>
                        <w:spacing w:line="360" w:lineRule="auto"/>
                        <w:ind w:firstLine="567"/>
                        <w:jc w:val="both"/>
                        <w:textAlignment w:val="baseline"/>
                      </w:pPr>
                      <w:sdt>
                        <w:sdtPr>
                          <w:alias w:val="Numeris"/>
                          <w:tag w:val="nr_70944f760f1c43719e0b9ff6d14dba0c"/>
                          <w:lock w:val="sdtLocked"/>
                          <w:richText/>
                        </w:sdtPr>
                        <w:sdtContent>
                          <w:r>
                            <w:rPr>
                              <w:szCs w:val="24"/>
                              <w:lang w:val="en-GB"/>
                            </w:rPr>
                            <w:t>16.1</w:t>
                          </w:r>
                        </w:sdtContent>
                      </w:sdt>
                      <w:r>
                        <w:rPr>
                          <w:szCs w:val="24"/>
                          <w:lang w:val="en-GB"/>
                        </w:rPr>
                        <w:t xml:space="preserve">. atitinka labai mažoms, mažoms ar vidutinėms įmonėms </w:t>
                      </w:r>
                      <w:r>
                        <w:rPr>
                          <w:szCs w:val="24"/>
                          <w:lang w:val="en-GB" w:eastAsia="lt-LT"/>
                        </w:rPr>
                        <w:t xml:space="preserve">Reglamento (ES) Nr. </w:t>
                      </w:r>
                      <w:r>
                        <w:rPr>
                          <w:szCs w:val="24"/>
                          <w:lang w:val="en-GB"/>
                        </w:rPr>
                        <w:t>2022/2472 I priede nustatytus kriterijus;</w:t>
                      </w:r>
                      <w:r>
                        <w:t xml:space="preserve"> </w:t>
                      </w:r>
                    </w:p>
                  </w:sdtContent>
                </w:sdt>
                <w:sdt>
                  <w:sdtPr>
                    <w:alias w:val="16.2 pp."/>
                    <w:tag w:val="part_a2d089b90dac42fba3034d2064bafcbf"/>
                    <w:lock w:val="sdtLocked"/>
                    <w:richText/>
                  </w:sdtPr>
                  <w:sdtContent>
                    <w:p>
                      <w:pPr>
                        <w:spacing w:line="360" w:lineRule="auto"/>
                        <w:ind w:firstLine="567"/>
                        <w:jc w:val="both"/>
                        <w:rPr>
                          <w:szCs w:val="24"/>
                          <w:lang w:eastAsia="lt-LT"/>
                        </w:rPr>
                      </w:pPr>
                      <w:sdt>
                        <w:sdtPr>
                          <w:alias w:val="Numeris"/>
                          <w:tag w:val="nr_a2d089b90dac42fba3034d2064bafcbf"/>
                          <w:lock w:val="sdtLocked"/>
                          <w:richText/>
                        </w:sdtPr>
                        <w:sdtContent>
                          <w:r>
                            <w:rPr>
                              <w:szCs w:val="24"/>
                            </w:rPr>
                            <w:t>16.</w:t>
                          </w:r>
                          <w:r>
                            <w:t>2</w:t>
                          </w:r>
                        </w:sdtContent>
                      </w:sdt>
                      <w:r>
                        <w:t xml:space="preserve">. </w:t>
                      </w:r>
                      <w:r>
                        <w:rPr>
                          <w:szCs w:val="24"/>
                          <w:lang w:eastAsia="lt-LT"/>
                        </w:rPr>
                        <w:t>nėra gavę pagalbos, kuri buvo suteikta pagalbos teikėjo Lietuvoje ir Europos Komisijos sprendimu (dėl individualios pagalbos arba pagalbos schemos) buvo pripažinta neteisėta ir nesuderinama su vidaus rinka, arba yra grąžinę visą jos sumą, įskaitant palūkanas, teisės aktuose nustatyta tvarka;</w:t>
                      </w:r>
                    </w:p>
                  </w:sdtContent>
                </w:sdt>
                <w:sdt>
                  <w:sdtPr>
                    <w:alias w:val="16.3 pp."/>
                    <w:tag w:val="part_a96ca6e596a045698089d2093218e6cf"/>
                    <w:lock w:val="sdtLocked"/>
                    <w:richText/>
                  </w:sdtPr>
                  <w:sdtContent>
                    <w:p>
                      <w:pPr>
                        <w:spacing w:line="360" w:lineRule="auto"/>
                        <w:ind w:firstLine="567"/>
                        <w:jc w:val="both"/>
                      </w:pPr>
                      <w:sdt>
                        <w:sdtPr>
                          <w:alias w:val="Numeris"/>
                          <w:tag w:val="nr_a96ca6e596a045698089d2093218e6cf"/>
                          <w:lock w:val="sdtLocked"/>
                          <w:richText/>
                        </w:sdtPr>
                        <w:sdtContent>
                          <w:r>
                            <w:rPr>
                              <w:szCs w:val="24"/>
                            </w:rPr>
                            <w:t>16.</w:t>
                          </w:r>
                          <w:r>
                            <w:t>3</w:t>
                          </w:r>
                        </w:sdtContent>
                      </w:sdt>
                      <w:r>
                        <w:t xml:space="preserve">. </w:t>
                      </w:r>
                      <w:r>
                        <w:rPr>
                          <w:szCs w:val="24"/>
                        </w:rPr>
                        <w:t>dėl to paties ŠGP pašalinimo ir sunaikinimo pateikė užsakymą tik vienam ŠGP tvarkytojui ir pasinaudojo jo teikiamomis</w:t>
                      </w:r>
                      <w:r>
                        <w:t xml:space="preserve"> </w:t>
                      </w:r>
                      <w:r>
                        <w:rPr>
                          <w:szCs w:val="24"/>
                        </w:rPr>
                        <w:t xml:space="preserve">1 ir (arba) 2 kategorijų ŠGP pašalinimo ir sunaikinimo paslaugomis. </w:t>
                      </w:r>
                      <w:r>
                        <w:t>Jeigu ŠGP turėtojui ŠGP tvarkytojas per taisyklių 17.4 papunktyje nustatytą laiką  nesuteikia užsakytos ŠGP pašalinimo paslaugos, apie tai ŠGP turėtojas privalo informuoti Valstybinę maisto ir veterinarijos tarnybą (toliau – VMVT) telefonais: 1879 arba +370 655 70058, arba el. paštu info@vmvt.lt.  Informavęs VMVT, ŠGP turėtojas  dėl ŠGP pašalinimo gali kreiptis į kitą ŠGP tvarkytoją;</w:t>
                      </w:r>
                    </w:p>
                  </w:sdtContent>
                </w:sdt>
                <w:sdt>
                  <w:sdtPr>
                    <w:alias w:val="16.4 pp."/>
                    <w:tag w:val="part_4dd350e84a6d4a869b0ee131dcb3d926"/>
                    <w:lock w:val="sdtLocked"/>
                    <w:richText/>
                  </w:sdtPr>
                  <w:sdtContent>
                    <w:p>
                      <w:pPr>
                        <w:spacing w:line="360" w:lineRule="auto"/>
                        <w:ind w:firstLine="567"/>
                        <w:jc w:val="both"/>
                        <w:rPr>
                          <w:szCs w:val="24"/>
                        </w:rPr>
                      </w:pPr>
                      <w:sdt>
                        <w:sdtPr>
                          <w:alias w:val="Numeris"/>
                          <w:tag w:val="nr_4dd350e84a6d4a869b0ee131dcb3d926"/>
                          <w:lock w:val="sdtLocked"/>
                          <w:richText/>
                        </w:sdtPr>
                        <w:sdtContent>
                          <w:r>
                            <w:rPr>
                              <w:szCs w:val="24"/>
                            </w:rPr>
                            <w:t>16.4</w:t>
                          </w:r>
                        </w:sdtContent>
                      </w:sdt>
                      <w:r>
                        <w:rPr>
                          <w:szCs w:val="24"/>
                        </w:rPr>
                        <w:t xml:space="preserve">. vieną kartą per metus  ŠGP tvarkytojams, kurių paslaugomis naudojasi, pateikia savo (įmonės vadovo ar jo įgalioto asmens) pasirašytą Duomenų patvirtinimo deklaraciją valstybės pagalbai gauti už šalutinių gyvūninių produktų, neskirtų vartoti žmonėms, šalinimą ir naikinimą (toliau – deklaracija) (2 priedas). </w:t>
                      </w:r>
                    </w:p>
                    <w:p>
                      <w:pPr>
                        <w:spacing w:line="360" w:lineRule="auto"/>
                        <w:ind w:firstLine="567"/>
                        <w:jc w:val="both"/>
                        <w:rPr>
                          <w:szCs w:val="24"/>
                          <w:lang w:eastAsia="lt-LT"/>
                        </w:rPr>
                      </w:pPr>
                    </w:p>
                  </w:sdtContent>
                </w:sdt>
              </w:sdtContent>
            </w:sdt>
          </w:sdtContent>
        </w:sdt>
        <w:sdt>
          <w:sdtPr>
            <w:alias w:val="skyrius"/>
            <w:tag w:val="part_b75a33acfafe47cb80c279e612008343"/>
            <w:lock w:val="sdtLocked"/>
            <w:richText/>
          </w:sdtPr>
          <w:sdtContent>
            <w:p>
              <w:pPr>
                <w:jc w:val="center"/>
                <w:rPr>
                  <w:b/>
                  <w:bCs/>
                  <w:szCs w:val="24"/>
                  <w:lang w:eastAsia="lt-LT"/>
                </w:rPr>
              </w:pPr>
              <w:sdt>
                <w:sdtPr>
                  <w:alias w:val="Numeris"/>
                  <w:tag w:val="nr_b75a33acfafe47cb80c279e612008343"/>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b75a33acfafe47cb80c279e612008343"/>
                  <w:lock w:val="sdtLocked"/>
                  <w:richText/>
                </w:sdtPr>
                <w:sdtContent>
                  <w:r>
                    <w:rPr>
                      <w:b/>
                      <w:bCs/>
                      <w:szCs w:val="24"/>
                      <w:lang w:eastAsia="lt-LT"/>
                    </w:rPr>
                    <w:t>REIKALAVIMAI ŠGP TVARKYTOJAMS</w:t>
                  </w:r>
                </w:sdtContent>
              </w:sdt>
            </w:p>
            <w:p>
              <w:pPr>
                <w:ind w:firstLine="567"/>
                <w:jc w:val="center"/>
                <w:rPr>
                  <w:b/>
                  <w:bCs/>
                  <w:sz w:val="16"/>
                  <w:szCs w:val="16"/>
                  <w:lang w:eastAsia="lt-LT"/>
                </w:rPr>
              </w:pPr>
            </w:p>
            <w:sdt>
              <w:sdtPr>
                <w:alias w:val="17 p."/>
                <w:tag w:val="part_6b4f908d83f1482ebc0961c84f363533"/>
                <w:lock w:val="sdtLocked"/>
                <w:richText/>
              </w:sdtPr>
              <w:sdtContent>
                <w:p>
                  <w:pPr>
                    <w:spacing w:line="360" w:lineRule="auto"/>
                    <w:ind w:firstLine="567"/>
                    <w:jc w:val="both"/>
                    <w:rPr>
                      <w:szCs w:val="24"/>
                      <w:lang w:eastAsia="lt-LT"/>
                    </w:rPr>
                  </w:pPr>
                  <w:sdt>
                    <w:sdtPr>
                      <w:alias w:val="Numeris"/>
                      <w:tag w:val="nr_6b4f908d83f1482ebc0961c84f363533"/>
                      <w:lock w:val="sdtLocked"/>
                      <w:richText/>
                    </w:sdtPr>
                    <w:sdtContent>
                      <w:r>
                        <w:rPr>
                          <w:szCs w:val="24"/>
                          <w:lang w:eastAsia="lt-LT"/>
                        </w:rPr>
                        <w:t>17</w:t>
                      </w:r>
                    </w:sdtContent>
                  </w:sdt>
                  <w:r>
                    <w:rPr>
                      <w:szCs w:val="24"/>
                      <w:lang w:eastAsia="lt-LT"/>
                    </w:rPr>
                    <w:t>. ŠGP tvarkytojas privalo:</w:t>
                  </w:r>
                </w:p>
                <w:sdt>
                  <w:sdtPr>
                    <w:alias w:val="17.1 pp."/>
                    <w:tag w:val="part_1c7e1b9557db45e5a570ecb28497d717"/>
                    <w:lock w:val="sdtLocked"/>
                    <w:richText/>
                  </w:sdtPr>
                  <w:sdtContent>
                    <w:p>
                      <w:pPr>
                        <w:spacing w:line="360" w:lineRule="auto"/>
                        <w:ind w:firstLine="567"/>
                        <w:jc w:val="both"/>
                        <w:rPr>
                          <w:szCs w:val="24"/>
                          <w:lang w:eastAsia="lt-LT"/>
                        </w:rPr>
                      </w:pPr>
                      <w:sdt>
                        <w:sdtPr>
                          <w:alias w:val="Numeris"/>
                          <w:tag w:val="nr_1c7e1b9557db45e5a570ecb28497d717"/>
                          <w:lock w:val="sdtLocked"/>
                          <w:richText/>
                        </w:sdtPr>
                        <w:sdtContent>
                          <w:r>
                            <w:rPr>
                              <w:szCs w:val="24"/>
                              <w:lang w:eastAsia="lt-LT"/>
                            </w:rPr>
                            <w:t>17.1</w:t>
                          </w:r>
                        </w:sdtContent>
                      </w:sdt>
                      <w:r>
                        <w:rPr>
                          <w:szCs w:val="24"/>
                          <w:lang w:eastAsia="lt-LT"/>
                        </w:rPr>
                        <w:t>. turėti išduotus veterinarinius patvirtinimus šalinti 1 ir 2 kategorijos bei naikinti 1 ir 2 kategorijos ŠGP Lietuvos Respublikos teritorijoje, jeigu ŠGP pašalina ir sunaikina pats ŠGP tvarkytojas, pagal Valstybinės veterinarinės kontrolės subjektų, išskyrus maisto tvarkymo subjektus, veterinarinio patvirtinimo ir įregistravimo tvarkos aprašo, patvirtinto Valstybinės maisto ir veterinarijos tarnybos direktoriaus 2005 m. kovo 1 d. įsakymu Nr. B1-146 „Dėl Valstybinės veterinarinės kontrolės subjektų, išskyrus maisto tvarkymo subjektus, veterinarinio patvirtinimo ir įregistravimo tvarkos aprašo patvirtinimo“, reikalavimus.  Tuo atveju, jei 1 kategorijos ŠGP naikinimo paslauga perkama iš kitos ŠGP naikinimo paslaugas teikiančios įmonės, reikia turėti ŠGP naikinimo paslaugų pirkimo sutartį su 1 kategorijos ŠGP naikinimo paslaugas teikiančia įmone ir kompetentingos institucijos šiai įmonei išduotą veterinarinį patvirtinimą vykdomai 1 kategorijos ŠGP naikinimo veiklai Lietuvos Respublikos teritorijoje ar kitose ES valstybėse, jei įmonė, iš kurios perkama paslauga, veikia ne Lietuvoje;</w:t>
                      </w:r>
                    </w:p>
                  </w:sdtContent>
                </w:sdt>
                <w:sdt>
                  <w:sdtPr>
                    <w:alias w:val="17.2 pp."/>
                    <w:tag w:val="part_20250a3884dd4df69a002feee7654f47"/>
                    <w:lock w:val="sdtLocked"/>
                    <w:richText/>
                  </w:sdtPr>
                  <w:sdtContent>
                    <w:p>
                      <w:pPr>
                        <w:spacing w:line="360" w:lineRule="auto"/>
                        <w:ind w:firstLine="567"/>
                        <w:jc w:val="both"/>
                        <w:rPr>
                          <w:szCs w:val="24"/>
                          <w:lang w:eastAsia="lt-LT"/>
                        </w:rPr>
                      </w:pPr>
                      <w:sdt>
                        <w:sdtPr>
                          <w:alias w:val="Numeris"/>
                          <w:tag w:val="nr_20250a3884dd4df69a002feee7654f47"/>
                          <w:lock w:val="sdtLocked"/>
                          <w:richText/>
                        </w:sdtPr>
                        <w:sdtContent>
                          <w:r>
                            <w:rPr>
                              <w:szCs w:val="24"/>
                              <w:lang w:eastAsia="lt-LT"/>
                            </w:rPr>
                            <w:t>17.2</w:t>
                          </w:r>
                        </w:sdtContent>
                      </w:sdt>
                      <w:r>
                        <w:rPr>
                          <w:szCs w:val="24"/>
                          <w:lang w:eastAsia="lt-LT"/>
                        </w:rPr>
                        <w:t>. pašalinti ŠGP iš visų ŠGP turėtojų, kurie pateikė užsakymą ŠGP tvarkytojui nepriklausomai nuo ŠGP turėtojo pranešto 1 ir 2 kategorijos ŠGP kiekio ir buvimo vietos;</w:t>
                      </w:r>
                    </w:p>
                  </w:sdtContent>
                </w:sdt>
                <w:sdt>
                  <w:sdtPr>
                    <w:alias w:val="17.3 pp."/>
                    <w:tag w:val="part_2c83361ea69c4197821b8ba326c84ac5"/>
                    <w:lock w:val="sdtLocked"/>
                    <w:richText/>
                  </w:sdtPr>
                  <w:sdtContent>
                    <w:p>
                      <w:pPr>
                        <w:spacing w:line="360" w:lineRule="auto"/>
                        <w:ind w:firstLine="567"/>
                        <w:jc w:val="both"/>
                        <w:rPr>
                          <w:szCs w:val="24"/>
                          <w:lang w:eastAsia="lt-LT"/>
                        </w:rPr>
                      </w:pPr>
                      <w:sdt>
                        <w:sdtPr>
                          <w:alias w:val="Numeris"/>
                          <w:tag w:val="nr_2c83361ea69c4197821b8ba326c84ac5"/>
                          <w:lock w:val="sdtLocked"/>
                          <w:richText/>
                        </w:sdtPr>
                        <w:sdtContent>
                          <w:r>
                            <w:rPr>
                              <w:szCs w:val="24"/>
                              <w:lang w:eastAsia="lt-LT"/>
                            </w:rPr>
                            <w:t>17.3</w:t>
                          </w:r>
                        </w:sdtContent>
                      </w:sdt>
                      <w:r>
                        <w:rPr>
                          <w:szCs w:val="24"/>
                          <w:lang w:eastAsia="lt-LT"/>
                        </w:rPr>
                        <w:t>. užtikrinti tokius pajėgumus, kurie leistų pašalinti ir sunaikinti ne mažesnį 1 ir 2 kategorijos ŠGP kiekį per metus, negu per praėjusių trejų kalendorinių metų laikotarpį pašalinto ir sunaikinto 1 ir 2 kategorijos ŠGP kiekio Lietuvos Respublikoje metinis vidurkis. Šis vidurkis kasmet skelbiamas Nacionalinės mokėjimo agentūros prie Žemės ūkio ministerijos (toliau – Agentūra) svetainėje adresu www.nma.lt;</w:t>
                      </w:r>
                    </w:p>
                  </w:sdtContent>
                </w:sdt>
                <w:sdt>
                  <w:sdtPr>
                    <w:alias w:val="17.4 pp."/>
                    <w:tag w:val="part_e4e9bb431b564f389f79908d802f6a94"/>
                    <w:lock w:val="sdtLocked"/>
                    <w:richText/>
                  </w:sdtPr>
                  <w:sdtContent>
                    <w:p>
                      <w:pPr>
                        <w:spacing w:line="360" w:lineRule="auto"/>
                        <w:ind w:firstLine="567"/>
                        <w:jc w:val="both"/>
                        <w:rPr>
                          <w:szCs w:val="24"/>
                          <w:lang w:eastAsia="lt-LT"/>
                        </w:rPr>
                      </w:pPr>
                      <w:sdt>
                        <w:sdtPr>
                          <w:alias w:val="Numeris"/>
                          <w:tag w:val="nr_e4e9bb431b564f389f79908d802f6a94"/>
                          <w:lock w:val="sdtLocked"/>
                          <w:richText/>
                        </w:sdtPr>
                        <w:sdtContent>
                          <w:r>
                            <w:rPr>
                              <w:szCs w:val="24"/>
                              <w:lang w:eastAsia="lt-LT"/>
                            </w:rPr>
                            <w:t>17.4</w:t>
                          </w:r>
                        </w:sdtContent>
                      </w:sdt>
                      <w:r>
                        <w:rPr>
                          <w:szCs w:val="24"/>
                          <w:lang w:eastAsia="lt-LT"/>
                        </w:rPr>
                        <w:t>. vadovaudamasis ŠGP reglamento 4 straipsnio 4 dalies a punktu, gavęs ŠGP turėtojo pranešimą, nedelsdamas,  bet ne vėliau kaip per 48 val. nuo pranešimo gavimo dienos, išskyrus sekmadienius ir šventines dienas, kurios pradedamos skaičiuoti nuo  kitos dienos, surinkti šių taisyklių 1  priede nurodytus ŠGP iš besikreipiančių ŠGP turėtojų Lietuvos Respublikos teritorijoje;</w:t>
                      </w:r>
                    </w:p>
                  </w:sdtContent>
                </w:sdt>
                <w:sdt>
                  <w:sdtPr>
                    <w:alias w:val="17.5 pp."/>
                    <w:tag w:val="part_01fe50f895314455bb317f2f8abb1a3b"/>
                    <w:lock w:val="sdtLocked"/>
                    <w:richText/>
                  </w:sdtPr>
                  <w:sdtContent>
                    <w:p>
                      <w:pPr>
                        <w:spacing w:line="360" w:lineRule="auto"/>
                        <w:ind w:firstLine="567"/>
                        <w:jc w:val="both"/>
                        <w:rPr>
                          <w:szCs w:val="24"/>
                          <w:lang w:eastAsia="lt-LT"/>
                        </w:rPr>
                      </w:pPr>
                      <w:sdt>
                        <w:sdtPr>
                          <w:alias w:val="Numeris"/>
                          <w:tag w:val="nr_01fe50f895314455bb317f2f8abb1a3b"/>
                          <w:lock w:val="sdtLocked"/>
                          <w:richText/>
                        </w:sdtPr>
                        <w:sdtContent>
                          <w:r>
                            <w:rPr>
                              <w:szCs w:val="24"/>
                              <w:lang w:eastAsia="lt-LT"/>
                            </w:rPr>
                            <w:t>17.5</w:t>
                          </w:r>
                        </w:sdtContent>
                      </w:sdt>
                      <w:r>
                        <w:rPr>
                          <w:szCs w:val="24"/>
                          <w:lang w:eastAsia="lt-LT"/>
                        </w:rPr>
                        <w:t>. pildyti Šalutinių gyvūninių produktų turėtojų pranešimų dėl gyvūnų gaišenų pašalinimo užsakymų registracijos žurnalą (3 priedas), kuriame būtų registruojami visi pateikę užsakymus ŠGP turėtojai, arba žurnale nurodytą  informaciją įrašyti kitomis ŠGP tvarkytojo turimomis priemonėmis;</w:t>
                      </w:r>
                    </w:p>
                  </w:sdtContent>
                </w:sdt>
                <w:sdt>
                  <w:sdtPr>
                    <w:alias w:val="17.6 pp."/>
                    <w:tag w:val="part_f10d75d0255246009e3f04dfe42ae0e4"/>
                    <w:lock w:val="sdtLocked"/>
                    <w:richText/>
                  </w:sdtPr>
                  <w:sdtContent>
                    <w:p>
                      <w:pPr>
                        <w:spacing w:line="360" w:lineRule="auto"/>
                        <w:ind w:firstLine="567"/>
                        <w:jc w:val="both"/>
                        <w:rPr>
                          <w:szCs w:val="24"/>
                          <w:lang w:eastAsia="lt-LT"/>
                        </w:rPr>
                      </w:pPr>
                      <w:sdt>
                        <w:sdtPr>
                          <w:alias w:val="Numeris"/>
                          <w:tag w:val="nr_f10d75d0255246009e3f04dfe42ae0e4"/>
                          <w:lock w:val="sdtLocked"/>
                          <w:richText/>
                        </w:sdtPr>
                        <w:sdtContent>
                          <w:r>
                            <w:rPr>
                              <w:szCs w:val="24"/>
                              <w:lang w:eastAsia="lt-LT"/>
                            </w:rPr>
                            <w:t>17.6</w:t>
                          </w:r>
                        </w:sdtContent>
                      </w:sdt>
                      <w:r>
                        <w:rPr>
                          <w:szCs w:val="24"/>
                          <w:lang w:eastAsia="lt-LT"/>
                        </w:rPr>
                        <w:t>. ne vėliau kaip per 7 kalendorines dienas nuo Gaišenų važtaraščio, kurio forma patvirtinta Valstybinės maisto ir veterinarijos tarnybos direktoriaus 2005 m. spalio 7 d. įsakymu Nr. B1-558 „Dėl šalutinių gyvūninių produktų ir perdirbtų šalutinių gyvūninių produktų bei gaišenų važtaraščių formų, jų pildymo nurodymų patvirtinimo“, išdavimo dienos įvesti į Ūkinių gyvūnų registrą duomenis, nustatytus Ūkinių gyvūnų laikymo vietų registravimo ir jose laikomų ūkinių gyvūnų ženklinimo ir apskaitos tvarkos apraše, patvirtintame Lietuvos Respublikos žemės ūkio ministro 2003 m. birželio 16 d. įsakymu Nr. 3D-234 „Dėl Ūkinių gyvūnų laikymo vietų registravimo ir jose laikomų ūkinių gyvūnų ženklinimo ir apskaitos tvarkos aprašo patvirtinimo“;</w:t>
                      </w:r>
                    </w:p>
                  </w:sdtContent>
                </w:sdt>
                <w:sdt>
                  <w:sdtPr>
                    <w:alias w:val="17.7 pp."/>
                    <w:tag w:val="part_cda9953f6d7c4f9e9952e3334d24863b"/>
                    <w:lock w:val="sdtLocked"/>
                    <w:richText/>
                  </w:sdtPr>
                  <w:sdtContent>
                    <w:p>
                      <w:pPr>
                        <w:spacing w:line="360" w:lineRule="auto"/>
                        <w:ind w:firstLine="567"/>
                        <w:jc w:val="both"/>
                        <w:rPr>
                          <w:szCs w:val="24"/>
                          <w:lang w:eastAsia="lt-LT"/>
                        </w:rPr>
                      </w:pPr>
                      <w:sdt>
                        <w:sdtPr>
                          <w:alias w:val="Numeris"/>
                          <w:tag w:val="nr_cda9953f6d7c4f9e9952e3334d24863b"/>
                          <w:lock w:val="sdtLocked"/>
                          <w:richText/>
                        </w:sdtPr>
                        <w:sdtContent>
                          <w:r>
                            <w:rPr>
                              <w:szCs w:val="24"/>
                              <w:lang w:eastAsia="lt-LT"/>
                            </w:rPr>
                            <w:t>17.7</w:t>
                          </w:r>
                        </w:sdtContent>
                      </w:sdt>
                      <w:r>
                        <w:rPr>
                          <w:szCs w:val="24"/>
                          <w:lang w:eastAsia="lt-LT"/>
                        </w:rPr>
                        <w:t>.  įmonės apskaitą tvarkyti pagal 34 verslo apskaitos standarto „Segmentų atskleidimas finansinėje atskaitomybėje“ reikalavimus, t. y. įmonės apskaitos sistemoje atskirai apskaityti pajamas, sąnaudas, turtą ir įsipareigojimus, kurie susiję su valstybės remiama 1 ir 2 kategorijų (kiekvienos kategorijos atskirai)</w:t>
                      </w:r>
                      <w:r>
                        <w:rPr>
                          <w:lang w:eastAsia="lt-LT"/>
                        </w:rPr>
                        <w:t xml:space="preserve"> </w:t>
                      </w:r>
                      <w:r>
                        <w:rPr>
                          <w:szCs w:val="24"/>
                          <w:lang w:eastAsia="lt-LT"/>
                        </w:rPr>
                        <w:t xml:space="preserve">ŠGP šalinimo ir naikinimo paslaugos teikimo veikla pagal ŠGP tvarkytojo patvirtintą </w:t>
                      </w:r>
                      <w:r>
                        <w:rPr>
                          <w:szCs w:val="24"/>
                        </w:rPr>
                        <w:t>sąnaudų ir pajamų atskyrimo ir paskirstymo metodiką;</w:t>
                      </w:r>
                      <w:r>
                        <w:rPr>
                          <w:szCs w:val="24"/>
                          <w:lang w:eastAsia="lt-LT"/>
                        </w:rPr>
                        <w:t xml:space="preserve"> </w:t>
                      </w:r>
                    </w:p>
                  </w:sdtContent>
                </w:sdt>
                <w:sdt>
                  <w:sdtPr>
                    <w:alias w:val="17.8 pp."/>
                    <w:tag w:val="part_5e66663bc1c749deb67cf01b39643596"/>
                    <w:lock w:val="sdtLocked"/>
                    <w:richText/>
                  </w:sdtPr>
                  <w:sdtContent>
                    <w:p>
                      <w:pPr>
                        <w:spacing w:line="360" w:lineRule="auto"/>
                        <w:ind w:firstLine="567"/>
                        <w:jc w:val="both"/>
                        <w:rPr>
                          <w:b/>
                          <w:bCs/>
                          <w:szCs w:val="24"/>
                        </w:rPr>
                      </w:pPr>
                      <w:sdt>
                        <w:sdtPr>
                          <w:alias w:val="Numeris"/>
                          <w:tag w:val="nr_5e66663bc1c749deb67cf01b39643596"/>
                          <w:lock w:val="sdtLocked"/>
                          <w:richText/>
                        </w:sdtPr>
                        <w:sdtContent>
                          <w:r>
                            <w:rPr>
                              <w:szCs w:val="24"/>
                              <w:lang w:eastAsia="lt-LT"/>
                            </w:rPr>
                            <w:t>17.8</w:t>
                          </w:r>
                        </w:sdtContent>
                      </w:sdt>
                      <w:r>
                        <w:rPr>
                          <w:szCs w:val="24"/>
                          <w:lang w:eastAsia="lt-LT"/>
                        </w:rPr>
                        <w:t xml:space="preserve">. </w:t>
                      </w:r>
                      <w:r>
                        <w:rPr>
                          <w:szCs w:val="24"/>
                        </w:rPr>
                        <w:t xml:space="preserve">viešai skelbti savo įmonės svetainėje vadovo ar kito įgalioto asmens patvirtintą paslaugos kainą už vienos tonos 1 ir 2 kategorijų ŠGP šalinimą ir naikinimą (Eur/t), nurodydamas </w:t>
                      </w:r>
                      <w:r>
                        <w:rPr>
                          <w:szCs w:val="24"/>
                          <w:lang w:val="en-GB"/>
                        </w:rPr>
                        <w:t>pagalbos</w:t>
                      </w:r>
                      <w:r>
                        <w:rPr>
                          <w:b/>
                          <w:bCs/>
                          <w:szCs w:val="24"/>
                          <w:lang w:val="en-GB"/>
                        </w:rPr>
                        <w:t xml:space="preserve"> </w:t>
                      </w:r>
                      <w:r>
                        <w:rPr>
                          <w:szCs w:val="24"/>
                          <w:lang w:val="en-GB"/>
                        </w:rPr>
                        <w:t xml:space="preserve">lėšomis </w:t>
                      </w:r>
                      <w:r>
                        <w:rPr>
                          <w:szCs w:val="24"/>
                        </w:rPr>
                        <w:t xml:space="preserve">kompensuojamą paslaugos už 1 ir 2 kategorijų ŠGP šalinimą ir naikinimą kainą ir priemokos dydį, suderintą su </w:t>
                      </w:r>
                      <w:r>
                        <w:rPr>
                          <w:szCs w:val="24"/>
                          <w:lang w:eastAsia="lt-LT"/>
                        </w:rPr>
                        <w:t>Centru;</w:t>
                      </w:r>
                    </w:p>
                  </w:sdtContent>
                </w:sdt>
                <w:sdt>
                  <w:sdtPr>
                    <w:alias w:val="17.9 pp."/>
                    <w:tag w:val="part_2f4348bca6f3454d85e21afe91977d1d"/>
                    <w:lock w:val="sdtLocked"/>
                    <w:richText/>
                  </w:sdtPr>
                  <w:sdtContent>
                    <w:p>
                      <w:pPr>
                        <w:spacing w:line="360" w:lineRule="auto"/>
                        <w:ind w:firstLine="567"/>
                        <w:jc w:val="both"/>
                        <w:rPr>
                          <w:szCs w:val="24"/>
                          <w:lang w:eastAsia="lt-LT"/>
                        </w:rPr>
                      </w:pPr>
                      <w:sdt>
                        <w:sdtPr>
                          <w:alias w:val="Numeris"/>
                          <w:tag w:val="nr_2f4348bca6f3454d85e21afe91977d1d"/>
                          <w:lock w:val="sdtLocked"/>
                          <w:richText/>
                        </w:sdtPr>
                        <w:sdtContent>
                          <w:r>
                            <w:rPr>
                              <w:szCs w:val="24"/>
                              <w:lang w:eastAsia="lt-LT"/>
                            </w:rPr>
                            <w:t>17.9</w:t>
                          </w:r>
                        </w:sdtContent>
                      </w:sdt>
                      <w:r>
                        <w:rPr>
                          <w:szCs w:val="24"/>
                          <w:lang w:eastAsia="lt-LT"/>
                        </w:rPr>
                        <w:t>. įsitikinti, kad ŠGP turėtojai atitinka taisyklių IV skyriuje nustatytus reikalavimus;</w:t>
                      </w:r>
                    </w:p>
                  </w:sdtContent>
                </w:sdt>
                <w:sdt>
                  <w:sdtPr>
                    <w:alias w:val="17.10 pp."/>
                    <w:tag w:val="part_56b58dc8a3394d1e8e55885765bc78bf"/>
                    <w:lock w:val="sdtLocked"/>
                    <w:richText/>
                  </w:sdtPr>
                  <w:sdtContent>
                    <w:p>
                      <w:pPr>
                        <w:spacing w:line="360" w:lineRule="auto"/>
                        <w:ind w:firstLine="567"/>
                        <w:jc w:val="both"/>
                        <w:rPr>
                          <w:szCs w:val="24"/>
                          <w:lang w:eastAsia="lt-LT"/>
                        </w:rPr>
                      </w:pPr>
                      <w:sdt>
                        <w:sdtPr>
                          <w:alias w:val="Numeris"/>
                          <w:tag w:val="nr_56b58dc8a3394d1e8e55885765bc78bf"/>
                          <w:lock w:val="sdtLocked"/>
                          <w:richText/>
                        </w:sdtPr>
                        <w:sdtContent>
                          <w:r>
                            <w:rPr>
                              <w:szCs w:val="24"/>
                              <w:lang w:eastAsia="lt-LT"/>
                            </w:rPr>
                            <w:t>17.10</w:t>
                          </w:r>
                        </w:sdtContent>
                      </w:sdt>
                      <w:r>
                        <w:rPr>
                          <w:szCs w:val="24"/>
                          <w:lang w:eastAsia="lt-LT"/>
                        </w:rPr>
                        <w:t>. keičiantis ŠGP tvarkytojo rekvizitams, atsiskaitomųjų sąskaitų numeriams ar esant kitiems mažai reikšmingiems paraiškoje nurodytų duomenų pakeitimams, apie tai raštu informuoti Agentūrą;</w:t>
                      </w:r>
                    </w:p>
                  </w:sdtContent>
                </w:sdt>
                <w:sdt>
                  <w:sdtPr>
                    <w:alias w:val="17.11 pp."/>
                    <w:tag w:val="part_e51fe230cf284bc2833b20755832566a"/>
                    <w:lock w:val="sdtLocked"/>
                    <w:richText/>
                  </w:sdtPr>
                  <w:sdtContent>
                    <w:p>
                      <w:pPr>
                        <w:spacing w:line="360" w:lineRule="auto"/>
                        <w:ind w:firstLine="567"/>
                        <w:jc w:val="both"/>
                      </w:pPr>
                      <w:sdt>
                        <w:sdtPr>
                          <w:alias w:val="Numeris"/>
                          <w:tag w:val="nr_e51fe230cf284bc2833b20755832566a"/>
                          <w:lock w:val="sdtLocked"/>
                          <w:richText/>
                        </w:sdtPr>
                        <w:sdtContent>
                          <w:r>
                            <w:rPr>
                              <w:szCs w:val="24"/>
                              <w:lang w:eastAsia="lt-LT"/>
                            </w:rPr>
                            <w:t>17.11</w:t>
                          </w:r>
                        </w:sdtContent>
                      </w:sdt>
                      <w:r>
                        <w:rPr>
                          <w:szCs w:val="24"/>
                          <w:lang w:eastAsia="lt-LT"/>
                        </w:rPr>
                        <w:t>. nedelsiant, bet ne vėliau kaip per 3 d. d., raštu pranešti Agentūrai apie taisyklių 17.1 papunktyje nurodytų dokumentų ir (arba) 17.3 papunktyje nurodytų duomenų pasikeitimus</w:t>
                      </w:r>
                      <w:r>
                        <w:t>;</w:t>
                      </w:r>
                    </w:p>
                  </w:sdtContent>
                </w:sdt>
                <w:sdt>
                  <w:sdtPr>
                    <w:alias w:val="17.12 pp."/>
                    <w:tag w:val="part_72b2facf6d7d4c68ba2fecd94c349793"/>
                    <w:lock w:val="sdtLocked"/>
                    <w:richText/>
                  </w:sdtPr>
                  <w:sdtContent>
                    <w:p>
                      <w:pPr>
                        <w:spacing w:line="360" w:lineRule="auto"/>
                        <w:ind w:firstLine="567"/>
                        <w:jc w:val="both"/>
                        <w:rPr>
                          <w:szCs w:val="24"/>
                          <w:lang w:eastAsia="lt-LT"/>
                        </w:rPr>
                      </w:pPr>
                      <w:sdt>
                        <w:sdtPr>
                          <w:alias w:val="Numeris"/>
                          <w:tag w:val="nr_72b2facf6d7d4c68ba2fecd94c349793"/>
                          <w:lock w:val="sdtLocked"/>
                          <w:richText/>
                        </w:sdtPr>
                        <w:sdtContent>
                          <w:r>
                            <w:rPr>
                              <w:szCs w:val="24"/>
                              <w:lang w:eastAsia="lt-LT"/>
                            </w:rPr>
                            <w:t>17.12</w:t>
                          </w:r>
                        </w:sdtContent>
                      </w:sdt>
                      <w:r>
                        <w:rPr>
                          <w:szCs w:val="24"/>
                          <w:lang w:eastAsia="lt-LT"/>
                        </w:rPr>
                        <w:t xml:space="preserve">. užtikrinti 1 ir 2 kategorijų ŠGP pašalinamą ir sunaikinimą iš ŠGP turėtojo; </w:t>
                      </w:r>
                    </w:p>
                  </w:sdtContent>
                </w:sdt>
                <w:sdt>
                  <w:sdtPr>
                    <w:alias w:val="17.13 pp."/>
                    <w:tag w:val="part_fad44e5e9c3c4f3784bf753127cd2801"/>
                    <w:lock w:val="sdtLocked"/>
                    <w:richText/>
                  </w:sdtPr>
                  <w:sdtContent>
                    <w:p>
                      <w:pPr>
                        <w:spacing w:line="360" w:lineRule="auto"/>
                        <w:ind w:firstLine="567"/>
                        <w:jc w:val="both"/>
                        <w:rPr>
                          <w:szCs w:val="24"/>
                        </w:rPr>
                      </w:pPr>
                      <w:sdt>
                        <w:sdtPr>
                          <w:alias w:val="Numeris"/>
                          <w:tag w:val="nr_fad44e5e9c3c4f3784bf753127cd2801"/>
                          <w:lock w:val="sdtLocked"/>
                          <w:richText/>
                        </w:sdtPr>
                        <w:sdtContent>
                          <w:r>
                            <w:rPr>
                              <w:szCs w:val="24"/>
                              <w:lang w:eastAsia="lt-LT"/>
                            </w:rPr>
                            <w:t>17.13</w:t>
                          </w:r>
                        </w:sdtContent>
                      </w:sdt>
                      <w:r>
                        <w:rPr>
                          <w:szCs w:val="24"/>
                          <w:lang w:eastAsia="lt-LT"/>
                        </w:rPr>
                        <w:t xml:space="preserve">. </w:t>
                      </w:r>
                      <w:r>
                        <w:rPr>
                          <w:szCs w:val="24"/>
                        </w:rPr>
                        <w:t>užtikrinti, kad ūkinio gyvūno gaišena (ŠGP) būtų pasverta ŠGP turėtojo laikymo (buvimo) vietoje ir gaišenos svoris (kg) būtų įrašytas į Gaišenos važtaraštį bei patvirtintas ŠGP turėtojo ir gaišenų vežėjo parašais.</w:t>
                      </w:r>
                      <w:r>
                        <w:t xml:space="preserve"> </w:t>
                      </w:r>
                    </w:p>
                  </w:sdtContent>
                </w:sdt>
              </w:sdtContent>
            </w:sdt>
            <w:sdt>
              <w:sdtPr>
                <w:alias w:val="18 p."/>
                <w:tag w:val="part_0fc765d85081432daaf1d4528ca096d0"/>
                <w:lock w:val="sdtLocked"/>
                <w:richText/>
              </w:sdtPr>
              <w:sdtContent>
                <w:p>
                  <w:pPr>
                    <w:spacing w:line="360" w:lineRule="auto"/>
                    <w:ind w:firstLine="567"/>
                    <w:jc w:val="both"/>
                    <w:textAlignment w:val="baseline"/>
                  </w:pPr>
                  <w:sdt>
                    <w:sdtPr>
                      <w:alias w:val="Numeris"/>
                      <w:tag w:val="nr_0fc765d85081432daaf1d4528ca096d0"/>
                      <w:lock w:val="sdtLocked"/>
                      <w:richText/>
                    </w:sdtPr>
                    <w:sdtContent>
                      <w:r>
                        <w:rPr>
                          <w:szCs w:val="24"/>
                          <w:lang w:eastAsia="lt-LT"/>
                        </w:rPr>
                        <w:t>18</w:t>
                      </w:r>
                    </w:sdtContent>
                  </w:sdt>
                  <w:r>
                    <w:rPr>
                      <w:szCs w:val="24"/>
                      <w:lang w:eastAsia="lt-LT"/>
                    </w:rPr>
                    <w:t>. ŠGP tvarkytojas  ne vėliau kaip iki einamųjų metų gegužės 31 d. privalo Centrui pateikti visą šių taisyklių 8 priede nustatytą informaciją.</w:t>
                  </w:r>
                  <w:r>
                    <w:t xml:space="preserve"> </w:t>
                  </w:r>
                </w:p>
                <w:p/>
              </w:sdtContent>
            </w:sdt>
          </w:sdtContent>
        </w:sdt>
        <w:sdt>
          <w:sdtPr>
            <w:alias w:val="skyrius"/>
            <w:tag w:val="part_cb1ba84b02224511ab1ffd94f7382dc6"/>
            <w:lock w:val="sdtLocked"/>
            <w:richText/>
          </w:sdtPr>
          <w:sdtContent>
            <w:p>
              <w:pPr>
                <w:widowControl w:val="0"/>
                <w:suppressAutoHyphens/>
                <w:jc w:val="center"/>
                <w:rPr>
                  <w:b/>
                  <w:bCs/>
                  <w:caps/>
                </w:rPr>
              </w:pPr>
              <w:sdt>
                <w:sdtPr>
                  <w:alias w:val="Numeris"/>
                  <w:tag w:val="nr_cb1ba84b02224511ab1ffd94f7382dc6"/>
                  <w:lock w:val="sdtLocked"/>
                  <w:richText/>
                </w:sdtPr>
                <w:sdtContent>
                  <w:r>
                    <w:rPr>
                      <w:b/>
                      <w:bCs/>
                      <w:caps/>
                    </w:rPr>
                    <w:t>vi</w:t>
                  </w:r>
                </w:sdtContent>
              </w:sdt>
              <w:r>
                <w:rPr>
                  <w:b/>
                  <w:bCs/>
                  <w:caps/>
                </w:rPr>
                <w:t xml:space="preserve"> skyrius</w:t>
              </w:r>
            </w:p>
            <w:p>
              <w:pPr>
                <w:widowControl w:val="0"/>
                <w:suppressAutoHyphens/>
                <w:jc w:val="center"/>
                <w:rPr>
                  <w:b/>
                  <w:bCs/>
                  <w:caps/>
                </w:rPr>
              </w:pPr>
              <w:sdt>
                <w:sdtPr>
                  <w:alias w:val="Pavadinimas"/>
                  <w:tag w:val="title_cb1ba84b02224511ab1ffd94f7382dc6"/>
                  <w:lock w:val="sdtLocked"/>
                  <w:richText/>
                </w:sdtPr>
                <w:sdtContent>
                  <w:r>
                    <w:rPr>
                      <w:b/>
                      <w:bCs/>
                      <w:caps/>
                    </w:rPr>
                    <w:t>ADMINISTRAVIMO TVARKA</w:t>
                  </w:r>
                </w:sdtContent>
              </w:sdt>
            </w:p>
            <w:p>
              <w:pPr>
                <w:widowControl w:val="0"/>
                <w:suppressAutoHyphens/>
                <w:jc w:val="center"/>
                <w:rPr>
                  <w:caps/>
                </w:rPr>
              </w:pPr>
            </w:p>
            <w:sdt>
              <w:sdtPr>
                <w:alias w:val="19 p."/>
                <w:tag w:val="part_9c4182a492bc48f6a5952264edf87037"/>
                <w:lock w:val="sdtLocked"/>
                <w:richText/>
              </w:sdtPr>
              <w:sdtContent>
                <w:p>
                  <w:pPr>
                    <w:overflowPunct w:val="0"/>
                    <w:spacing w:line="360" w:lineRule="auto"/>
                    <w:ind w:firstLine="567"/>
                    <w:jc w:val="both"/>
                    <w:textAlignment w:val="baseline"/>
                    <w:rPr>
                      <w:szCs w:val="24"/>
                    </w:rPr>
                  </w:pPr>
                  <w:sdt>
                    <w:sdtPr>
                      <w:alias w:val="Numeris"/>
                      <w:tag w:val="nr_9c4182a492bc48f6a5952264edf87037"/>
                      <w:lock w:val="sdtLocked"/>
                      <w:richText/>
                    </w:sdtPr>
                    <w:sdtContent>
                      <w:r>
                        <w:rPr>
                          <w:szCs w:val="24"/>
                          <w:lang w:eastAsia="lt-LT"/>
                        </w:rPr>
                        <w:t>19</w:t>
                      </w:r>
                    </w:sdtContent>
                  </w:sdt>
                  <w:r>
                    <w:rPr>
                      <w:szCs w:val="24"/>
                      <w:lang w:eastAsia="lt-LT"/>
                    </w:rPr>
                    <w:t>.</w:t>
                  </w:r>
                  <w:r>
                    <w:rPr>
                      <w:szCs w:val="24"/>
                      <w:lang w:val="en-GB"/>
                    </w:rPr>
                    <w:t xml:space="preserve"> Vadovaujantis </w:t>
                  </w:r>
                  <w:r>
                    <w:rPr>
                      <w:szCs w:val="24"/>
                      <w:lang w:val="en-GB" w:eastAsia="lt-LT"/>
                    </w:rPr>
                    <w:t>Reglamento (ES) Nr.</w:t>
                  </w:r>
                  <w:r>
                    <w:rPr>
                      <w:szCs w:val="24"/>
                      <w:lang w:val="en-GB"/>
                    </w:rPr>
                    <w:t xml:space="preserve"> 2022/2472 27 straipsnio 4 dalimi, pagalba ŠGP turėtojui skiriama natūra, o valstybės pagalbos lėšos išmokamos kaip patirtų išlaidų už 1 ir 2 kategorijų ŠGP šalinimą ir naikinimą kompensacija (toliau – kompensacija) ŠGP tvarkytojui.</w:t>
                  </w:r>
                  <w:r>
                    <w:t xml:space="preserve"> </w:t>
                  </w:r>
                </w:p>
              </w:sdtContent>
            </w:sdt>
            <w:sdt>
              <w:sdtPr>
                <w:alias w:val="20 p."/>
                <w:tag w:val="part_5170103666a54bedb90a29e82510d3fe"/>
                <w:lock w:val="sdtLocked"/>
                <w:richText/>
              </w:sdtPr>
              <w:sdtContent>
                <w:p>
                  <w:pPr>
                    <w:tabs>
                      <w:tab w:val="left" w:pos="1134"/>
                    </w:tabs>
                    <w:suppressAutoHyphens/>
                    <w:spacing w:line="360" w:lineRule="auto"/>
                    <w:ind w:firstLine="567"/>
                    <w:jc w:val="both"/>
                    <w:rPr>
                      <w:szCs w:val="24"/>
                    </w:rPr>
                  </w:pPr>
                  <w:sdt>
                    <w:sdtPr>
                      <w:alias w:val="Numeris"/>
                      <w:tag w:val="nr_5170103666a54bedb90a29e82510d3fe"/>
                      <w:lock w:val="sdtLocked"/>
                      <w:richText/>
                    </w:sdtPr>
                    <w:sdtContent>
                      <w:r>
                        <w:rPr>
                          <w:szCs w:val="24"/>
                          <w:lang w:eastAsia="lt-LT"/>
                        </w:rPr>
                        <w:t>20</w:t>
                      </w:r>
                    </w:sdtContent>
                  </w:sdt>
                  <w:r>
                    <w:rPr>
                      <w:szCs w:val="24"/>
                      <w:lang w:eastAsia="lt-LT"/>
                    </w:rPr>
                    <w:t xml:space="preserve">. Pagal šių taisyklių reikalavimus pretenduojantis gauti kompensaciją už ŠGP pašalinimą ir sunaikinimą </w:t>
                  </w:r>
                  <w:r>
                    <w:t xml:space="preserve"> </w:t>
                  </w:r>
                  <w:r>
                    <w:rPr>
                      <w:szCs w:val="24"/>
                      <w:lang w:eastAsia="lt-LT"/>
                    </w:rPr>
                    <w:t xml:space="preserve">ŠGP tvarkytojas turi Agentūrai pateikti </w:t>
                  </w:r>
                  <w:r>
                    <w:rPr>
                      <w:szCs w:val="24"/>
                    </w:rPr>
                    <w:t>paraišką (4 priedas), užpildytą kompiuteriu, lietuvių kalba ir pasirašytą ŠGP tvarkytojo vadovo ar vadovo įgalioto asmens, bei paraiškoje nurodytus dokumentus.</w:t>
                  </w:r>
                </w:p>
              </w:sdtContent>
            </w:sdt>
            <w:sdt>
              <w:sdtPr>
                <w:alias w:val="21 p."/>
                <w:tag w:val="part_2afdf78aa09645b5bf26b70f4e7d4a00"/>
                <w:lock w:val="sdtLocked"/>
                <w:richText/>
              </w:sdtPr>
              <w:sdtContent>
                <w:p>
                  <w:pPr>
                    <w:tabs>
                      <w:tab w:val="left" w:pos="567"/>
                    </w:tabs>
                    <w:suppressAutoHyphens/>
                    <w:spacing w:line="360" w:lineRule="auto"/>
                    <w:ind w:firstLine="567"/>
                    <w:jc w:val="both"/>
                    <w:rPr>
                      <w:szCs w:val="24"/>
                    </w:rPr>
                  </w:pPr>
                  <w:sdt>
                    <w:sdtPr>
                      <w:alias w:val="Numeris"/>
                      <w:tag w:val="nr_2afdf78aa09645b5bf26b70f4e7d4a00"/>
                      <w:lock w:val="sdtLocked"/>
                      <w:richText/>
                    </w:sdtPr>
                    <w:sdtContent>
                      <w:r>
                        <w:rPr>
                          <w:szCs w:val="24"/>
                        </w:rPr>
                        <w:t>21</w:t>
                      </w:r>
                    </w:sdtContent>
                  </w:sdt>
                  <w:r>
                    <w:rPr>
                      <w:szCs w:val="24"/>
                    </w:rPr>
                    <w:t xml:space="preserve">. Užpildyta paraiška ir pridedami dokumentai  pateikiami vienu iš būdų:</w:t>
                  </w:r>
                </w:p>
                <w:sdt>
                  <w:sdtPr>
                    <w:alias w:val="21.1 pp."/>
                    <w:tag w:val="part_950068276d5b4becbe8f67db7c7b0142"/>
                    <w:lock w:val="sdtLocked"/>
                    <w:richText/>
                  </w:sdtPr>
                  <w:sdtContent>
                    <w:p>
                      <w:pPr>
                        <w:tabs>
                          <w:tab w:val="left" w:pos="1134"/>
                        </w:tabs>
                        <w:suppressAutoHyphens/>
                        <w:spacing w:line="360" w:lineRule="auto"/>
                        <w:ind w:firstLine="567"/>
                        <w:jc w:val="both"/>
                        <w:rPr>
                          <w:szCs w:val="24"/>
                        </w:rPr>
                      </w:pPr>
                      <w:sdt>
                        <w:sdtPr>
                          <w:alias w:val="Numeris"/>
                          <w:tag w:val="nr_950068276d5b4becbe8f67db7c7b0142"/>
                          <w:lock w:val="sdtLocked"/>
                          <w:richText/>
                        </w:sdtPr>
                        <w:sdtContent>
                          <w:r>
                            <w:rPr>
                              <w:szCs w:val="24"/>
                            </w:rPr>
                            <w:t>21.1</w:t>
                          </w:r>
                        </w:sdtContent>
                      </w:sdt>
                      <w:r>
                        <w:rPr>
                          <w:szCs w:val="24"/>
                        </w:rPr>
                        <w:t>. asmeniškai arba per įgaliotą asmenį, arba atsiunčiami per kurjerį, arba paštu registruota pašto siunta Agentūrai (adresas: Blindžių g. 17, 08111 Vilnius);</w:t>
                      </w:r>
                    </w:p>
                  </w:sdtContent>
                </w:sdt>
                <w:sdt>
                  <w:sdtPr>
                    <w:alias w:val="21.2 pp."/>
                    <w:tag w:val="part_001503aacc634928aef9910f46f24774"/>
                    <w:lock w:val="sdtLocked"/>
                    <w:richText/>
                  </w:sdtPr>
                  <w:sdtContent>
                    <w:p>
                      <w:pPr>
                        <w:tabs>
                          <w:tab w:val="left" w:pos="1134"/>
                        </w:tabs>
                        <w:suppressAutoHyphens/>
                        <w:spacing w:line="360" w:lineRule="auto"/>
                        <w:ind w:firstLine="567"/>
                        <w:jc w:val="both"/>
                        <w:rPr>
                          <w:szCs w:val="24"/>
                        </w:rPr>
                      </w:pPr>
                      <w:sdt>
                        <w:sdtPr>
                          <w:alias w:val="Numeris"/>
                          <w:tag w:val="nr_001503aacc634928aef9910f46f24774"/>
                          <w:lock w:val="sdtLocked"/>
                          <w:richText/>
                        </w:sdtPr>
                        <w:sdtContent>
                          <w:r>
                            <w:rPr>
                              <w:szCs w:val="24"/>
                            </w:rPr>
                            <w:t>21.2</w:t>
                          </w:r>
                        </w:sdtContent>
                      </w:sdt>
                      <w:r>
                        <w:rPr>
                          <w:szCs w:val="24"/>
                        </w:rPr>
                        <w:t>. elektronine forma, pateikiant užpildytus dokumentus (suformuotus į bylą ir sunumeruotus PDF formatu) ir paraiškos formą (</w:t>
                      </w:r>
                      <w:r>
                        <w:rPr>
                          <w:i/>
                          <w:szCs w:val="24"/>
                        </w:rPr>
                        <w:t>doc</w:t>
                      </w:r>
                      <w:r>
                        <w:rPr>
                          <w:szCs w:val="24"/>
                        </w:rPr>
                        <w:t xml:space="preserve"> arba </w:t>
                      </w:r>
                      <w:r>
                        <w:rPr>
                          <w:i/>
                          <w:szCs w:val="24"/>
                        </w:rPr>
                        <w:t>docx</w:t>
                      </w:r>
                      <w:r>
                        <w:rPr>
                          <w:szCs w:val="24"/>
                        </w:rPr>
                        <w:t xml:space="preserve"> formatu). Šiuo būdu teikiami dokumentai turi būti pasirašyti kvalifikuotu elektroniniu parašu arba suformuoti elektroninėmis priemonėmis, kurios leidžia užtikrinti teksto vientisumą ir nepakeičiamumą, ir pateikiami Agentūrai el. p. dokumentai@nma.lt.</w:t>
                      </w:r>
                    </w:p>
                  </w:sdtContent>
                </w:sdt>
              </w:sdtContent>
            </w:sdt>
            <w:sdt>
              <w:sdtPr>
                <w:alias w:val="22 p."/>
                <w:tag w:val="part_41087f248b16447abfff8e0ca3e85e68"/>
                <w:lock w:val="sdtLocked"/>
                <w:richText/>
              </w:sdtPr>
              <w:sdtContent>
                <w:p>
                  <w:pPr>
                    <w:tabs>
                      <w:tab w:val="left" w:pos="993"/>
                    </w:tabs>
                    <w:suppressAutoHyphens/>
                    <w:spacing w:line="360" w:lineRule="auto"/>
                    <w:ind w:firstLine="567"/>
                    <w:jc w:val="both"/>
                    <w:rPr>
                      <w:szCs w:val="24"/>
                    </w:rPr>
                  </w:pPr>
                  <w:sdt>
                    <w:sdtPr>
                      <w:alias w:val="Numeris"/>
                      <w:tag w:val="nr_41087f248b16447abfff8e0ca3e85e68"/>
                      <w:lock w:val="sdtLocked"/>
                      <w:richText/>
                    </w:sdtPr>
                    <w:sdtContent>
                      <w:r>
                        <w:rPr>
                          <w:szCs w:val="24"/>
                        </w:rPr>
                        <w:t>22</w:t>
                      </w:r>
                    </w:sdtContent>
                  </w:sdt>
                  <w:r>
                    <w:rPr>
                      <w:szCs w:val="24"/>
                    </w:rPr>
                    <w:t>. Agentūra:</w:t>
                  </w:r>
                </w:p>
                <w:sdt>
                  <w:sdtPr>
                    <w:alias w:val="22.1 pp."/>
                    <w:tag w:val="part_0d46ca99a88146849adb6268d09ed52f"/>
                    <w:lock w:val="sdtLocked"/>
                    <w:richText/>
                  </w:sdtPr>
                  <w:sdtContent>
                    <w:p>
                      <w:pPr>
                        <w:tabs>
                          <w:tab w:val="left" w:pos="567"/>
                        </w:tabs>
                        <w:suppressAutoHyphens/>
                        <w:spacing w:line="360" w:lineRule="auto"/>
                        <w:ind w:firstLine="567"/>
                        <w:jc w:val="both"/>
                        <w:rPr>
                          <w:szCs w:val="24"/>
                        </w:rPr>
                      </w:pPr>
                      <w:sdt>
                        <w:sdtPr>
                          <w:alias w:val="Numeris"/>
                          <w:tag w:val="nr_0d46ca99a88146849adb6268d09ed52f"/>
                          <w:lock w:val="sdtLocked"/>
                          <w:richText/>
                        </w:sdtPr>
                        <w:sdtContent>
                          <w:r>
                            <w:rPr>
                              <w:szCs w:val="24"/>
                            </w:rPr>
                            <w:t>22.1</w:t>
                          </w:r>
                        </w:sdtContent>
                      </w:sdt>
                      <w:r>
                        <w:rPr>
                          <w:szCs w:val="24"/>
                        </w:rPr>
                        <w:t>. priėmusi paraišką, per 20 darbo dienų įvertina, ar ŠGP tvarkytojas atitinka taisyklių 17.1 ir 17.3 papunkčių reikalavimus</w:t>
                      </w:r>
                      <w:r>
                        <w:t xml:space="preserve">. Į paraiškos vertinimo terminą neįskaičiuojamas paklausimų ŠGP tvarkytojui, prašymo dėl papildomos informacijos pateikimo ir atsakymo gavimo terminas. Siunčiant paklausimus ŠGP tvarkytojui, laiškas laikomas įteiktu praėjus 2 darbo dienoms po jo išsiuntimo paštu arba išsiuntimo dieną, kai paklausimas siunčiamas elektroniniu paštu ar per informacines sistemas, jeigu asmuo sutiko, kad informacija jam bus teikiama tokiu būdu. </w:t>
                      </w:r>
                      <w:r>
                        <w:rPr>
                          <w:szCs w:val="24"/>
                        </w:rPr>
                        <w:t>Agentūra turi teisę paprašyti ŠGP tvarkytojo pateikti papildomų duomenų, susijusių su teikiama paraiška. Jeigu ŠGP tvarkytojas per Agentūros nustatytą laiką nepateikia prašomų papildomų duomenų, Agentūra paraišką atmeta ir raštu informuoja ŠGP tvarkytoją apie jo netinkamumą, nurodydama paraiškos atmetimo priežastis;</w:t>
                      </w:r>
                    </w:p>
                  </w:sdtContent>
                </w:sdt>
                <w:sdt>
                  <w:sdtPr>
                    <w:alias w:val="22.2 pp."/>
                    <w:tag w:val="part_43cecac606ec4ecaa9cd1195f698ee33"/>
                    <w:lock w:val="sdtLocked"/>
                    <w:richText/>
                  </w:sdtPr>
                  <w:sdtContent>
                    <w:p>
                      <w:pPr>
                        <w:tabs>
                          <w:tab w:val="left" w:pos="567"/>
                        </w:tabs>
                        <w:spacing w:line="360" w:lineRule="auto"/>
                        <w:ind w:firstLine="567"/>
                        <w:jc w:val="both"/>
                        <w:rPr>
                          <w:lang w:eastAsia="lt-LT"/>
                        </w:rPr>
                      </w:pPr>
                      <w:sdt>
                        <w:sdtPr>
                          <w:alias w:val="Numeris"/>
                          <w:tag w:val="nr_43cecac606ec4ecaa9cd1195f698ee33"/>
                          <w:lock w:val="sdtLocked"/>
                          <w:richText/>
                        </w:sdtPr>
                        <w:sdtContent>
                          <w:r>
                            <w:rPr>
                              <w:szCs w:val="24"/>
                            </w:rPr>
                            <w:t>22.</w:t>
                          </w:r>
                          <w:r>
                            <w:rPr>
                              <w:lang w:eastAsia="lt-LT"/>
                            </w:rPr>
                            <w:t>2</w:t>
                          </w:r>
                        </w:sdtContent>
                      </w:sdt>
                      <w:r>
                        <w:rPr>
                          <w:lang w:eastAsia="lt-LT"/>
                        </w:rPr>
                        <w:t>. dėl ŠGP tvarkytojo tinkamumo gauti kompensaciją raštu informuoja ŠGP tvarkytoją ir Ministeriją;</w:t>
                      </w:r>
                    </w:p>
                  </w:sdtContent>
                </w:sdt>
                <w:sdt>
                  <w:sdtPr>
                    <w:alias w:val="22.3 pp."/>
                    <w:tag w:val="part_338aa988ca2a4b18bea74dcbe652459e"/>
                    <w:lock w:val="sdtLocked"/>
                    <w:richText/>
                  </w:sdtPr>
                  <w:sdtContent>
                    <w:p>
                      <w:pPr>
                        <w:tabs>
                          <w:tab w:val="left" w:pos="567"/>
                        </w:tabs>
                        <w:spacing w:line="360" w:lineRule="auto"/>
                        <w:ind w:firstLine="567"/>
                        <w:jc w:val="both"/>
                        <w:rPr>
                          <w:strike/>
                          <w:lang w:eastAsia="lt-LT"/>
                        </w:rPr>
                      </w:pPr>
                      <w:sdt>
                        <w:sdtPr>
                          <w:alias w:val="Numeris"/>
                          <w:tag w:val="nr_338aa988ca2a4b18bea74dcbe652459e"/>
                          <w:lock w:val="sdtLocked"/>
                          <w:richText/>
                        </w:sdtPr>
                        <w:sdtContent>
                          <w:r>
                            <w:rPr>
                              <w:szCs w:val="24"/>
                            </w:rPr>
                            <w:t>22.</w:t>
                          </w:r>
                          <w:r>
                            <w:rPr>
                              <w:lang w:eastAsia="lt-LT"/>
                            </w:rPr>
                            <w:t>3</w:t>
                          </w:r>
                        </w:sdtContent>
                      </w:sdt>
                      <w:r>
                        <w:rPr>
                          <w:lang w:eastAsia="lt-LT"/>
                        </w:rPr>
                        <w:t xml:space="preserve">. savo nustatyta tvarka pagalbos teikimo laikotarpiu tikrina tinkamais pripažintų ŠGP tvarkytojų atitiktį  </w:t>
                      </w:r>
                      <w:r>
                        <w:rPr>
                          <w:szCs w:val="24"/>
                        </w:rPr>
                        <w:t>taisyklių 17.1 ir 17.3 papunkčių reikalavimams.</w:t>
                      </w:r>
                    </w:p>
                  </w:sdtContent>
                </w:sdt>
              </w:sdtContent>
            </w:sdt>
            <w:sdt>
              <w:sdtPr>
                <w:alias w:val="23 p."/>
                <w:tag w:val="part_302f90aae93e45e5aa746b5119414196"/>
                <w:lock w:val="sdtLocked"/>
                <w:richText/>
              </w:sdtPr>
              <w:sdtContent>
                <w:p>
                  <w:pPr>
                    <w:tabs>
                      <w:tab w:val="left" w:pos="993"/>
                    </w:tabs>
                    <w:suppressAutoHyphens/>
                    <w:spacing w:line="360" w:lineRule="auto"/>
                    <w:ind w:firstLine="567"/>
                    <w:jc w:val="both"/>
                  </w:pPr>
                  <w:sdt>
                    <w:sdtPr>
                      <w:alias w:val="Numeris"/>
                      <w:tag w:val="nr_302f90aae93e45e5aa746b5119414196"/>
                      <w:lock w:val="sdtLocked"/>
                      <w:richText/>
                    </w:sdtPr>
                    <w:sdtContent>
                      <w:r>
                        <w:rPr>
                          <w:szCs w:val="24"/>
                        </w:rPr>
                        <w:t>23</w:t>
                      </w:r>
                    </w:sdtContent>
                  </w:sdt>
                  <w:r>
                    <w:rPr>
                      <w:szCs w:val="24"/>
                    </w:rPr>
                    <w:t xml:space="preserve">. Tinkamu gauti kompensaciją pripažintas ŠGP tvarkytojas, patyręs ŠGP šalinimo ir naikinimo išlaidų, </w:t>
                  </w:r>
                  <w:r>
                    <w:rPr>
                      <w:szCs w:val="24"/>
                      <w:lang w:eastAsia="lt-LT"/>
                    </w:rPr>
                    <w:t>iki kiekvieno mėnesio 10 dienos Agentūrai per ŽŪMIS informacinę sistemą arba el. p. nacparama@nma.lt pateikia Pažymą apie lėšų poreikį (5 priedas) už praėjusį mėnesį pašalintus ir sunaikintus ŠGP kiekius ir Pašalintų ir sunaikintų gyvūnų ataskaitinio mėnesio suvestinę (6 priedas) (</w:t>
                  </w:r>
                  <w:r>
                    <w:rPr>
                      <w:i/>
                      <w:iCs/>
                      <w:szCs w:val="24"/>
                      <w:lang w:eastAsia="lt-LT"/>
                    </w:rPr>
                    <w:t>Excel</w:t>
                  </w:r>
                  <w:r>
                    <w:rPr>
                      <w:szCs w:val="24"/>
                      <w:lang w:eastAsia="lt-LT"/>
                    </w:rPr>
                    <w:t xml:space="preserve"> formatu). Pažymos apie lėšų poreikį ir Pašalintų ir sunaikintų gyvūnų ataskaitinio mėnesio suvestinės duomenys turi sutapti. </w:t>
                  </w:r>
                </w:p>
              </w:sdtContent>
            </w:sdt>
            <w:sdt>
              <w:sdtPr>
                <w:alias w:val="24 p."/>
                <w:tag w:val="part_eb3b59f08a9a4ec5ae2f00b9a1bbe650"/>
                <w:lock w:val="sdtLocked"/>
                <w:richText/>
              </w:sdtPr>
              <w:sdtContent>
                <w:p>
                  <w:pPr>
                    <w:overflowPunct w:val="0"/>
                    <w:spacing w:line="360" w:lineRule="auto"/>
                    <w:ind w:firstLine="567"/>
                    <w:jc w:val="both"/>
                    <w:textAlignment w:val="baseline"/>
                    <w:rPr>
                      <w:szCs w:val="24"/>
                      <w:lang w:val="en-GB" w:eastAsia="lt-LT"/>
                    </w:rPr>
                  </w:pPr>
                  <w:sdt>
                    <w:sdtPr>
                      <w:alias w:val="Numeris"/>
                      <w:tag w:val="nr_eb3b59f08a9a4ec5ae2f00b9a1bbe650"/>
                      <w:lock w:val="sdtLocked"/>
                      <w:richText/>
                    </w:sdtPr>
                    <w:sdtContent>
                      <w:r>
                        <w:rPr>
                          <w:szCs w:val="24"/>
                          <w:lang w:val="en-GB" w:eastAsia="lt-LT"/>
                        </w:rPr>
                        <w:t>24</w:t>
                      </w:r>
                    </w:sdtContent>
                  </w:sdt>
                  <w:r>
                    <w:rPr>
                      <w:szCs w:val="24"/>
                      <w:lang w:val="en-GB" w:eastAsia="lt-LT"/>
                    </w:rPr>
                    <w:t xml:space="preserve">. Agentūra, gavusi taisyklių  23 punkte nurodytus dokumentus iš ŠGP tvarkytojų (taisyklių 5, 6 priedai):</w:t>
                  </w:r>
                </w:p>
                <w:sdt>
                  <w:sdtPr>
                    <w:alias w:val="24.1 pp."/>
                    <w:tag w:val="part_19be51541ed445c89de00e4037aa5cb6"/>
                    <w:lock w:val="sdtLocked"/>
                    <w:richText/>
                  </w:sdtPr>
                  <w:sdtContent>
                    <w:p>
                      <w:pPr>
                        <w:overflowPunct w:val="0"/>
                        <w:spacing w:line="360" w:lineRule="auto"/>
                        <w:ind w:firstLine="567"/>
                        <w:jc w:val="both"/>
                        <w:textAlignment w:val="baseline"/>
                        <w:rPr>
                          <w:szCs w:val="24"/>
                          <w:lang w:val="en-GB" w:eastAsia="lt-LT"/>
                        </w:rPr>
                      </w:pPr>
                      <w:sdt>
                        <w:sdtPr>
                          <w:alias w:val="Numeris"/>
                          <w:tag w:val="nr_19be51541ed445c89de00e4037aa5cb6"/>
                          <w:lock w:val="sdtLocked"/>
                          <w:richText/>
                        </w:sdtPr>
                        <w:sdtContent>
                          <w:r>
                            <w:rPr>
                              <w:szCs w:val="24"/>
                              <w:lang w:val="en-GB" w:eastAsia="lt-LT"/>
                            </w:rPr>
                            <w:t>24.1</w:t>
                          </w:r>
                        </w:sdtContent>
                      </w:sdt>
                      <w:r>
                        <w:rPr>
                          <w:szCs w:val="24"/>
                          <w:lang w:val="en-GB" w:eastAsia="lt-LT"/>
                        </w:rPr>
                        <w:t>. įsitikina, ar ŠGP tvarkytojas užtikrina 1 ir 2 kategorijų ŠGP pašalinimą ir sunaikinimą iš ŠGP turėtojo;</w:t>
                      </w:r>
                    </w:p>
                  </w:sdtContent>
                </w:sdt>
                <w:sdt>
                  <w:sdtPr>
                    <w:alias w:val="24.2 pp."/>
                    <w:tag w:val="part_c96cd2ed118044409447ad06e93f5cac"/>
                    <w:lock w:val="sdtLocked"/>
                    <w:richText/>
                  </w:sdtPr>
                  <w:sdtContent>
                    <w:p>
                      <w:pPr>
                        <w:overflowPunct w:val="0"/>
                        <w:spacing w:line="360" w:lineRule="auto"/>
                        <w:ind w:firstLine="567"/>
                        <w:jc w:val="both"/>
                        <w:textAlignment w:val="baseline"/>
                        <w:rPr>
                          <w:szCs w:val="24"/>
                        </w:rPr>
                      </w:pPr>
                      <w:sdt>
                        <w:sdtPr>
                          <w:alias w:val="Numeris"/>
                          <w:tag w:val="nr_c96cd2ed118044409447ad06e93f5cac"/>
                          <w:lock w:val="sdtLocked"/>
                          <w:richText/>
                        </w:sdtPr>
                        <w:sdtContent>
                          <w:r>
                            <w:rPr>
                              <w:szCs w:val="24"/>
                            </w:rPr>
                            <w:t>24.2</w:t>
                          </w:r>
                        </w:sdtContent>
                      </w:sdt>
                      <w:r>
                        <w:rPr>
                          <w:szCs w:val="24"/>
                        </w:rPr>
                        <w:t xml:space="preserve">. </w:t>
                      </w:r>
                      <w:r>
                        <w:rPr>
                          <w:color w:val="000000"/>
                          <w:szCs w:val="24"/>
                        </w:rPr>
                        <w:t>gavusi iš Centro informaciją</w:t>
                      </w:r>
                      <w:r>
                        <w:rPr>
                          <w:szCs w:val="24"/>
                        </w:rPr>
                        <w:t xml:space="preserve"> įsitikina, ar ŠGP tvarkytojas viešai skelbia  šių taisyklių 17.8 papunktyje nurodytą informaciją; </w:t>
                      </w:r>
                    </w:p>
                  </w:sdtContent>
                </w:sdt>
                <w:sdt>
                  <w:sdtPr>
                    <w:alias w:val="24.3 pp."/>
                    <w:tag w:val="part_b8c45f48648f47a5a23fcb7be40e7554"/>
                    <w:lock w:val="sdtLocked"/>
                    <w:richText/>
                  </w:sdtPr>
                  <w:sdtContent>
                    <w:p>
                      <w:pPr>
                        <w:overflowPunct w:val="0"/>
                        <w:spacing w:line="360" w:lineRule="auto"/>
                        <w:ind w:firstLine="567"/>
                        <w:jc w:val="both"/>
                        <w:textAlignment w:val="baseline"/>
                        <w:rPr>
                          <w:spacing w:val="-4"/>
                          <w:szCs w:val="24"/>
                          <w:lang w:val="en-GB" w:eastAsia="lt-LT"/>
                        </w:rPr>
                      </w:pPr>
                      <w:sdt>
                        <w:sdtPr>
                          <w:alias w:val="Numeris"/>
                          <w:tag w:val="nr_b8c45f48648f47a5a23fcb7be40e7554"/>
                          <w:lock w:val="sdtLocked"/>
                          <w:richText/>
                        </w:sdtPr>
                        <w:sdtContent>
                          <w:r>
                            <w:rPr>
                              <w:spacing w:val="-4"/>
                              <w:szCs w:val="24"/>
                              <w:lang w:val="en-GB" w:eastAsia="lt-LT"/>
                            </w:rPr>
                            <w:t>24.3</w:t>
                          </w:r>
                        </w:sdtContent>
                      </w:sdt>
                      <w:r>
                        <w:rPr>
                          <w:spacing w:val="-4"/>
                          <w:szCs w:val="24"/>
                          <w:lang w:val="en-GB" w:eastAsia="lt-LT"/>
                        </w:rPr>
                        <w:t xml:space="preserve">.  atrankos būdu atsirenka ir per 15 darbo dienų patikrina ne mažiau kaip 5 proc. Pašalintų ir sunaikintų gyvūnų ataskaitinio mėnesio suvestinėje nurodytų duomenų, juos lygindama su Ūkinių gyvūnų registro (toliau – ŪGR) duomenimis; </w:t>
                      </w:r>
                    </w:p>
                  </w:sdtContent>
                </w:sdt>
                <w:sdt>
                  <w:sdtPr>
                    <w:alias w:val="24.4 pp."/>
                    <w:tag w:val="part_fbd7a25994f34d8cbc21c54ed1de46b2"/>
                    <w:lock w:val="sdtLocked"/>
                    <w:richText/>
                  </w:sdtPr>
                  <w:sdtContent>
                    <w:p>
                      <w:pPr>
                        <w:overflowPunct w:val="0"/>
                        <w:spacing w:line="360" w:lineRule="auto"/>
                        <w:ind w:firstLine="567"/>
                        <w:jc w:val="both"/>
                        <w:textAlignment w:val="baseline"/>
                        <w:rPr>
                          <w:szCs w:val="24"/>
                          <w:lang w:val="en-GB"/>
                        </w:rPr>
                      </w:pPr>
                      <w:sdt>
                        <w:sdtPr>
                          <w:alias w:val="Numeris"/>
                          <w:tag w:val="nr_fbd7a25994f34d8cbc21c54ed1de46b2"/>
                          <w:lock w:val="sdtLocked"/>
                          <w:richText/>
                        </w:sdtPr>
                        <w:sdtContent>
                          <w:r>
                            <w:rPr>
                              <w:spacing w:val="-4"/>
                              <w:szCs w:val="24"/>
                              <w:lang w:val="en-GB" w:eastAsia="lt-LT"/>
                            </w:rPr>
                            <w:t>24.4</w:t>
                          </w:r>
                        </w:sdtContent>
                      </w:sdt>
                      <w:r>
                        <w:rPr>
                          <w:spacing w:val="-4"/>
                          <w:szCs w:val="24"/>
                          <w:lang w:val="en-GB" w:eastAsia="lt-LT"/>
                        </w:rPr>
                        <w:t xml:space="preserve">. siekdama įsitikinti, kad iš </w:t>
                      </w:r>
                      <w:r>
                        <w:rPr>
                          <w:szCs w:val="24"/>
                          <w:lang w:val="en-GB"/>
                        </w:rPr>
                        <w:t xml:space="preserve">ŠGP turėtojo pašalinti ir sunaikinti 2 kategorijos ŠGP priskiriamų bandomis registruotų ŪGR ūkinių gyvūnų (kiaulių ir paukščių) gaišenų kiekiai (vnt.) ir svoriai (kg) atitinka gaišenų, priskiriamų 2 kategorijos ŠGP, už kurių sunaikinimą ŠGP turėtojas  sumokėjo 25 proc. sunaikinimo paslaugos kainos, kiekius ir svorius, paprašo ŠGP tvarkytojo pateikti dokumentus, patvirtinančius, kad ŠGP turėtojas apmokėjo ar įsipareigojo per nurodytą sąskaitoje faktūroje terminą apmokėti ŠGP tvarkytojui 25 proc. 2 kategorijos ŠGP sunaikinimo išlaidų; </w:t>
                      </w:r>
                    </w:p>
                  </w:sdtContent>
                </w:sdt>
                <w:sdt>
                  <w:sdtPr>
                    <w:alias w:val="24.5 pp."/>
                    <w:tag w:val="part_9aeaa5494ce3439db2f20ed3e76c4b0c"/>
                    <w:lock w:val="sdtLocked"/>
                    <w:richText/>
                  </w:sdtPr>
                  <w:sdtContent>
                    <w:p>
                      <w:pPr>
                        <w:overflowPunct w:val="0"/>
                        <w:spacing w:line="360" w:lineRule="auto"/>
                        <w:ind w:firstLine="567"/>
                        <w:jc w:val="both"/>
                        <w:textAlignment w:val="baseline"/>
                        <w:rPr>
                          <w:szCs w:val="24"/>
                          <w:lang w:val="en-GB"/>
                        </w:rPr>
                      </w:pPr>
                      <w:sdt>
                        <w:sdtPr>
                          <w:alias w:val="Numeris"/>
                          <w:tag w:val="nr_9aeaa5494ce3439db2f20ed3e76c4b0c"/>
                          <w:lock w:val="sdtLocked"/>
                          <w:richText/>
                        </w:sdtPr>
                        <w:sdtContent>
                          <w:r>
                            <w:rPr>
                              <w:szCs w:val="24"/>
                              <w:lang w:val="en-GB"/>
                            </w:rPr>
                            <w:t>24.5</w:t>
                          </w:r>
                        </w:sdtContent>
                      </w:sdt>
                      <w:r>
                        <w:rPr>
                          <w:szCs w:val="24"/>
                          <w:lang w:val="en-GB"/>
                        </w:rPr>
                        <w:t xml:space="preserve">. nustačiusi duomenų neatitiktį, gali pareikalauti iš ŠGP tvarkytojų ir (arba) ŠGP turėtojų papildomų dokumentų ir (arba) informacijos, susijusios su kompensacijos ir (arba) pagalbos teikimu, o pastarieji privalo pateikti dokumentus ir (arba) informaciją per 10 darbo dienų nuo paklausimo, išsiųsto el. paštu arba registruotu paštu, gavimo dienos. Informacijos ir (arba) dokumentų pateikimo terminas gali būti pratęstas gavus rašytinį prašymą ir paaiškinimą dėl termino pratęsimo. Jei prašomos informacijos ir (arba) dokumentų negauta, duomenis Agentūra vertina toliau pagal turimus duomenis. Tuo atveju, jeigu ŠGP turėtojas per ŠGP tvarkytojo nustatytą terminą nesumokėjo ŠGP tvarkytojui 25 proc. 2 kategorijos ŠGP sunaikinimo paslaugos kainos ar sumokėjo mažiau, negu 25 proc. 2 kategorijos ŠGP sunaikinimo paslaugos kainos, Agentūra pagalbos už šio ŠGP turėtojo 2 kategorijos ŠGP pašalinimą ir sunaikinimą ŠGP tvarkytojui nemoka arba  išmoka tik pagalbos dalį, proporcingą ŠGP turėtojo faktiškai sumokėtai 2 kategorijos ŠGP sunaikinimo paslaugos kainos dalies (25 proc.) daliai;</w:t>
                      </w:r>
                    </w:p>
                  </w:sdtContent>
                </w:sdt>
                <w:sdt>
                  <w:sdtPr>
                    <w:alias w:val="24.6 pp."/>
                    <w:tag w:val="part_5c5f13782b164fca85eedc97e34261bf"/>
                    <w:lock w:val="sdtLocked"/>
                    <w:richText/>
                  </w:sdtPr>
                  <w:sdtContent>
                    <w:p>
                      <w:pPr>
                        <w:overflowPunct w:val="0"/>
                        <w:spacing w:line="360" w:lineRule="auto"/>
                        <w:ind w:firstLine="567"/>
                        <w:jc w:val="both"/>
                        <w:textAlignment w:val="baseline"/>
                        <w:rPr>
                          <w:szCs w:val="24"/>
                          <w:lang w:val="en-GB" w:eastAsia="lt-LT"/>
                        </w:rPr>
                      </w:pPr>
                      <w:sdt>
                        <w:sdtPr>
                          <w:alias w:val="Numeris"/>
                          <w:tag w:val="nr_5c5f13782b164fca85eedc97e34261bf"/>
                          <w:lock w:val="sdtLocked"/>
                          <w:richText/>
                        </w:sdtPr>
                        <w:sdtContent>
                          <w:r>
                            <w:rPr>
                              <w:szCs w:val="24"/>
                              <w:lang w:val="en-GB" w:eastAsia="lt-LT"/>
                            </w:rPr>
                            <w:t>24.6</w:t>
                          </w:r>
                        </w:sdtContent>
                      </w:sdt>
                      <w:r>
                        <w:rPr>
                          <w:szCs w:val="24"/>
                          <w:lang w:val="en-GB" w:eastAsia="lt-LT"/>
                        </w:rPr>
                        <w:t>. jeigu vertinant pateiktus dokumentus kyla įtarimų, kad dokumentuose pateikta netiksli, neišsami ar klaidinanti informacija, gali būti atlikta patikra vietoje arba taikomi kiti teisės aktuose nustatyti kontrolės būdai;</w:t>
                      </w:r>
                    </w:p>
                  </w:sdtContent>
                </w:sdt>
                <w:sdt>
                  <w:sdtPr>
                    <w:alias w:val="24.7 pp."/>
                    <w:tag w:val="part_b3c60c971fcd4202ad740c32c39af042"/>
                    <w:lock w:val="sdtLocked"/>
                    <w:richText/>
                  </w:sdtPr>
                  <w:sdtContent>
                    <w:p>
                      <w:pPr>
                        <w:spacing w:line="360" w:lineRule="auto"/>
                        <w:ind w:firstLine="567"/>
                        <w:jc w:val="both"/>
                        <w:textAlignment w:val="baseline"/>
                        <w:rPr>
                          <w:szCs w:val="24"/>
                          <w:lang w:eastAsia="lt-LT"/>
                        </w:rPr>
                      </w:pPr>
                      <w:sdt>
                        <w:sdtPr>
                          <w:alias w:val="Numeris"/>
                          <w:tag w:val="nr_b3c60c971fcd4202ad740c32c39af042"/>
                          <w:lock w:val="sdtLocked"/>
                          <w:richText/>
                        </w:sdtPr>
                        <w:sdtContent>
                          <w:r>
                            <w:rPr>
                              <w:szCs w:val="24"/>
                              <w:lang w:val="en-GB"/>
                            </w:rPr>
                            <w:t>24.7</w:t>
                          </w:r>
                        </w:sdtContent>
                      </w:sdt>
                      <w:r>
                        <w:rPr>
                          <w:szCs w:val="24"/>
                          <w:lang w:val="en-GB"/>
                        </w:rPr>
                        <w:t>. atsižvelgdama į Centro nustatytus ŠGP tvarkytojo pažeidimus, nurodytus taisyklių 31.1</w:t>
                      </w:r>
                      <w:r>
                        <w:rPr>
                          <w:b/>
                          <w:bCs/>
                          <w:szCs w:val="24"/>
                          <w:lang w:val="en-GB"/>
                        </w:rPr>
                        <w:t xml:space="preserve"> </w:t>
                      </w:r>
                      <w:r>
                        <w:rPr>
                          <w:szCs w:val="24"/>
                          <w:lang w:val="en-GB"/>
                        </w:rPr>
                        <w:t>ir 31.2 papunkčiuose, bei į VMVT nustatytus ŠGP tvarkytojo pažeidimus, nurodytus taisyklių 31.4 ir 31.5 papunkčiuose, ir įvertinusi ŠGP tvarkytojų bei ŠGP turėtojų pateiktus dokumentus, apskaičiuoja mokėtiną lėšų sumą, priima sprendimą dėl pagalbos suteikimo, užsako lėšas ir išmoka jas ŠGP tvarkytojams Bendrosiose administravimo taisyklėse nustatyta tvarka;</w:t>
                      </w:r>
                    </w:p>
                  </w:sdtContent>
                </w:sdt>
                <w:sdt>
                  <w:sdtPr>
                    <w:alias w:val="24.8 pp."/>
                    <w:tag w:val="part_b407797b76694ac4ad182ca6625ec727"/>
                    <w:lock w:val="sdtLocked"/>
                    <w:richText/>
                  </w:sdtPr>
                  <w:sdtContent>
                    <w:p>
                      <w:pPr>
                        <w:spacing w:line="360" w:lineRule="auto"/>
                        <w:ind w:firstLine="567"/>
                        <w:jc w:val="both"/>
                        <w:textAlignment w:val="baseline"/>
                        <w:rPr>
                          <w:szCs w:val="24"/>
                          <w:lang w:eastAsia="lt-LT"/>
                        </w:rPr>
                      </w:pPr>
                      <w:sdt>
                        <w:sdtPr>
                          <w:alias w:val="Numeris"/>
                          <w:tag w:val="nr_b407797b76694ac4ad182ca6625ec727"/>
                          <w:lock w:val="sdtLocked"/>
                          <w:richText/>
                        </w:sdtPr>
                        <w:sdtContent>
                          <w:r>
                            <w:rPr>
                              <w:szCs w:val="24"/>
                              <w:lang w:eastAsia="lt-LT"/>
                            </w:rPr>
                            <w:t>24.8</w:t>
                          </w:r>
                        </w:sdtContent>
                      </w:sdt>
                      <w:r>
                        <w:rPr>
                          <w:szCs w:val="24"/>
                          <w:lang w:eastAsia="lt-LT"/>
                        </w:rPr>
                        <w:t>. vadovaudamasi Suteiktos valstybės pagalbos ir nereikšmingos (</w:t>
                      </w:r>
                      <w:r>
                        <w:rPr>
                          <w:i/>
                          <w:iCs/>
                          <w:szCs w:val="24"/>
                          <w:lang w:eastAsia="lt-LT"/>
                        </w:rPr>
                        <w:t>de minimis</w:t>
                      </w:r>
                      <w:r>
                        <w:rPr>
                          <w:szCs w:val="24"/>
                          <w:lang w:eastAsia="lt-LT"/>
                        </w:rPr>
                        <w:t>) pagalbos registro nuostatais, patvirtintais Lietuvos Respublikos Vyriausybės 2005 m. sausio 19 d. nutarimu Nr. 35 „Dėl Suteiktos valstybės pagalbos ir nereikšmingos (de minimis) pagalbos registro nuostatų patvirtinimo“ (toliau – Registro nuostatai), per Registro nuostatuose nustatytą terminą pateikia Suteiktos valstybės pagalbos ir nereikšmingos (</w:t>
                      </w:r>
                      <w:r>
                        <w:rPr>
                          <w:i/>
                          <w:iCs/>
                          <w:szCs w:val="24"/>
                          <w:lang w:eastAsia="lt-LT"/>
                        </w:rPr>
                        <w:t>de minimis</w:t>
                      </w:r>
                      <w:r>
                        <w:rPr>
                          <w:szCs w:val="24"/>
                          <w:lang w:eastAsia="lt-LT"/>
                        </w:rPr>
                        <w:t>) pagalbos registrui (toliau – Registras) duomenis apie ŠGP turėtojams skirtą pagalbą (tuo atveju, kai pagalba išmokama dalimis, nurodoma diskontuota skirtos pagalbos vertė). Registrui pateikti duomenys apie skirtą pagalbą tikslinami Registro nuostatuose nustatyta tvarka ir terminais;</w:t>
                      </w:r>
                    </w:p>
                  </w:sdtContent>
                </w:sdt>
                <w:sdt>
                  <w:sdtPr>
                    <w:alias w:val="24.9 pp."/>
                    <w:tag w:val="part_409e8298f6424413b1db60d4f170ec65"/>
                    <w:lock w:val="sdtLocked"/>
                    <w:richText/>
                  </w:sdtPr>
                  <w:sdtContent>
                    <w:p>
                      <w:pPr>
                        <w:overflowPunct w:val="0"/>
                        <w:spacing w:line="360" w:lineRule="auto"/>
                        <w:ind w:firstLine="567"/>
                        <w:jc w:val="both"/>
                        <w:textAlignment w:val="baseline"/>
                        <w:rPr>
                          <w:szCs w:val="24"/>
                          <w:lang w:val="en-GB" w:eastAsia="lt-LT"/>
                        </w:rPr>
                      </w:pPr>
                      <w:sdt>
                        <w:sdtPr>
                          <w:alias w:val="Numeris"/>
                          <w:tag w:val="nr_409e8298f6424413b1db60d4f170ec65"/>
                          <w:lock w:val="sdtLocked"/>
                          <w:richText/>
                        </w:sdtPr>
                        <w:sdtContent>
                          <w:r>
                            <w:rPr>
                              <w:szCs w:val="24"/>
                              <w:lang w:val="en-GB" w:eastAsia="lt-LT"/>
                            </w:rPr>
                            <w:t>24.9</w:t>
                          </w:r>
                        </w:sdtContent>
                      </w:sdt>
                      <w:r>
                        <w:rPr>
                          <w:szCs w:val="24"/>
                          <w:lang w:val="en-GB" w:eastAsia="lt-LT"/>
                        </w:rPr>
                        <w:t>. ne vėliau kaip per 10 darbo dienų nuo pagalbos suteikimo dienos pateikia Ministerijai  Reglamento (ES) Nr.</w:t>
                      </w:r>
                      <w:r>
                        <w:rPr>
                          <w:szCs w:val="24"/>
                          <w:lang w:val="en-GB"/>
                        </w:rPr>
                        <w:t xml:space="preserve"> 2022/2472 </w:t>
                      </w:r>
                      <w:r>
                        <w:rPr>
                          <w:szCs w:val="24"/>
                          <w:lang w:val="en-GB" w:eastAsia="lt-LT"/>
                        </w:rPr>
                        <w:t xml:space="preserve">III priede nurodytą informaciją apie suteiktą pagalbą tuo atveju, jei vienam ŠGP turėtojui skirta individuali pagalba </w:t>
                      </w:r>
                      <w:r>
                        <w:rPr>
                          <w:szCs w:val="24"/>
                          <w:lang w:val="en-GB"/>
                        </w:rPr>
                        <w:t xml:space="preserve">(t. y. tam pačiam ŠGP turėtojui ir tam pačiam projektui arba veiklai skiriama pagalba, net jeigu ji skirta kelių sprendimų pagrindu ir (arba) pagal skirtingas pagalbos priemones) </w:t>
                      </w:r>
                      <w:r>
                        <w:rPr>
                          <w:szCs w:val="24"/>
                          <w:lang w:val="en-GB" w:eastAsia="lt-LT"/>
                        </w:rPr>
                        <w:t>viršija Reglamento (ES) Nr.</w:t>
                      </w:r>
                      <w:r>
                        <w:rPr>
                          <w:szCs w:val="24"/>
                          <w:lang w:val="en-GB"/>
                        </w:rPr>
                        <w:t xml:space="preserve"> 2022/2472</w:t>
                      </w:r>
                      <w:r>
                        <w:rPr>
                          <w:b/>
                          <w:bCs/>
                          <w:szCs w:val="24"/>
                          <w:lang w:val="en-GB"/>
                        </w:rPr>
                        <w:t xml:space="preserve"> </w:t>
                      </w:r>
                      <w:r>
                        <w:rPr>
                          <w:szCs w:val="24"/>
                          <w:lang w:val="en-GB" w:eastAsia="lt-LT"/>
                        </w:rPr>
                        <w:t xml:space="preserve">9 straipsnio 1 dalies c punkte </w:t>
                      </w:r>
                      <w:r>
                        <w:rPr>
                          <w:szCs w:val="24"/>
                          <w:lang w:val="en-GB"/>
                        </w:rPr>
                        <w:t>i papunktyje nurodytą 10 000 Eur</w:t>
                      </w:r>
                      <w:r>
                        <w:rPr>
                          <w:b/>
                          <w:bCs/>
                          <w:szCs w:val="24"/>
                          <w:lang w:val="en-GB" w:eastAsia="lt-LT"/>
                        </w:rPr>
                        <w:t xml:space="preserve"> </w:t>
                      </w:r>
                      <w:r>
                        <w:rPr>
                          <w:szCs w:val="24"/>
                          <w:lang w:val="en-GB" w:eastAsia="lt-LT"/>
                        </w:rPr>
                        <w:t>ribą;</w:t>
                      </w:r>
                    </w:p>
                  </w:sdtContent>
                </w:sdt>
                <w:sdt>
                  <w:sdtPr>
                    <w:alias w:val="24.10 pp."/>
                    <w:tag w:val="part_47048a2e51194aafb2a1da756d44df03"/>
                    <w:lock w:val="sdtLocked"/>
                    <w:richText/>
                  </w:sdtPr>
                  <w:sdtContent>
                    <w:p>
                      <w:pPr>
                        <w:overflowPunct w:val="0"/>
                        <w:spacing w:line="360" w:lineRule="auto"/>
                        <w:ind w:firstLine="567"/>
                        <w:jc w:val="both"/>
                        <w:textAlignment w:val="baseline"/>
                      </w:pPr>
                      <w:sdt>
                        <w:sdtPr>
                          <w:alias w:val="Numeris"/>
                          <w:tag w:val="nr_47048a2e51194aafb2a1da756d44df03"/>
                          <w:lock w:val="sdtLocked"/>
                          <w:richText/>
                        </w:sdtPr>
                        <w:sdtContent>
                          <w:r>
                            <w:rPr>
                              <w:szCs w:val="24"/>
                              <w:lang w:val="en-GB"/>
                            </w:rPr>
                            <w:t>24.10</w:t>
                          </w:r>
                        </w:sdtContent>
                      </w:sdt>
                      <w:r>
                        <w:rPr>
                          <w:szCs w:val="24"/>
                          <w:lang w:val="en-GB"/>
                        </w:rPr>
                        <w:t>. iki kiekvienų metų sausio 10 d. Ministerijai pateikia informaciją apie per praėjusius metus skirtą pagalbą už 1 ir 2 kategorijos ŠGP šalinimą ir naikinimą pagal pridedamą lentelę (7 priedas).</w:t>
                      </w:r>
                      <w:r>
                        <w:t xml:space="preserve"> </w:t>
                      </w:r>
                    </w:p>
                  </w:sdtContent>
                </w:sdt>
              </w:sdtContent>
            </w:sdt>
            <w:sdt>
              <w:sdtPr>
                <w:alias w:val="25 p."/>
                <w:tag w:val="part_72ebec76e0554bc5984d68190409322e"/>
                <w:lock w:val="sdtLocked"/>
                <w:richText/>
              </w:sdtPr>
              <w:sdtContent>
                <w:p>
                  <w:pPr>
                    <w:overflowPunct w:val="0"/>
                    <w:spacing w:line="360" w:lineRule="auto"/>
                    <w:ind w:firstLine="567"/>
                    <w:jc w:val="both"/>
                    <w:textAlignment w:val="baseline"/>
                  </w:pPr>
                  <w:sdt>
                    <w:sdtPr>
                      <w:alias w:val="Numeris"/>
                      <w:tag w:val="nr_72ebec76e0554bc5984d68190409322e"/>
                      <w:lock w:val="sdtLocked"/>
                      <w:richText/>
                    </w:sdtPr>
                    <w:sdtContent>
                      <w:r>
                        <w:rPr>
                          <w:szCs w:val="24"/>
                          <w:lang w:val="en-GB"/>
                        </w:rPr>
                        <w:t>25</w:t>
                      </w:r>
                    </w:sdtContent>
                  </w:sdt>
                  <w:r>
                    <w:rPr>
                      <w:szCs w:val="24"/>
                      <w:lang w:val="en-GB"/>
                    </w:rPr>
                    <w:t>. VMVT ne vėliau kaip per 10 darbo dienų nuo pažeidimo, nurodyto taisyklių 31.4 ir (arba) 31.5 papunkčiuose, nustatymo fakto pateikia Agentūrai patikrinimo duomenis.</w:t>
                  </w:r>
                  <w:r>
                    <w:t xml:space="preserve"> </w:t>
                  </w:r>
                </w:p>
              </w:sdtContent>
            </w:sdt>
            <w:sdt>
              <w:sdtPr>
                <w:alias w:val="26 p."/>
                <w:tag w:val="part_6b22c03c9a414de08ada4f936be06466"/>
                <w:lock w:val="sdtLocked"/>
                <w:richText/>
              </w:sdtPr>
              <w:sdtContent>
                <w:p>
                  <w:pPr>
                    <w:spacing w:line="360" w:lineRule="auto"/>
                    <w:ind w:firstLine="567"/>
                    <w:jc w:val="both"/>
                    <w:textAlignment w:val="baseline"/>
                    <w:rPr>
                      <w:szCs w:val="24"/>
                    </w:rPr>
                  </w:pPr>
                  <w:sdt>
                    <w:sdtPr>
                      <w:alias w:val="Numeris"/>
                      <w:tag w:val="nr_6b22c03c9a414de08ada4f936be06466"/>
                      <w:lock w:val="sdtLocked"/>
                      <w:richText/>
                    </w:sdtPr>
                    <w:sdtContent>
                      <w:r>
                        <w:rPr>
                          <w:szCs w:val="24"/>
                          <w:lang w:eastAsia="lt-LT"/>
                        </w:rPr>
                        <w:t>26</w:t>
                      </w:r>
                    </w:sdtContent>
                  </w:sdt>
                  <w:r>
                    <w:rPr>
                      <w:szCs w:val="24"/>
                      <w:lang w:eastAsia="lt-LT"/>
                    </w:rPr>
                    <w:t xml:space="preserve">. Ministerija ne vėliau kaip per šešis mėnesius nuo pagalbos suteikimo taisyklių </w:t>
                  </w:r>
                  <w:r>
                    <w:rPr>
                      <w:szCs w:val="24"/>
                      <w:lang w:val="en-GB" w:eastAsia="lt-LT"/>
                    </w:rPr>
                    <w:t>24.8</w:t>
                  </w:r>
                  <w:r>
                    <w:rPr>
                      <w:b/>
                      <w:bCs/>
                      <w:szCs w:val="24"/>
                      <w:lang w:val="en-GB" w:eastAsia="lt-LT"/>
                    </w:rPr>
                    <w:t xml:space="preserve"> </w:t>
                  </w:r>
                  <w:r>
                    <w:rPr>
                      <w:szCs w:val="24"/>
                      <w:lang w:eastAsia="lt-LT"/>
                    </w:rPr>
                    <w:t>papunktyje nurodytu atveju dienos pateikia informaciją apie suteiktą pagalbą į Europos Komisijos Valstybės pagalbos skaidrumo svetainę. </w:t>
                  </w:r>
                </w:p>
              </w:sdtContent>
            </w:sdt>
            <w:sdt>
              <w:sdtPr>
                <w:alias w:val="27 p."/>
                <w:tag w:val="part_6bbc5b46e78848fa919de9c16352d27c"/>
                <w:lock w:val="sdtLocked"/>
                <w:richText/>
              </w:sdtPr>
              <w:sdtContent>
                <w:p>
                  <w:pPr>
                    <w:spacing w:line="360" w:lineRule="auto"/>
                    <w:ind w:firstLine="567"/>
                    <w:jc w:val="both"/>
                    <w:textAlignment w:val="baseline"/>
                  </w:pPr>
                  <w:sdt>
                    <w:sdtPr>
                      <w:alias w:val="Numeris"/>
                      <w:tag w:val="nr_6bbc5b46e78848fa919de9c16352d27c"/>
                      <w:lock w:val="sdtLocked"/>
                      <w:richText/>
                    </w:sdtPr>
                    <w:sdtContent>
                      <w:r>
                        <w:rPr>
                          <w:szCs w:val="24"/>
                          <w:lang w:val="en-GB"/>
                        </w:rPr>
                        <w:t>27</w:t>
                      </w:r>
                    </w:sdtContent>
                  </w:sdt>
                  <w:r>
                    <w:rPr>
                      <w:szCs w:val="24"/>
                      <w:lang w:val="en-GB"/>
                    </w:rPr>
                    <w:t>. Atsiskaityti su ŠGP tvarkytojais taikomas išlaidų kompensavimo su avanso mokėjimu būdas. Avanso dydis – 70 proc. ataskaitinio mėnesio pagalbos sumos. Avansas neskaičiuojamas nuo ataskaitinio mėnesio pagalbos sumos, išmokėtos kompensuojant ŠGP pašalinimo ir sunaikinimo išlaidas, patirtas dėl ekstremalios situacijos ar užkrečiamųjų gyvūnų ligų protrūkio židinyje likvidavimo.</w:t>
                  </w:r>
                  <w:r>
                    <w:t xml:space="preserve"> </w:t>
                  </w:r>
                </w:p>
              </w:sdtContent>
            </w:sdt>
            <w:sdt>
              <w:sdtPr>
                <w:alias w:val="28 p."/>
                <w:tag w:val="part_2f789af491294b80a1e0649dabfda2d2"/>
                <w:lock w:val="sdtLocked"/>
                <w:richText/>
              </w:sdtPr>
              <w:sdtContent>
                <w:p>
                  <w:pPr>
                    <w:spacing w:line="360" w:lineRule="auto"/>
                    <w:ind w:firstLine="567"/>
                    <w:jc w:val="both"/>
                    <w:textAlignment w:val="baseline"/>
                    <w:rPr>
                      <w:b/>
                    </w:rPr>
                  </w:pPr>
                  <w:sdt>
                    <w:sdtPr>
                      <w:alias w:val="Numeris"/>
                      <w:tag w:val="nr_2f789af491294b80a1e0649dabfda2d2"/>
                      <w:lock w:val="sdtLocked"/>
                      <w:richText/>
                    </w:sdtPr>
                    <w:sdtContent>
                      <w:r>
                        <w:rPr>
                          <w:szCs w:val="24"/>
                          <w:lang w:eastAsia="lt-LT"/>
                        </w:rPr>
                        <w:t>28</w:t>
                      </w:r>
                    </w:sdtContent>
                  </w:sdt>
                  <w:r>
                    <w:rPr>
                      <w:szCs w:val="24"/>
                      <w:lang w:eastAsia="lt-LT"/>
                    </w:rPr>
                    <w:t xml:space="preserve">. Vadovaujantis reglamento (ES) Nr. 2022/2472 7 straipsnio 5 dalies nuostatomis, ateityje mokėtina pagalba, įskaitant keliomis dalimis išmokamą pagalbą, diskontuojama  iki suteikimo momentu esamos jos vertės. Diskontuota pagalbos vertė apskaičiuojama pagal Valstybės pagalbos ar nereikšmingos (de minimis) pagalbos sumos (eurais) per visą pagalbos mokėjimo laikotarpį apskaičiavimo tvarką, nurodytą Bendrųjų administravimo taisyklių 3 priede.</w:t>
                  </w:r>
                  <w:r>
                    <w:t xml:space="preserve"> </w:t>
                  </w:r>
                </w:p>
              </w:sdtContent>
            </w:sdt>
            <w:sdt>
              <w:sdtPr>
                <w:alias w:val="29 p."/>
                <w:tag w:val="part_a180eec42fa24db28dfb28f1d36a3661"/>
                <w:lock w:val="sdtLocked"/>
                <w:richText/>
              </w:sdtPr>
              <w:sdtContent>
                <w:p>
                  <w:pPr>
                    <w:widowControl w:val="0"/>
                    <w:suppressAutoHyphens/>
                    <w:spacing w:line="360" w:lineRule="auto"/>
                    <w:ind w:firstLine="567"/>
                    <w:jc w:val="both"/>
                    <w:rPr>
                      <w:spacing w:val="-4"/>
                    </w:rPr>
                  </w:pPr>
                  <w:sdt>
                    <w:sdtPr>
                      <w:alias w:val="Numeris"/>
                      <w:tag w:val="nr_a180eec42fa24db28dfb28f1d36a3661"/>
                      <w:lock w:val="sdtLocked"/>
                      <w:richText/>
                    </w:sdtPr>
                    <w:sdtContent>
                      <w:r>
                        <w:rPr>
                          <w:spacing w:val="-4"/>
                        </w:rPr>
                        <w:t>29</w:t>
                      </w:r>
                    </w:sdtContent>
                  </w:sdt>
                  <w:r>
                    <w:rPr>
                      <w:spacing w:val="-4"/>
                    </w:rPr>
                    <w:t>. Tuo atveju, kai avansu gautų lėšų suma yra didesnė nei po Agentūros atlikto patikrinimo apskaičiuota ataskaitinio mėnesio mokėtina suma, ŠGP tvarkytojas, gavęs Agentūros reikalavimą (raštą, pranešimą) dėl permokėtos kompensacijos, kuri negali būti įskaityta kaip einamaisiais metais teikiama kompensacijos suma, per nurodytą terminą grąžina Agentūrai jam permokėtą kompensacijos</w:t>
                  </w:r>
                  <w:r>
                    <w:rPr>
                      <w:b/>
                      <w:bCs/>
                      <w:spacing w:val="-4"/>
                    </w:rPr>
                    <w:t xml:space="preserve"> </w:t>
                  </w:r>
                  <w:r>
                    <w:rPr>
                      <w:spacing w:val="-4"/>
                    </w:rPr>
                    <w:t>dalį.</w:t>
                  </w:r>
                </w:p>
              </w:sdtContent>
            </w:sdt>
            <w:sdt>
              <w:sdtPr>
                <w:alias w:val="30 p."/>
                <w:tag w:val="part_d1c12c4492cf4e179e4304d6481931d9"/>
                <w:lock w:val="sdtLocked"/>
                <w:richText/>
              </w:sdtPr>
              <w:sdtContent>
                <w:p>
                  <w:pPr>
                    <w:spacing w:line="360" w:lineRule="auto"/>
                    <w:ind w:firstLine="567"/>
                    <w:jc w:val="both"/>
                    <w:rPr>
                      <w:szCs w:val="24"/>
                    </w:rPr>
                  </w:pPr>
                  <w:sdt>
                    <w:sdtPr>
                      <w:alias w:val="Numeris"/>
                      <w:tag w:val="nr_d1c12c4492cf4e179e4304d6481931d9"/>
                      <w:lock w:val="sdtLocked"/>
                      <w:richText/>
                    </w:sdtPr>
                    <w:sdtContent>
                      <w:r>
                        <w:t>30</w:t>
                      </w:r>
                    </w:sdtContent>
                  </w:sdt>
                  <w:r>
                    <w:t xml:space="preserve">. Privalomos grąžinti lėšos, kurios buvo išmokėtos ir (arba) panaudotos pažeidžiant teisės aktus, ir su minėtomis lėšomis susijusios palūkanos,  administruojamos </w:t>
                  </w:r>
                  <w:r>
                    <w:rPr>
                      <w:szCs w:val="24"/>
                    </w:rPr>
                    <w:t>vadovaujantis Lietuvos Respublikos konkurencijos įstatymo 55</w:t>
                  </w:r>
                  <w:r>
                    <w:rPr>
                      <w:szCs w:val="24"/>
                      <w:vertAlign w:val="superscript"/>
                    </w:rPr>
                    <w:t>1</w:t>
                  </w:r>
                  <w:r>
                    <w:rPr>
                      <w:szCs w:val="24"/>
                    </w:rPr>
                    <w:t xml:space="preserve"> straipsniu ir (ar) Grąžintinų lėšų, susidariusių įgyvendinant valstybės pagalbos žemės ūkiui, žuvininkystei ir kaimo plėtrai ir kitas iš valstybės biudžeto lėšų finansuojamas priemones, administravimo taisyklių, patvirtintų Lietuvos Respublikos žemės ūkio ministro 2011 m. liepos 13 d. įsakymu Nr. 3D-750 „Dėl Grąžintinų lėšų, susidariusių įgyvendinant valstybės pagalbos žemės ūkiui, žuvininkystei ir kaimo plėtrai ir kitas iš valstybės biudžeto lėšų finansuojamas priemones, administravimo taisyklių patvirtinimo“, nustatyta tvarka.</w:t>
                  </w:r>
                </w:p>
              </w:sdtContent>
            </w:sdt>
            <w:sdt>
              <w:sdtPr>
                <w:alias w:val="31 p."/>
                <w:tag w:val="part_d0385fcd275242f68b105b721057a24d"/>
                <w:lock w:val="sdtLocked"/>
                <w:richText/>
              </w:sdtPr>
              <w:sdtContent>
                <w:p>
                  <w:pPr>
                    <w:overflowPunct w:val="0"/>
                    <w:spacing w:line="360" w:lineRule="auto"/>
                    <w:ind w:firstLine="567"/>
                    <w:jc w:val="both"/>
                    <w:textAlignment w:val="baseline"/>
                    <w:rPr>
                      <w:szCs w:val="24"/>
                      <w:lang w:val="en-GB"/>
                    </w:rPr>
                  </w:pPr>
                  <w:sdt>
                    <w:sdtPr>
                      <w:alias w:val="Numeris"/>
                      <w:tag w:val="nr_d0385fcd275242f68b105b721057a24d"/>
                      <w:lock w:val="sdtLocked"/>
                      <w:richText/>
                    </w:sdtPr>
                    <w:sdtContent>
                      <w:r>
                        <w:rPr>
                          <w:szCs w:val="24"/>
                          <w:lang w:val="en-GB"/>
                        </w:rPr>
                        <w:t>31</w:t>
                      </w:r>
                    </w:sdtContent>
                  </w:sdt>
                  <w:r>
                    <w:rPr>
                      <w:szCs w:val="24"/>
                      <w:lang w:val="en-GB"/>
                    </w:rPr>
                    <w:t>. ŠGP tvarkytojui pažeidus taisyklių reikalavimus, taikomos sankcijos. Jeigu ŠGP tvarkytojas:</w:t>
                  </w:r>
                </w:p>
                <w:sdt>
                  <w:sdtPr>
                    <w:alias w:val="31.1 pp."/>
                    <w:tag w:val="part_ff1af5e7cb28433c9ae7f33223bdc99a"/>
                    <w:lock w:val="sdtLocked"/>
                    <w:richText/>
                  </w:sdtPr>
                  <w:sdtContent>
                    <w:p>
                      <w:pPr>
                        <w:overflowPunct w:val="0"/>
                        <w:spacing w:line="360" w:lineRule="auto"/>
                        <w:ind w:firstLine="567"/>
                        <w:jc w:val="both"/>
                        <w:textAlignment w:val="baseline"/>
                        <w:rPr>
                          <w:szCs w:val="24"/>
                          <w:lang w:val="en-GB"/>
                        </w:rPr>
                      </w:pPr>
                      <w:sdt>
                        <w:sdtPr>
                          <w:alias w:val="Numeris"/>
                          <w:tag w:val="nr_ff1af5e7cb28433c9ae7f33223bdc99a"/>
                          <w:lock w:val="sdtLocked"/>
                          <w:richText/>
                        </w:sdtPr>
                        <w:sdtContent>
                          <w:r>
                            <w:rPr>
                              <w:szCs w:val="24"/>
                              <w:lang w:val="en-GB"/>
                            </w:rPr>
                            <w:t>31.1</w:t>
                          </w:r>
                        </w:sdtContent>
                      </w:sdt>
                      <w:r>
                        <w:rPr>
                          <w:szCs w:val="24"/>
                          <w:lang w:val="en-GB"/>
                        </w:rPr>
                        <w:t xml:space="preserve">. iki gegužės 31 d. nepateikė Centrui taisyklių 8 priedo 2 punkte nurodytos informacijos, ŠGP tvarkytojui mažinama 10 proc. prašoma kompensacijos suma už birželio mėnesį, kurį buvo nustatytas pažeidimo faktas, ir sankcija taikoma kiekvieną kitą mėnesį iki tol, kol Centrui bus pateikta kokybiška </w:t>
                      </w:r>
                      <w:r>
                        <w:rPr>
                          <w:szCs w:val="24"/>
                          <w:lang w:val="en-GB" w:eastAsia="lt-LT"/>
                        </w:rPr>
                        <w:t xml:space="preserve">ŠGP šalinimo ir naikinimo sąnaudų dydžiams apskaičiuoti tinkama </w:t>
                      </w:r>
                      <w:r>
                        <w:rPr>
                          <w:szCs w:val="24"/>
                          <w:lang w:val="en-GB"/>
                        </w:rPr>
                        <w:t>informacija;</w:t>
                      </w:r>
                    </w:p>
                  </w:sdtContent>
                </w:sdt>
                <w:sdt>
                  <w:sdtPr>
                    <w:alias w:val="31.2 pp."/>
                    <w:tag w:val="part_1e858b08f8e34c2a947164be9047962a"/>
                    <w:lock w:val="sdtLocked"/>
                    <w:richText/>
                  </w:sdtPr>
                  <w:sdtContent>
                    <w:p>
                      <w:pPr>
                        <w:overflowPunct w:val="0"/>
                        <w:spacing w:line="360" w:lineRule="auto"/>
                        <w:ind w:firstLine="567"/>
                        <w:jc w:val="both"/>
                        <w:textAlignment w:val="baseline"/>
                        <w:rPr>
                          <w:szCs w:val="24"/>
                          <w:lang w:val="en-GB" w:eastAsia="lt-LT"/>
                        </w:rPr>
                      </w:pPr>
                      <w:sdt>
                        <w:sdtPr>
                          <w:alias w:val="Numeris"/>
                          <w:tag w:val="nr_1e858b08f8e34c2a947164be9047962a"/>
                          <w:lock w:val="sdtLocked"/>
                          <w:richText/>
                        </w:sdtPr>
                        <w:sdtContent>
                          <w:r>
                            <w:rPr>
                              <w:szCs w:val="24"/>
                              <w:lang w:val="en-GB"/>
                            </w:rPr>
                            <w:t>31.2</w:t>
                          </w:r>
                        </w:sdtContent>
                      </w:sdt>
                      <w:r>
                        <w:rPr>
                          <w:szCs w:val="24"/>
                          <w:lang w:val="en-GB"/>
                        </w:rPr>
                        <w:t xml:space="preserve">. iki gegužės 31 d. pateikė Centrui taisyklių 8 priedo 2 punkte nurodytą informaciją, kurią įvertinęs Centras </w:t>
                      </w:r>
                      <w:r>
                        <w:rPr>
                          <w:szCs w:val="24"/>
                          <w:lang w:val="en-GB" w:eastAsia="lt-LT"/>
                        </w:rPr>
                        <w:t>informavo ŠGP tvarkytoją</w:t>
                      </w:r>
                      <w:r>
                        <w:rPr>
                          <w:szCs w:val="24"/>
                          <w:lang w:val="en-GB"/>
                        </w:rPr>
                        <w:t xml:space="preserve">, kad informacija nekokybiška ir </w:t>
                      </w:r>
                      <w:r>
                        <w:rPr>
                          <w:szCs w:val="24"/>
                          <w:lang w:val="en-GB" w:eastAsia="lt-LT"/>
                        </w:rPr>
                        <w:t>netinkama</w:t>
                      </w:r>
                      <w:r>
                        <w:rPr>
                          <w:szCs w:val="24"/>
                          <w:lang w:val="en-GB"/>
                        </w:rPr>
                        <w:t xml:space="preserve"> Centrui apskaičiuoti  </w:t>
                      </w:r>
                      <w:r>
                        <w:rPr>
                          <w:szCs w:val="24"/>
                          <w:lang w:val="en-GB" w:eastAsia="lt-LT"/>
                        </w:rPr>
                        <w:t xml:space="preserve">ŠGP šalinimo ir naikinimo sąnaudų dydžius, ir iki liepos mėnesio pabaigos pateiktos informacijos nepatikslino, </w:t>
                      </w:r>
                      <w:r>
                        <w:rPr>
                          <w:szCs w:val="24"/>
                          <w:lang w:val="en-GB"/>
                        </w:rPr>
                        <w:t xml:space="preserve">ŠGP tvarkytojui mažinama 10 proc. prašoma kompensacijos suma už liepos mėnesį ir sankcija taikoma kiekvieną mėnesį iki tol, kol Centrui bus pateikta </w:t>
                      </w:r>
                      <w:r>
                        <w:rPr>
                          <w:szCs w:val="24"/>
                          <w:lang w:val="en-GB" w:eastAsia="lt-LT"/>
                        </w:rPr>
                        <w:t>visa būtina kokybiška papildoma informacija</w:t>
                      </w:r>
                      <w:r>
                        <w:rPr>
                          <w:szCs w:val="24"/>
                          <w:lang w:val="en-GB"/>
                        </w:rPr>
                        <w:t xml:space="preserve"> </w:t>
                      </w:r>
                      <w:r>
                        <w:rPr>
                          <w:szCs w:val="24"/>
                          <w:lang w:val="en-GB" w:eastAsia="lt-LT"/>
                        </w:rPr>
                        <w:t>ŠGP šalinimo ir naikinimo sąnaudų dydžiams apskaičiuoti;</w:t>
                      </w:r>
                    </w:p>
                  </w:sdtContent>
                </w:sdt>
                <w:sdt>
                  <w:sdtPr>
                    <w:alias w:val="31.3 pp."/>
                    <w:tag w:val="part_109346a31ce04643ab09bb9fd4b46f4c"/>
                    <w:lock w:val="sdtLocked"/>
                    <w:richText/>
                  </w:sdtPr>
                  <w:sdtContent>
                    <w:p>
                      <w:pPr>
                        <w:overflowPunct w:val="0"/>
                        <w:spacing w:line="360" w:lineRule="auto"/>
                        <w:ind w:firstLine="567"/>
                        <w:jc w:val="both"/>
                        <w:textAlignment w:val="baseline"/>
                        <w:rPr>
                          <w:szCs w:val="24"/>
                          <w:lang w:val="en-GB"/>
                        </w:rPr>
                      </w:pPr>
                      <w:sdt>
                        <w:sdtPr>
                          <w:alias w:val="Numeris"/>
                          <w:tag w:val="nr_109346a31ce04643ab09bb9fd4b46f4c"/>
                          <w:lock w:val="sdtLocked"/>
                          <w:richText/>
                        </w:sdtPr>
                        <w:sdtContent>
                          <w:r>
                            <w:rPr>
                              <w:szCs w:val="24"/>
                              <w:lang w:val="en-GB"/>
                            </w:rPr>
                            <w:t>31.3</w:t>
                          </w:r>
                        </w:sdtContent>
                      </w:sdt>
                      <w:r>
                        <w:rPr>
                          <w:szCs w:val="24"/>
                          <w:lang w:val="en-GB"/>
                        </w:rPr>
                        <w:t>. netvarkė įmonės apskaitos pagal 34 verslo apskaitos standartą, taikoma 30 proc. sankcija nuo gautos kompensacijos sumos už praėjusius kompensacijos gavimo metus, kuriais apskaita buvo tvarkoma netinkamai pagal Ministerijos Agentūrai pateiktą informaciją raštu;</w:t>
                      </w:r>
                    </w:p>
                  </w:sdtContent>
                </w:sdt>
                <w:sdt>
                  <w:sdtPr>
                    <w:alias w:val="31.4 pp."/>
                    <w:tag w:val="part_e1deacecc83f4c3ab92d80d4c59ab71e"/>
                    <w:lock w:val="sdtLocked"/>
                    <w:richText/>
                  </w:sdtPr>
                  <w:sdtContent>
                    <w:p>
                      <w:pPr>
                        <w:overflowPunct w:val="0"/>
                        <w:spacing w:line="360" w:lineRule="auto"/>
                        <w:ind w:firstLine="567"/>
                        <w:jc w:val="both"/>
                        <w:textAlignment w:val="baseline"/>
                        <w:rPr>
                          <w:szCs w:val="24"/>
                          <w:lang w:val="en-GB"/>
                        </w:rPr>
                      </w:pPr>
                      <w:sdt>
                        <w:sdtPr>
                          <w:alias w:val="Numeris"/>
                          <w:tag w:val="nr_e1deacecc83f4c3ab92d80d4c59ab71e"/>
                          <w:lock w:val="sdtLocked"/>
                          <w:richText/>
                        </w:sdtPr>
                        <w:sdtContent>
                          <w:r>
                            <w:rPr>
                              <w:szCs w:val="24"/>
                              <w:lang w:val="en-GB"/>
                            </w:rPr>
                            <w:t>31.4</w:t>
                          </w:r>
                        </w:sdtContent>
                      </w:sdt>
                      <w:r>
                        <w:rPr>
                          <w:szCs w:val="24"/>
                          <w:lang w:val="en-GB"/>
                        </w:rPr>
                        <w:t>. atsisakė surinkti ŠGP iš ŠGP turėtojo, taikoma 2 proc. sankcija nuo prašomos kompensacijos sumos už tą mėnesį, kurį buvo nustatytas pažeidimo faktas;</w:t>
                      </w:r>
                    </w:p>
                  </w:sdtContent>
                </w:sdt>
                <w:sdt>
                  <w:sdtPr>
                    <w:alias w:val="31.5 pp."/>
                    <w:tag w:val="part_b9977548da2c45c9b5c3ec10860183ee"/>
                    <w:lock w:val="sdtLocked"/>
                    <w:richText/>
                  </w:sdtPr>
                  <w:sdtContent>
                    <w:p>
                      <w:pPr>
                        <w:overflowPunct w:val="0"/>
                        <w:spacing w:line="360" w:lineRule="auto"/>
                        <w:ind w:firstLine="567"/>
                        <w:jc w:val="both"/>
                        <w:textAlignment w:val="baseline"/>
                        <w:rPr>
                          <w:szCs w:val="24"/>
                          <w:lang w:val="en-GB"/>
                        </w:rPr>
                      </w:pPr>
                      <w:sdt>
                        <w:sdtPr>
                          <w:alias w:val="Numeris"/>
                          <w:tag w:val="nr_b9977548da2c45c9b5c3ec10860183ee"/>
                          <w:lock w:val="sdtLocked"/>
                          <w:richText/>
                        </w:sdtPr>
                        <w:sdtContent>
                          <w:r>
                            <w:rPr>
                              <w:szCs w:val="24"/>
                              <w:lang w:val="en-GB"/>
                            </w:rPr>
                            <w:t>31.5</w:t>
                          </w:r>
                        </w:sdtContent>
                      </w:sdt>
                      <w:r>
                        <w:rPr>
                          <w:szCs w:val="24"/>
                          <w:lang w:val="en-GB"/>
                        </w:rPr>
                        <w:t>. nesilaikė taisyklių 17.4 papunkčio reikalavimų, taikoma 1 proc. sankcija nuo prašomos kompensacijos sumos už tą mėnesį, kurį buvo nustatytas pažeidimo faktas;</w:t>
                      </w:r>
                    </w:p>
                  </w:sdtContent>
                </w:sdt>
                <w:sdt>
                  <w:sdtPr>
                    <w:alias w:val="31.6 pp."/>
                    <w:tag w:val="part_63a27e1d298445b6b21c5761769a0ad5"/>
                    <w:lock w:val="sdtLocked"/>
                    <w:richText/>
                  </w:sdtPr>
                  <w:sdtContent>
                    <w:p>
                      <w:pPr>
                        <w:overflowPunct w:val="0"/>
                        <w:spacing w:line="360" w:lineRule="auto"/>
                        <w:ind w:firstLine="567"/>
                        <w:jc w:val="both"/>
                        <w:textAlignment w:val="baseline"/>
                      </w:pPr>
                      <w:sdt>
                        <w:sdtPr>
                          <w:alias w:val="Numeris"/>
                          <w:tag w:val="nr_63a27e1d298445b6b21c5761769a0ad5"/>
                          <w:lock w:val="sdtLocked"/>
                          <w:richText/>
                        </w:sdtPr>
                        <w:sdtContent>
                          <w:r>
                            <w:rPr>
                              <w:szCs w:val="24"/>
                              <w:lang w:val="en-GB"/>
                            </w:rPr>
                            <w:t>31.6</w:t>
                          </w:r>
                        </w:sdtContent>
                      </w:sdt>
                      <w:r>
                        <w:rPr>
                          <w:szCs w:val="24"/>
                          <w:lang w:val="en-GB"/>
                        </w:rPr>
                        <w:t>. apie taisyklių 17.1 ir 17.3 papunkčiuose nustatytų reikalavimų neatitikimus neinformavo 17.11 papunktyje nustatyta tvarka arba informavo, tačiau per 3 mėnesius nuo informavimo dienos neužtikrino atitikties taisyklių 17.1 ir 17.3 papunkčiuose nustatytiems reikalavimams, nuo taisyklių 17.1 ir 17.3 papunkčiuose nustatytų reikalavimų nesilaikymo datos netenka teisės gauti kompensacijų pagal taisykles</w:t>
                      </w:r>
                      <w:r>
                        <w:t>;</w:t>
                      </w:r>
                    </w:p>
                  </w:sdtContent>
                </w:sdt>
                <w:sdt>
                  <w:sdtPr>
                    <w:alias w:val="31.7 pp."/>
                    <w:tag w:val="part_149025c1c8254ede9ca37d8a7e92558c"/>
                    <w:lock w:val="sdtLocked"/>
                    <w:richText/>
                  </w:sdtPr>
                  <w:sdtContent>
                    <w:p>
                      <w:pPr>
                        <w:overflowPunct w:val="0"/>
                        <w:spacing w:line="360" w:lineRule="auto"/>
                        <w:ind w:firstLine="567"/>
                        <w:jc w:val="both"/>
                        <w:textAlignment w:val="baseline"/>
                        <w:rPr>
                          <w:szCs w:val="24"/>
                        </w:rPr>
                      </w:pPr>
                      <w:sdt>
                        <w:sdtPr>
                          <w:alias w:val="Numeris"/>
                          <w:tag w:val="nr_149025c1c8254ede9ca37d8a7e92558c"/>
                          <w:lock w:val="sdtLocked"/>
                          <w:richText/>
                        </w:sdtPr>
                        <w:sdtContent>
                          <w:r>
                            <w:rPr>
                              <w:szCs w:val="24"/>
                            </w:rPr>
                            <w:t>31.7</w:t>
                          </w:r>
                        </w:sdtContent>
                      </w:sdt>
                      <w:r>
                        <w:rPr>
                          <w:szCs w:val="24"/>
                        </w:rPr>
                        <w:t>. ŠGP tvarkytojui suderinus raštu su Centru ir patvirtinus priemoką už vienos tonos 1 ir 2 kategorijos ŠGP pašalinimą ir sunaikinimą (toliau – priemoka), bet viešai nepaskelbus įmonės svetainėje, ŠGP tvarkytojui taikoma 1 proc. sankcija nuo prašomos kompensacijos sumos už tą mėnesį, kurį buvo nustatytas pažeidimo faktas. Tuo atveju, kai ŠGP tvarkytojas nesuderino priemokos su Centru, bet taiko ŠGP turėtojui, kuris atitinka taisyklių 16 punkto nuostatas, ŠGP tvarkytojui pagalba už tą mėnesį mažinama 20 procentų, kai buvo nustatytas pažeidimo faktas, už antrą mėnesį – 50 procentų, trečią ir kitus pagalba nemokama iki tol, kol įmonė taikys nesuderintą raštu su Centru priemoką už 1 ir 2 kategorijos ŠGP sutvarkymą;</w:t>
                      </w:r>
                    </w:p>
                  </w:sdtContent>
                </w:sdt>
                <w:sdt>
                  <w:sdtPr>
                    <w:alias w:val="31.8 pp."/>
                    <w:tag w:val="part_35192a62936846169053e5dd29b67808"/>
                    <w:lock w:val="sdtLocked"/>
                    <w:richText/>
                  </w:sdtPr>
                  <w:sdtContent>
                    <w:p>
                      <w:pPr>
                        <w:overflowPunct w:val="0"/>
                        <w:spacing w:line="360" w:lineRule="auto"/>
                        <w:ind w:firstLine="567"/>
                        <w:jc w:val="both"/>
                        <w:textAlignment w:val="baseline"/>
                        <w:rPr>
                          <w:szCs w:val="24"/>
                          <w:lang w:val="en-GB"/>
                        </w:rPr>
                      </w:pPr>
                      <w:sdt>
                        <w:sdtPr>
                          <w:alias w:val="Numeris"/>
                          <w:tag w:val="nr_35192a62936846169053e5dd29b67808"/>
                          <w:lock w:val="sdtLocked"/>
                          <w:richText/>
                        </w:sdtPr>
                        <w:sdtContent>
                          <w:r>
                            <w:rPr>
                              <w:szCs w:val="24"/>
                              <w:lang w:val="en-GB"/>
                            </w:rPr>
                            <w:t>31.8</w:t>
                          </w:r>
                        </w:sdtContent>
                      </w:sdt>
                      <w:r>
                        <w:rPr>
                          <w:szCs w:val="24"/>
                          <w:lang w:val="en-GB"/>
                        </w:rPr>
                        <w:t xml:space="preserve">. nesilaikė 17.12 papunkčio reikalavimų, t. y.  neužtikrino 1 ir 2 kategorijų (t. y.  abiejų kategorijų) ŠGP pašalinimo ir sunaikinimo iš ŠGP turėtojų </w:t>
                      </w:r>
                      <w:r>
                        <w:rPr>
                          <w:szCs w:val="24"/>
                          <w:lang w:val="en-GB" w:eastAsia="lt-LT"/>
                        </w:rPr>
                        <w:t>(pvz., ŠGP tvarkytojas pašalino ir sunaikino tik 2 kategorijos ŠGP), tokiu atveju ŠGP tvarkytojas netenka teisės gauti kompensacijos.</w:t>
                      </w:r>
                    </w:p>
                  </w:sdtContent>
                </w:sdt>
              </w:sdtContent>
            </w:sdt>
            <w:sdt>
              <w:sdtPr>
                <w:alias w:val="32 p."/>
                <w:tag w:val="part_b9b33ae37b214b8d8682a76b938b41f5"/>
                <w:lock w:val="sdtLocked"/>
                <w:richText/>
              </w:sdtPr>
              <w:sdtContent>
                <w:p>
                  <w:pPr>
                    <w:tabs>
                      <w:tab w:val="left" w:pos="993"/>
                    </w:tabs>
                    <w:spacing w:line="360" w:lineRule="auto"/>
                    <w:ind w:firstLine="567"/>
                    <w:jc w:val="both"/>
                    <w:rPr>
                      <w:strike/>
                      <w:szCs w:val="24"/>
                    </w:rPr>
                  </w:pPr>
                  <w:sdt>
                    <w:sdtPr>
                      <w:alias w:val="Numeris"/>
                      <w:tag w:val="nr_b9b33ae37b214b8d8682a76b938b41f5"/>
                      <w:lock w:val="sdtLocked"/>
                      <w:richText/>
                    </w:sdtPr>
                    <w:sdtContent>
                      <w:r>
                        <w:rPr>
                          <w:szCs w:val="24"/>
                        </w:rPr>
                        <w:t>32</w:t>
                      </w:r>
                    </w:sdtContent>
                  </w:sdt>
                  <w:r>
                    <w:rPr>
                      <w:szCs w:val="24"/>
                    </w:rPr>
                    <w:t>. ŠGP turėtojas, kuris nesilaikė taisyklių 16.3 papunktyje nurodytos sąlygos, t. y. dėl to paties ŠGP pašalinimo ir sunaikinimo pateikė užsakymą daugiau nei vienam ŠGP tvarkytojui, o pasinaudojo tik vieno, anksčiau atvykusio, ŠGP tvarkytojo teikiamomis</w:t>
                  </w:r>
                  <w:r>
                    <w:t xml:space="preserve"> </w:t>
                  </w:r>
                  <w:r>
                    <w:rPr>
                      <w:szCs w:val="24"/>
                    </w:rPr>
                    <w:t xml:space="preserve">paslaugomis, privalo atlyginti kito ŠGP tvarkytojo patirtas transporto išlaidas. </w:t>
                  </w:r>
                </w:p>
                <w:p>
                  <w:pPr>
                    <w:widowControl w:val="0"/>
                    <w:suppressAutoHyphens/>
                    <w:jc w:val="center"/>
                    <w:rPr>
                      <w:b/>
                      <w:bCs/>
                      <w:caps/>
                    </w:rPr>
                  </w:pPr>
                </w:p>
              </w:sdtContent>
            </w:sdt>
          </w:sdtContent>
        </w:sdt>
        <w:sdt>
          <w:sdtPr>
            <w:alias w:val="skyrius"/>
            <w:tag w:val="part_4d867231d3f44833893cfe8620108e31"/>
            <w:lock w:val="sdtLocked"/>
            <w:richText/>
          </w:sdtPr>
          <w:sdtContent>
            <w:p>
              <w:pPr>
                <w:widowControl w:val="0"/>
                <w:suppressAutoHyphens/>
                <w:jc w:val="center"/>
                <w:rPr>
                  <w:b/>
                  <w:bCs/>
                  <w:caps/>
                </w:rPr>
              </w:pPr>
              <w:sdt>
                <w:sdtPr>
                  <w:alias w:val="Numeris"/>
                  <w:tag w:val="nr_4d867231d3f44833893cfe8620108e31"/>
                  <w:lock w:val="sdtLocked"/>
                  <w:richText/>
                </w:sdtPr>
                <w:sdtContent>
                  <w:r>
                    <w:rPr>
                      <w:b/>
                      <w:bCs/>
                      <w:caps/>
                    </w:rPr>
                    <w:t>VII</w:t>
                  </w:r>
                </w:sdtContent>
              </w:sdt>
              <w:r>
                <w:rPr>
                  <w:b/>
                  <w:bCs/>
                  <w:caps/>
                </w:rPr>
                <w:t xml:space="preserve"> SKYRIUS</w:t>
              </w:r>
            </w:p>
            <w:p>
              <w:pPr>
                <w:widowControl w:val="0"/>
                <w:suppressAutoHyphens/>
                <w:jc w:val="center"/>
                <w:rPr>
                  <w:b/>
                  <w:bCs/>
                  <w:caps/>
                  <w:szCs w:val="24"/>
                </w:rPr>
              </w:pPr>
              <w:sdt>
                <w:sdtPr>
                  <w:alias w:val="Pavadinimas"/>
                  <w:tag w:val="title_4d867231d3f44833893cfe8620108e31"/>
                  <w:lock w:val="sdtLocked"/>
                  <w:richText/>
                </w:sdtPr>
                <w:sdtContent>
                  <w:r>
                    <w:rPr>
                      <w:b/>
                      <w:bCs/>
                      <w:caps/>
                      <w:szCs w:val="24"/>
                    </w:rPr>
                    <w:t>ATSAKOMYBĖ</w:t>
                  </w:r>
                </w:sdtContent>
              </w:sdt>
            </w:p>
            <w:p>
              <w:pPr>
                <w:widowControl w:val="0"/>
                <w:suppressAutoHyphens/>
                <w:jc w:val="center"/>
                <w:rPr>
                  <w:b/>
                  <w:bCs/>
                  <w:caps/>
                  <w:szCs w:val="24"/>
                </w:rPr>
              </w:pPr>
            </w:p>
            <w:sdt>
              <w:sdtPr>
                <w:alias w:val="33 p."/>
                <w:tag w:val="part_44f8341c5cf544028eebeb633cee939e"/>
                <w:lock w:val="sdtLocked"/>
                <w:richText/>
              </w:sdtPr>
              <w:sdtContent>
                <w:p>
                  <w:pPr>
                    <w:widowControl w:val="0"/>
                    <w:suppressAutoHyphens/>
                    <w:spacing w:line="360" w:lineRule="auto"/>
                    <w:ind w:firstLine="567"/>
                    <w:jc w:val="both"/>
                  </w:pPr>
                  <w:sdt>
                    <w:sdtPr>
                      <w:alias w:val="Numeris"/>
                      <w:tag w:val="nr_44f8341c5cf544028eebeb633cee939e"/>
                      <w:lock w:val="sdtLocked"/>
                      <w:richText/>
                    </w:sdtPr>
                    <w:sdtContent>
                      <w:r>
                        <w:rPr>
                          <w:szCs w:val="24"/>
                        </w:rPr>
                        <w:t>33</w:t>
                      </w:r>
                    </w:sdtContent>
                  </w:sdt>
                  <w:r>
                    <w:rPr>
                      <w:szCs w:val="24"/>
                    </w:rPr>
                    <w:t>. Už paraiškoje nurodytų ir kitų teikiamų duomenų</w:t>
                  </w:r>
                  <w:r>
                    <w:t>, siekiant gauti kompensaciją ir pagalbą, teisingumą</w:t>
                  </w:r>
                  <w:r>
                    <w:rPr>
                      <w:szCs w:val="24"/>
                    </w:rPr>
                    <w:t>, taip pat už ŠGP tvarkytojo ar ŠGP turėtojo patalpose / teritorijoje atliekamos patikros metu pateiktos informacijos teisingumą</w:t>
                  </w:r>
                  <w:r>
                    <w:t xml:space="preserve"> atitinkamai atsako ŠGP turėtojas ir ŠGP tvarkytojas.</w:t>
                  </w:r>
                </w:p>
              </w:sdtContent>
            </w:sdt>
            <w:sdt>
              <w:sdtPr>
                <w:alias w:val="34 p."/>
                <w:tag w:val="part_710042171ba24ecd81c3effa0e1c0b7f"/>
                <w:lock w:val="sdtLocked"/>
                <w:richText/>
              </w:sdtPr>
              <w:sdtContent>
                <w:p>
                  <w:pPr>
                    <w:widowControl w:val="0"/>
                    <w:suppressAutoHyphens/>
                    <w:spacing w:line="360" w:lineRule="auto"/>
                    <w:ind w:firstLine="567"/>
                    <w:jc w:val="both"/>
                    <w:rPr>
                      <w:szCs w:val="24"/>
                    </w:rPr>
                  </w:pPr>
                  <w:sdt>
                    <w:sdtPr>
                      <w:alias w:val="Numeris"/>
                      <w:tag w:val="nr_710042171ba24ecd81c3effa0e1c0b7f"/>
                      <w:lock w:val="sdtLocked"/>
                      <w:richText/>
                    </w:sdtPr>
                    <w:sdtContent>
                      <w:r>
                        <w:rPr>
                          <w:szCs w:val="24"/>
                        </w:rPr>
                        <w:t>34</w:t>
                      </w:r>
                    </w:sdtContent>
                  </w:sdt>
                  <w:r>
                    <w:rPr>
                      <w:szCs w:val="24"/>
                    </w:rPr>
                    <w:t>. Už paraiškų administravimą (už paraiškų priėmimą ir vertinimą), ŠGP tvarkytojų, pateikusių paraiškas, informavimą dėl tinkamumo / netinkamumo gauti valstybės pagalbą atsako Agentūra.</w:t>
                  </w:r>
                </w:p>
              </w:sdtContent>
            </w:sdt>
            <w:sdt>
              <w:sdtPr>
                <w:alias w:val="35 p."/>
                <w:tag w:val="part_4fd2ef3f870b42c9aeeb61220d10fe91"/>
                <w:lock w:val="sdtLocked"/>
                <w:richText/>
              </w:sdtPr>
              <w:sdtContent>
                <w:p>
                  <w:pPr>
                    <w:widowControl w:val="0"/>
                    <w:suppressAutoHyphens/>
                    <w:spacing w:line="360" w:lineRule="auto"/>
                    <w:ind w:firstLine="567"/>
                    <w:jc w:val="both"/>
                  </w:pPr>
                  <w:sdt>
                    <w:sdtPr>
                      <w:alias w:val="Numeris"/>
                      <w:tag w:val="nr_4fd2ef3f870b42c9aeeb61220d10fe91"/>
                      <w:lock w:val="sdtLocked"/>
                      <w:richText/>
                    </w:sdtPr>
                    <w:sdtContent>
                      <w:r>
                        <w:t>35</w:t>
                      </w:r>
                    </w:sdtContent>
                  </w:sdt>
                  <w:r>
                    <w:t xml:space="preserve">. Už teisingą lėšų apskaitą ir išmokėjimą pagal ŠGP tvarkytojo pateiktas pažymas, už duomenų apie suteiktą valstybės pagalbą pateikimą į Registrą bei už informacijos apie skirtą valstybės pagalbą už 1 ir 2 kategorijų ŠGP šalinimą ir naikinimą pateikimą Ministerijai atsako Agentūra. </w:t>
                  </w:r>
                </w:p>
              </w:sdtContent>
            </w:sdt>
            <w:sdt>
              <w:sdtPr>
                <w:alias w:val="36 p."/>
                <w:tag w:val="part_f13dca36c1844ab4bc530da8442e373d"/>
                <w:lock w:val="sdtLocked"/>
                <w:richText/>
              </w:sdtPr>
              <w:sdtContent>
                <w:p>
                  <w:pPr>
                    <w:widowControl w:val="0"/>
                    <w:suppressAutoHyphens/>
                    <w:spacing w:line="360" w:lineRule="auto"/>
                    <w:ind w:firstLine="567"/>
                    <w:jc w:val="both"/>
                  </w:pPr>
                  <w:sdt>
                    <w:sdtPr>
                      <w:alias w:val="Numeris"/>
                      <w:tag w:val="nr_f13dca36c1844ab4bc530da8442e373d"/>
                      <w:lock w:val="sdtLocked"/>
                      <w:richText/>
                    </w:sdtPr>
                    <w:sdtContent>
                      <w:r>
                        <w:t>36</w:t>
                      </w:r>
                    </w:sdtContent>
                  </w:sdt>
                  <w:r>
                    <w:t>. Už pranešimo dėl laiku nepašalintų ŠGP pateikimą VMVT atsako ŠGP turėtojas.</w:t>
                  </w:r>
                </w:p>
              </w:sdtContent>
            </w:sdt>
            <w:sdt>
              <w:sdtPr>
                <w:alias w:val="37 p."/>
                <w:tag w:val="part_46173bb30ed64a52b9056cbd00d55371"/>
                <w:lock w:val="sdtLocked"/>
                <w:richText/>
              </w:sdtPr>
              <w:sdtContent>
                <w:p>
                  <w:pPr>
                    <w:spacing w:line="360" w:lineRule="auto"/>
                    <w:ind w:firstLine="567"/>
                    <w:jc w:val="both"/>
                  </w:pPr>
                  <w:sdt>
                    <w:sdtPr>
                      <w:alias w:val="Numeris"/>
                      <w:tag w:val="nr_46173bb30ed64a52b9056cbd00d55371"/>
                      <w:lock w:val="sdtLocked"/>
                      <w:richText/>
                    </w:sdtPr>
                    <w:sdtContent>
                      <w:r>
                        <w:t>37</w:t>
                      </w:r>
                    </w:sdtContent>
                  </w:sdt>
                  <w:r>
                    <w:t>. Už taisyklių 25</w:t>
                  </w:r>
                  <w:r>
                    <w:rPr>
                      <w:b/>
                      <w:bCs/>
                    </w:rPr>
                    <w:t xml:space="preserve"> </w:t>
                  </w:r>
                  <w:r>
                    <w:t>punkte nurodytų duomenų pateikimą Agentūrai atsako VMVT.</w:t>
                  </w:r>
                </w:p>
                <w:p>
                  <w:pPr>
                    <w:widowControl w:val="0"/>
                    <w:suppressAutoHyphens/>
                  </w:pPr>
                </w:p>
              </w:sdtContent>
            </w:sdt>
          </w:sdtContent>
        </w:sdt>
        <w:sdt>
          <w:sdtPr>
            <w:alias w:val="skyrius"/>
            <w:tag w:val="part_b2e4baad48654cf9a006be6edfb9f0eb"/>
            <w:lock w:val="sdtLocked"/>
            <w:richText/>
          </w:sdtPr>
          <w:sdtContent>
            <w:p>
              <w:pPr>
                <w:widowControl w:val="0"/>
                <w:suppressAutoHyphens/>
                <w:jc w:val="center"/>
                <w:rPr>
                  <w:b/>
                </w:rPr>
              </w:pPr>
              <w:sdt>
                <w:sdtPr>
                  <w:alias w:val="Numeris"/>
                  <w:tag w:val="nr_b2e4baad48654cf9a006be6edfb9f0eb"/>
                  <w:lock w:val="sdtLocked"/>
                  <w:richText/>
                </w:sdtPr>
                <w:sdtContent>
                  <w:r>
                    <w:rPr>
                      <w:b/>
                    </w:rPr>
                    <w:t>VIII</w:t>
                  </w:r>
                </w:sdtContent>
              </w:sdt>
              <w:r>
                <w:rPr>
                  <w:b/>
                </w:rPr>
                <w:t xml:space="preserve"> SKYRIUS</w:t>
              </w:r>
            </w:p>
            <w:p>
              <w:pPr>
                <w:widowControl w:val="0"/>
                <w:suppressAutoHyphens/>
                <w:jc w:val="center"/>
                <w:rPr>
                  <w:b/>
                </w:rPr>
              </w:pPr>
              <w:sdt>
                <w:sdtPr>
                  <w:alias w:val="Pavadinimas"/>
                  <w:tag w:val="title_b2e4baad48654cf9a006be6edfb9f0eb"/>
                  <w:lock w:val="sdtLocked"/>
                  <w:richText/>
                </w:sdtPr>
                <w:sdtContent>
                  <w:r>
                    <w:rPr>
                      <w:b/>
                    </w:rPr>
                    <w:t>BAIGIAMOSIOS NUOSTATOS</w:t>
                  </w:r>
                </w:sdtContent>
              </w:sdt>
            </w:p>
            <w:p>
              <w:pPr>
                <w:widowControl w:val="0"/>
                <w:suppressAutoHyphens/>
                <w:rPr>
                  <w:bCs/>
                </w:rPr>
              </w:pPr>
            </w:p>
            <w:sdt>
              <w:sdtPr>
                <w:alias w:val="38 p."/>
                <w:tag w:val="part_0b251f073c5f4804b73736e68e802c3e"/>
                <w:lock w:val="sdtLocked"/>
                <w:richText/>
              </w:sdtPr>
              <w:sdtContent>
                <w:p>
                  <w:pPr>
                    <w:widowControl w:val="0"/>
                    <w:suppressAutoHyphens/>
                    <w:spacing w:line="360" w:lineRule="auto"/>
                    <w:ind w:firstLine="567"/>
                    <w:jc w:val="both"/>
                  </w:pPr>
                  <w:sdt>
                    <w:sdtPr>
                      <w:alias w:val="Numeris"/>
                      <w:tag w:val="nr_0b251f073c5f4804b73736e68e802c3e"/>
                      <w:lock w:val="sdtLocked"/>
                      <w:richText/>
                    </w:sdtPr>
                    <w:sdtContent>
                      <w:r>
                        <w:t>38</w:t>
                      </w:r>
                    </w:sdtContent>
                  </w:sdt>
                  <w:r>
                    <w:t xml:space="preserve">. Kompetentingos institucijos turi teisę atlikti ŠGP tvarkytojo patikrą, siekdamos išsiaiškinti, kaip panaudojamos valstybės biudžeto lėšos. </w:t>
                  </w:r>
                </w:p>
              </w:sdtContent>
            </w:sdt>
            <w:sdt>
              <w:sdtPr>
                <w:alias w:val="39 p."/>
                <w:tag w:val="part_1d5ab31e72ac48c4bb8304334c391c3c"/>
                <w:lock w:val="sdtLocked"/>
                <w:richText/>
              </w:sdtPr>
              <w:sdtContent>
                <w:p>
                  <w:pPr>
                    <w:widowControl w:val="0"/>
                    <w:suppressAutoHyphens/>
                    <w:spacing w:line="360" w:lineRule="auto"/>
                    <w:ind w:firstLine="567"/>
                    <w:jc w:val="both"/>
                  </w:pPr>
                  <w:sdt>
                    <w:sdtPr>
                      <w:alias w:val="Numeris"/>
                      <w:tag w:val="nr_1d5ab31e72ac48c4bb8304334c391c3c"/>
                      <w:lock w:val="sdtLocked"/>
                      <w:richText/>
                    </w:sdtPr>
                    <w:sdtContent>
                      <w:r>
                        <w:t>39</w:t>
                      </w:r>
                    </w:sdtContent>
                  </w:sdt>
                  <w:r>
                    <w:t>. ŠGP tvarkytojai privalo ne trumpiau kaip 10 (dešimt) metų nuo paskutinės pažymos apie lėšų poreikį pateikimo dienos saugoti visą su pagalbos už ŠGP šalinimą ir naikinimą skyrimu susijusią informaciją ir dokumentus.</w:t>
                  </w:r>
                </w:p>
              </w:sdtContent>
            </w:sdt>
            <w:sdt>
              <w:sdtPr>
                <w:alias w:val="40 p."/>
                <w:tag w:val="part_d833ae2e7ee748dabfbe0b4168bb8c78"/>
                <w:lock w:val="sdtLocked"/>
                <w:richText/>
              </w:sdtPr>
              <w:sdtContent>
                <w:p>
                  <w:pPr>
                    <w:widowControl w:val="0"/>
                    <w:suppressAutoHyphens/>
                    <w:spacing w:line="360" w:lineRule="auto"/>
                    <w:ind w:firstLine="567"/>
                    <w:jc w:val="both"/>
                  </w:pPr>
                  <w:sdt>
                    <w:sdtPr>
                      <w:alias w:val="Numeris"/>
                      <w:tag w:val="nr_d833ae2e7ee748dabfbe0b4168bb8c78"/>
                      <w:lock w:val="sdtLocked"/>
                      <w:richText/>
                    </w:sdtPr>
                    <w:sdtContent>
                      <w:r>
                        <w:t>40</w:t>
                      </w:r>
                    </w:sdtContent>
                  </w:sdt>
                  <w:r>
                    <w:t xml:space="preserve">. Agentūra  privalo ne trumpiau kaip 10 (dešimt) metų nuo paskutinės pagalbos suteikimo dienos saugoti visą su pagalbos už ŠGP šalinimą ir naikinimą teikimu susijusią informaciją ir dokumentus.</w:t>
                  </w:r>
                </w:p>
              </w:sdtContent>
            </w:sdt>
            <w:sdt>
              <w:sdtPr>
                <w:alias w:val="41 p."/>
                <w:tag w:val="part_2ecb9e57f12e480b9e5319351026330f"/>
                <w:lock w:val="sdtLocked"/>
                <w:richText/>
              </w:sdtPr>
              <w:sdtContent>
                <w:p>
                  <w:pPr>
                    <w:widowControl w:val="0"/>
                    <w:suppressAutoHyphens/>
                    <w:spacing w:line="360" w:lineRule="auto"/>
                    <w:ind w:firstLine="567"/>
                    <w:jc w:val="both"/>
                  </w:pPr>
                  <w:sdt>
                    <w:sdtPr>
                      <w:alias w:val="Numeris"/>
                      <w:tag w:val="nr_2ecb9e57f12e480b9e5319351026330f"/>
                      <w:lock w:val="sdtLocked"/>
                      <w:richText/>
                    </w:sdtPr>
                    <w:sdtContent>
                      <w:r>
                        <w:t>41</w:t>
                      </w:r>
                    </w:sdtContent>
                  </w:sdt>
                  <w:r>
                    <w:t>. Informacija apie ŠGP turėtojus ir jiems skirtą pagalbą viešinama Bendrosiose administravimo taisyklėse nustatyta tvarka.</w:t>
                  </w:r>
                </w:p>
              </w:sdtContent>
            </w:sdt>
            <w:sdt>
              <w:sdtPr>
                <w:alias w:val="42 p."/>
                <w:tag w:val="part_97e6303b7512467ca9307cce6c548fd5"/>
                <w:lock w:val="sdtLocked"/>
                <w:richText/>
              </w:sdtPr>
              <w:sdtContent>
                <w:p>
                  <w:pPr>
                    <w:widowControl w:val="0"/>
                    <w:suppressAutoHyphens/>
                    <w:spacing w:line="360" w:lineRule="auto"/>
                    <w:ind w:firstLine="567"/>
                    <w:jc w:val="both"/>
                    <w:rPr>
                      <w:szCs w:val="24"/>
                      <w:lang w:eastAsia="lt-LT"/>
                    </w:rPr>
                  </w:pPr>
                  <w:sdt>
                    <w:sdtPr>
                      <w:alias w:val="Numeris"/>
                      <w:tag w:val="nr_97e6303b7512467ca9307cce6c548fd5"/>
                      <w:lock w:val="sdtLocked"/>
                      <w:richText/>
                    </w:sdtPr>
                    <w:sdtContent>
                      <w:r>
                        <w:rPr>
                          <w:szCs w:val="24"/>
                          <w:lang w:eastAsia="lt-LT"/>
                        </w:rPr>
                        <w:t>42</w:t>
                      </w:r>
                    </w:sdtContent>
                  </w:sdt>
                  <w:r>
                    <w:rPr>
                      <w:szCs w:val="24"/>
                      <w:lang w:eastAsia="lt-LT"/>
                    </w:rPr>
                    <w:t xml:space="preserve">. ŠGP tvarkytojas ir ŠGP turėtojas, gavę pagalbą neteisėtai, ir asmenys, prisidėję prie neteisėto pagalbos gavimo (ŠGP tvarkytojų pateiktuose prašymuose sąmoningai patvirtinę klaidingus duomenis), atsako Lietuvos Respublikos įstatymų nustatyta tvarka. </w:t>
                  </w:r>
                </w:p>
              </w:sdtContent>
            </w:sdt>
            <w:sdt>
              <w:sdtPr>
                <w:alias w:val="43 p."/>
                <w:tag w:val="part_8877873f1a8a45cfadd9f85d72e1f604"/>
                <w:lock w:val="sdtLocked"/>
                <w:richText/>
              </w:sdtPr>
              <w:sdtContent>
                <w:p>
                  <w:pPr>
                    <w:widowControl w:val="0"/>
                    <w:suppressAutoHyphens/>
                    <w:spacing w:line="360" w:lineRule="auto"/>
                    <w:ind w:firstLine="567"/>
                    <w:jc w:val="both"/>
                    <w:rPr>
                      <w:szCs w:val="24"/>
                      <w:lang w:eastAsia="lt-LT"/>
                    </w:rPr>
                  </w:pPr>
                  <w:sdt>
                    <w:sdtPr>
                      <w:alias w:val="Numeris"/>
                      <w:tag w:val="nr_8877873f1a8a45cfadd9f85d72e1f604"/>
                      <w:lock w:val="sdtLocked"/>
                      <w:richText/>
                    </w:sdtPr>
                    <w:sdtContent>
                      <w:r>
                        <w:rPr>
                          <w:szCs w:val="24"/>
                          <w:lang w:eastAsia="lt-LT"/>
                        </w:rPr>
                        <w:t>43</w:t>
                      </w:r>
                    </w:sdtContent>
                  </w:sdt>
                  <w:r>
                    <w:rPr>
                      <w:szCs w:val="24"/>
                      <w:lang w:eastAsia="lt-LT"/>
                    </w:rPr>
                    <w:t xml:space="preserve">. Asmenys, pažeidę šių taisyklių reikalavimus, atsako teisės aktų nustatyta tvarka. </w:t>
                  </w:r>
                </w:p>
              </w:sdtContent>
            </w:sdt>
          </w:sdtContent>
        </w:sdt>
        <w:sdt>
          <w:sdtPr>
            <w:alias w:val="pabaiga"/>
            <w:tag w:val="part_5d8ad596a29c40c3bceb8eb62ff94a6e"/>
            <w:lock w:val="sdtLocked"/>
            <w:richText/>
          </w:sdtPr>
          <w:sdtContent>
            <w:p>
              <w:pPr>
                <w:widowControl w:val="0"/>
                <w:suppressAutoHyphens/>
                <w:spacing w:line="360" w:lineRule="auto"/>
                <w:jc w:val="center"/>
                <w:rPr>
                  <w:szCs w:val="24"/>
                  <w:lang w:eastAsia="lt-LT"/>
                </w:rPr>
              </w:pPr>
              <w:r>
                <w:rPr>
                  <w:szCs w:val="24"/>
                  <w:lang w:eastAsia="lt-LT"/>
                </w:rPr>
                <w:t>__________________________</w:t>
              </w:r>
            </w:p>
            <w:p>
              <w:pPr>
                <w:overflowPunct w:val="0"/>
                <w:jc w:val="both"/>
                <w:textAlignment w:val="baseline"/>
              </w:pPr>
            </w:p>
          </w:sdtContent>
        </w:sdt>
      </w:sdtContent>
    </w:sdt>
    <w:sdt>
      <w:sdtPr>
        <w:alias w:val="3 pr."/>
        <w:tag w:val="part_075dbda070e14b129cfd0896e2e1f77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3D-573)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cbed31c74011efa5ddd96c482819f5">
            <w:r w:rsidRPr="00532B9F">
              <w:rPr>
                <w:rFonts w:ascii="Times New Roman" w:eastAsia="MS Mincho" w:hAnsi="Times New Roman"/>
                <w:sz w:val="20"/>
                <w:i/>
                <w:iCs/>
                <w:color w:val="0000FF" w:themeColor="hyperlink"/>
                <w:u w:val="single"/>
              </w:rPr>
              <w:t>3D-851</w:t>
            </w:r>
          </w:fldSimple>
          <w:r>
            <w:rPr>
              <w:rFonts w:ascii="Times New Roman" w:eastAsia="MS Mincho" w:hAnsi="Times New Roman"/>
              <w:sz w:val="20"/>
              <w:i/>
              <w:iCs/>
            </w:rPr>
            <w:t>,
2024-12-31,
paskelbta TAR 2024-12-31, i. k. 2024-23571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8ff334c05511f092fda1fd0c194cc5">
            <w:r w:rsidRPr="00532B9F">
              <w:rPr>
                <w:rFonts w:ascii="Times New Roman" w:eastAsia="MS Mincho" w:hAnsi="Times New Roman"/>
                <w:sz w:val="20"/>
                <w:i/>
                <w:iCs/>
                <w:color w:val="0000FF" w:themeColor="hyperlink"/>
                <w:u w:val="single"/>
              </w:rPr>
              <w:t>3D-573</w:t>
            </w:r>
          </w:fldSimple>
          <w:r>
            <w:rPr>
              <w:rFonts w:ascii="Times New Roman" w:eastAsia="MS Mincho" w:hAnsi="Times New Roman"/>
              <w:sz w:val="20"/>
              <w:i/>
              <w:iCs/>
            </w:rPr>
            <w:t>,
2025-11-13,
paskelbta TAR 2025-11-13, i. k. 2025-18995        </w:t>
          </w:r>
        </w:p>
        <w:p/>
        <w:p>
          <w:pPr>
            <w:pStyle w:val="PlainText"/>
            <w:rPr>
              <w:rFonts w:ascii="Times New Roman" w:eastAsia="MS Mincho" w:hAnsi="Times New Roman"/>
              <w:sz w:val="20"/>
              <w:iCs/>
            </w:rPr>
          </w:pPr>
          <w:r>
            <w:rPr>
              <w:rFonts w:ascii="Times New Roman" w:eastAsia="MS Mincho" w:hAnsi="Times New Roman"/>
              <w:sz w:val="20"/>
              <w:iCs/>
            </w:rPr>
            <w:t>2 priedas (pagal įsakymą Nr. 3D-573)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8ff334c05511f092fda1fd0c194cc5">
            <w:r w:rsidRPr="00532B9F">
              <w:rPr>
                <w:rFonts w:ascii="Times New Roman" w:eastAsia="MS Mincho" w:hAnsi="Times New Roman"/>
                <w:sz w:val="20"/>
                <w:i/>
                <w:iCs/>
                <w:color w:val="0000FF" w:themeColor="hyperlink"/>
                <w:u w:val="single"/>
              </w:rPr>
              <w:t>3D-573</w:t>
            </w:r>
          </w:fldSimple>
          <w:r>
            <w:rPr>
              <w:rFonts w:ascii="Times New Roman" w:eastAsia="MS Mincho" w:hAnsi="Times New Roman"/>
              <w:sz w:val="20"/>
              <w:i/>
              <w:iCs/>
            </w:rPr>
            <w:t>,
2025-11-13,
paskelbta TAR 2025-11-13, i. k. 2025-18995        </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8 priedas (pagal įsakymą Nr. 3D-812)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fb4a76ae1e11ef90b5ee8931e5ce5e">
            <w:r w:rsidRPr="00532B9F">
              <w:rPr>
                <w:rFonts w:ascii="Times New Roman" w:eastAsia="MS Mincho" w:hAnsi="Times New Roman"/>
                <w:sz w:val="20"/>
                <w:i/>
                <w:iCs/>
                <w:color w:val="0000FF" w:themeColor="hyperlink"/>
                <w:u w:val="single"/>
              </w:rPr>
              <w:t>3D-812</w:t>
            </w:r>
          </w:fldSimple>
          <w:r>
            <w:rPr>
              <w:rFonts w:ascii="Times New Roman" w:eastAsia="MS Mincho" w:hAnsi="Times New Roman"/>
              <w:sz w:val="20"/>
              <w:i/>
              <w:iCs/>
            </w:rPr>
            <w:t>,
2024-11-29,
paskelbta TAR 2024-11-29, i. k. 2024-20944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221A59B981">
            <w:r w:rsidRPr="00532B9F">
              <w:rPr>
                <w:rFonts w:ascii="Times New Roman" w:eastAsia="MS Mincho" w:hAnsi="Times New Roman"/>
                <w:sz w:val="20"/>
                <w:iCs/>
                <w:color w:val="0000FF" w:themeColor="hyperlink"/>
                <w:u w:val="single"/>
              </w:rPr>
              <w:t>3D-346</w:t>
            </w:r>
          </w:fldSimple>
          <w:r>
            <w:rPr>
              <w:rFonts w:ascii="Times New Roman" w:eastAsia="MS Mincho" w:hAnsi="Times New Roman"/>
              <w:sz w:val="20"/>
              <w:iCs/>
            </w:rPr>
            <w:t>,
2007-07-13,
Žin., 2007, Nr.
80-3288 (2007-07-19); Žin., 2007, Nr.
81-0 (2007-07-21), i. k. 1072330ISAK003D-346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2006 m. spalio 3 d. įsakymo Nr. 3D-385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06CD56C4AD8">
            <w:r w:rsidRPr="00532B9F">
              <w:rPr>
                <w:rFonts w:ascii="Times New Roman" w:eastAsia="MS Mincho" w:hAnsi="Times New Roman"/>
                <w:sz w:val="20"/>
                <w:iCs/>
                <w:color w:val="0000FF" w:themeColor="hyperlink"/>
                <w:u w:val="single"/>
              </w:rPr>
              <w:t>3D-179</w:t>
            </w:r>
          </w:fldSimple>
          <w:r>
            <w:rPr>
              <w:rFonts w:ascii="Times New Roman" w:eastAsia="MS Mincho" w:hAnsi="Times New Roman"/>
              <w:sz w:val="20"/>
              <w:iCs/>
            </w:rPr>
            <w:t>,
2008-03-31,
Žin., 2008, Nr.
41-1524 (2008-04-10), i. k. 1082330ISAK003D-179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2006 m. spalio 3 d. įsakymo Nr. 3D-385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1932EB886A">
            <w:r w:rsidRPr="00532B9F">
              <w:rPr>
                <w:rFonts w:ascii="Times New Roman" w:eastAsia="MS Mincho" w:hAnsi="Times New Roman"/>
                <w:sz w:val="20"/>
                <w:iCs/>
                <w:color w:val="0000FF" w:themeColor="hyperlink"/>
                <w:u w:val="single"/>
              </w:rPr>
              <w:t>3D-815</w:t>
            </w:r>
          </w:fldSimple>
          <w:r>
            <w:rPr>
              <w:rFonts w:ascii="Times New Roman" w:eastAsia="MS Mincho" w:hAnsi="Times New Roman"/>
              <w:sz w:val="20"/>
              <w:iCs/>
            </w:rPr>
            <w:t>,
2009-10-29,
Žin., 2009, Nr.
131-5705 (2009-11-03); Žin., 2009, Nr.
146-0 (2009-12-10), i. k. 1092330ISAK003D-815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2006 m. spalio 3 d. įsakymo Nr. 3D-385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728D62E6B88">
            <w:r w:rsidRPr="00532B9F">
              <w:rPr>
                <w:rFonts w:ascii="Times New Roman" w:eastAsia="MS Mincho" w:hAnsi="Times New Roman"/>
                <w:sz w:val="20"/>
                <w:iCs/>
                <w:color w:val="0000FF" w:themeColor="hyperlink"/>
                <w:u w:val="single"/>
              </w:rPr>
              <w:t>3D-186</w:t>
            </w:r>
          </w:fldSimple>
          <w:r>
            <w:rPr>
              <w:rFonts w:ascii="Times New Roman" w:eastAsia="MS Mincho" w:hAnsi="Times New Roman"/>
              <w:sz w:val="20"/>
              <w:iCs/>
            </w:rPr>
            <w:t>,
2010-03-01,
Žin., 2010, Nr.
27-1253 (2010-03-06), i. k. 1102330ISAK003D-186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2009 m. spalio 29 d. įsakymo Nr. 3D-815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254A5F3BB8">
            <w:r w:rsidRPr="00532B9F">
              <w:rPr>
                <w:rFonts w:ascii="Times New Roman" w:eastAsia="MS Mincho" w:hAnsi="Times New Roman"/>
                <w:sz w:val="20"/>
                <w:iCs/>
                <w:color w:val="0000FF" w:themeColor="hyperlink"/>
                <w:u w:val="single"/>
              </w:rPr>
              <w:t>3D-540</w:t>
            </w:r>
          </w:fldSimple>
          <w:r>
            <w:rPr>
              <w:rFonts w:ascii="Times New Roman" w:eastAsia="MS Mincho" w:hAnsi="Times New Roman"/>
              <w:sz w:val="20"/>
              <w:iCs/>
            </w:rPr>
            <w:t>,
2010-06-04,
Žin., 2010, Nr.
68-3416 (2010-06-12), i. k. 1102330ISAK003D-540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2006 m. spalio 3 d. įsakymo Nr. 3D-385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6B2124B856">
            <w:r w:rsidRPr="00532B9F">
              <w:rPr>
                <w:rFonts w:ascii="Times New Roman" w:eastAsia="MS Mincho" w:hAnsi="Times New Roman"/>
                <w:sz w:val="20"/>
                <w:iCs/>
                <w:color w:val="0000FF" w:themeColor="hyperlink"/>
                <w:u w:val="single"/>
              </w:rPr>
              <w:t>3D-816</w:t>
            </w:r>
          </w:fldSimple>
          <w:r>
            <w:rPr>
              <w:rFonts w:ascii="Times New Roman" w:eastAsia="MS Mincho" w:hAnsi="Times New Roman"/>
              <w:sz w:val="20"/>
              <w:iCs/>
            </w:rPr>
            <w:t>,
2010-09-09,
Žin., 2010, Nr.
107-5544 (2010-09-11), i. k. 1102330ISAK003D-816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2006 m. spalio 3 d. įsakymo Nr. 3D-385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A2A25152AA">
            <w:r w:rsidRPr="00532B9F">
              <w:rPr>
                <w:rFonts w:ascii="Times New Roman" w:eastAsia="MS Mincho" w:hAnsi="Times New Roman"/>
                <w:sz w:val="20"/>
                <w:iCs/>
                <w:color w:val="0000FF" w:themeColor="hyperlink"/>
                <w:u w:val="single"/>
              </w:rPr>
              <w:t>3D-653</w:t>
            </w:r>
          </w:fldSimple>
          <w:r>
            <w:rPr>
              <w:rFonts w:ascii="Times New Roman" w:eastAsia="MS Mincho" w:hAnsi="Times New Roman"/>
              <w:sz w:val="20"/>
              <w:iCs/>
            </w:rPr>
            <w:t>,
2011-08-25,
Žin., 2011, Nr.
106-5007 (2011-08-27), i. k. 1112330ISAK003D-653                </w:t>
          </w:r>
        </w:p>
        <w:p>
          <w:pPr>
            <w:jc w:val="both"/>
            <w:rPr>
              <w:rFonts w:ascii="Times New Roman" w:hAnsi="Times New Roman"/>
            </w:rPr>
          </w:pPr>
          <w:r>
            <w:rPr>
              <w:rFonts w:ascii="Times New Roman" w:hAnsi="Times New Roman"/>
              <w:sz w:val="20"/>
            </w:rPr>
            <w:t>Dėl žemės ūkio ministro 2007 m. balandžio 13 d. įsakymo Nr. 3D-162 "Dėl Paramos teikimo už šalutinių gyvūninių produktų, neskirtų vartoti žmonėms, pašalinimą ir sunaikinimą taisyklių patvirtinimo ir žemės ūkio ministro 2006 m. gegužės 26 d. įsakymo Nr. 3D-217 bei žemės ūkio ministro 2006 m. spalio 3 d. įsakymo Nr. 3D-385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13719F461F">
            <w:r w:rsidRPr="00532B9F">
              <w:rPr>
                <w:rFonts w:ascii="Times New Roman" w:eastAsia="MS Mincho" w:hAnsi="Times New Roman"/>
                <w:sz w:val="20"/>
                <w:iCs/>
                <w:color w:val="0000FF" w:themeColor="hyperlink"/>
                <w:u w:val="single"/>
              </w:rPr>
              <w:t>3D-947</w:t>
            </w:r>
          </w:fldSimple>
          <w:r>
            <w:rPr>
              <w:rFonts w:ascii="Times New Roman" w:eastAsia="MS Mincho" w:hAnsi="Times New Roman"/>
              <w:sz w:val="20"/>
              <w:iCs/>
            </w:rPr>
            <w:t>,
2011-12-27,
Žin., 2011, Nr.
162-7719 (2011-12-30), i. k. 1112330ISAK003D-947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D8297A22FE">
            <w:r w:rsidRPr="00532B9F">
              <w:rPr>
                <w:rFonts w:ascii="Times New Roman" w:eastAsia="MS Mincho" w:hAnsi="Times New Roman"/>
                <w:sz w:val="20"/>
                <w:iCs/>
                <w:color w:val="0000FF" w:themeColor="hyperlink"/>
                <w:u w:val="single"/>
              </w:rPr>
              <w:t>3D-174</w:t>
            </w:r>
          </w:fldSimple>
          <w:r>
            <w:rPr>
              <w:rFonts w:ascii="Times New Roman" w:eastAsia="MS Mincho" w:hAnsi="Times New Roman"/>
              <w:sz w:val="20"/>
              <w:iCs/>
            </w:rPr>
            <w:t>,
2012-03-16,
Žin., 2012, Nr.
34-1640 (2012-03-22), i. k. 1122330ISAK003D-174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1C5FC67D4D">
            <w:r w:rsidRPr="00532B9F">
              <w:rPr>
                <w:rFonts w:ascii="Times New Roman" w:eastAsia="MS Mincho" w:hAnsi="Times New Roman"/>
                <w:sz w:val="20"/>
                <w:iCs/>
                <w:color w:val="0000FF" w:themeColor="hyperlink"/>
                <w:u w:val="single"/>
              </w:rPr>
              <w:t>3D-428</w:t>
            </w:r>
          </w:fldSimple>
          <w:r>
            <w:rPr>
              <w:rFonts w:ascii="Times New Roman" w:eastAsia="MS Mincho" w:hAnsi="Times New Roman"/>
              <w:sz w:val="20"/>
              <w:iCs/>
            </w:rPr>
            <w:t>,
2012-06-15,
Žin., 2012, Nr.
68-3517 (2012-06-19), i. k. 1122330ISAK003D-428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FDFB97CB4A">
            <w:r w:rsidRPr="00532B9F">
              <w:rPr>
                <w:rFonts w:ascii="Times New Roman" w:eastAsia="MS Mincho" w:hAnsi="Times New Roman"/>
                <w:sz w:val="20"/>
                <w:iCs/>
                <w:color w:val="0000FF" w:themeColor="hyperlink"/>
                <w:u w:val="single"/>
              </w:rPr>
              <w:t>3D-497</w:t>
            </w:r>
          </w:fldSimple>
          <w:r>
            <w:rPr>
              <w:rFonts w:ascii="Times New Roman" w:eastAsia="MS Mincho" w:hAnsi="Times New Roman"/>
              <w:sz w:val="20"/>
              <w:iCs/>
            </w:rPr>
            <w:t>,
2013-07-11,
Žin., 2013, Nr.
77-3890 (2013-07-18), i. k. 1132330ISAK003D-497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31e9209be111e48dcdae4eb2005eaf">
            <w:r w:rsidRPr="00532B9F">
              <w:rPr>
                <w:rFonts w:ascii="Times New Roman" w:eastAsia="MS Mincho" w:hAnsi="Times New Roman"/>
                <w:sz w:val="20"/>
                <w:iCs/>
                <w:color w:val="0000FF" w:themeColor="hyperlink"/>
                <w:u w:val="single"/>
              </w:rPr>
              <w:t>3D-25</w:t>
            </w:r>
          </w:fldSimple>
          <w:r>
            <w:rPr>
              <w:rFonts w:ascii="Times New Roman" w:eastAsia="MS Mincho" w:hAnsi="Times New Roman"/>
              <w:sz w:val="20"/>
              <w:iCs/>
            </w:rPr>
            <w:t>,
2015-01-14,
paskelbta TAR 2015-01-14, i. k. 2015-00622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d0a70d7a511e4894f9bde45468d3f">
            <w:r w:rsidRPr="00532B9F">
              <w:rPr>
                <w:rFonts w:ascii="Times New Roman" w:eastAsia="MS Mincho" w:hAnsi="Times New Roman"/>
                <w:sz w:val="20"/>
                <w:iCs/>
                <w:color w:val="0000FF" w:themeColor="hyperlink"/>
                <w:u w:val="single"/>
              </w:rPr>
              <w:t>3D-242</w:t>
            </w:r>
          </w:fldSimple>
          <w:r>
            <w:rPr>
              <w:rFonts w:ascii="Times New Roman" w:eastAsia="MS Mincho" w:hAnsi="Times New Roman"/>
              <w:sz w:val="20"/>
              <w:iCs/>
            </w:rPr>
            <w:t>,
2015-03-31,
paskelbta TAR 2015-04-01, i. k. 2015-04874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4655a0049011ea9d279ea27696ab7b">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2019-11-11,
paskelbta TAR 2019-11-12, i. k. 2019-18071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725dd052de11ea931dbf3357b5b1c0">
            <w:r w:rsidRPr="00532B9F">
              <w:rPr>
                <w:rFonts w:ascii="Times New Roman" w:eastAsia="MS Mincho" w:hAnsi="Times New Roman"/>
                <w:sz w:val="20"/>
                <w:iCs/>
                <w:color w:val="0000FF" w:themeColor="hyperlink"/>
                <w:u w:val="single"/>
              </w:rPr>
              <w:t>3D-109</w:t>
            </w:r>
          </w:fldSimple>
          <w:r>
            <w:rPr>
              <w:rFonts w:ascii="Times New Roman" w:eastAsia="MS Mincho" w:hAnsi="Times New Roman"/>
              <w:sz w:val="20"/>
              <w:iCs/>
            </w:rPr>
            <w:t>,
2020-02-19,
paskelbta TAR 2020-02-19, i. k. 2020-03595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9abbf0892311eab005936df725feed">
            <w:r w:rsidRPr="00532B9F">
              <w:rPr>
                <w:rFonts w:ascii="Times New Roman" w:eastAsia="MS Mincho" w:hAnsi="Times New Roman"/>
                <w:sz w:val="20"/>
                <w:iCs/>
                <w:color w:val="0000FF" w:themeColor="hyperlink"/>
                <w:u w:val="single"/>
              </w:rPr>
              <w:t>3D-333</w:t>
            </w:r>
          </w:fldSimple>
          <w:r>
            <w:rPr>
              <w:rFonts w:ascii="Times New Roman" w:eastAsia="MS Mincho" w:hAnsi="Times New Roman"/>
              <w:sz w:val="20"/>
              <w:iCs/>
            </w:rPr>
            <w:t>,
2020-04-28,
paskelbta TAR 2020-04-28, i. k. 2020-08880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186580d15411eaabd5b5599dd4eebe">
            <w:r w:rsidRPr="00532B9F">
              <w:rPr>
                <w:rFonts w:ascii="Times New Roman" w:eastAsia="MS Mincho" w:hAnsi="Times New Roman"/>
                <w:sz w:val="20"/>
                <w:iCs/>
                <w:color w:val="0000FF" w:themeColor="hyperlink"/>
                <w:u w:val="single"/>
              </w:rPr>
              <w:t>3D-562</w:t>
            </w:r>
          </w:fldSimple>
          <w:r>
            <w:rPr>
              <w:rFonts w:ascii="Times New Roman" w:eastAsia="MS Mincho" w:hAnsi="Times New Roman"/>
              <w:sz w:val="20"/>
              <w:iCs/>
            </w:rPr>
            <w:t>,
2020-07-29,
paskelbta TAR 2020-07-29, i. k. 2020-16562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4f2dc0300c11ec992fe4cdfceb5666">
            <w:r w:rsidRPr="00532B9F">
              <w:rPr>
                <w:rFonts w:ascii="Times New Roman" w:eastAsia="MS Mincho" w:hAnsi="Times New Roman"/>
                <w:sz w:val="20"/>
                <w:iCs/>
                <w:color w:val="0000FF" w:themeColor="hyperlink"/>
                <w:u w:val="single"/>
              </w:rPr>
              <w:t>3D-654</w:t>
            </w:r>
          </w:fldSimple>
          <w:r>
            <w:rPr>
              <w:rFonts w:ascii="Times New Roman" w:eastAsia="MS Mincho" w:hAnsi="Times New Roman"/>
              <w:sz w:val="20"/>
              <w:iCs/>
            </w:rPr>
            <w:t>,
2021-10-18,
paskelbta TAR 2021-10-18, i. k. 2021-21766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294fc0d8fd11ed9978886e85107ab2">
            <w:r w:rsidRPr="00532B9F">
              <w:rPr>
                <w:rFonts w:ascii="Times New Roman" w:eastAsia="MS Mincho" w:hAnsi="Times New Roman"/>
                <w:sz w:val="20"/>
                <w:iCs/>
                <w:color w:val="0000FF" w:themeColor="hyperlink"/>
                <w:u w:val="single"/>
              </w:rPr>
              <w:t>3D-244</w:t>
            </w:r>
          </w:fldSimple>
          <w:r>
            <w:rPr>
              <w:rFonts w:ascii="Times New Roman" w:eastAsia="MS Mincho" w:hAnsi="Times New Roman"/>
              <w:sz w:val="20"/>
              <w:iCs/>
            </w:rPr>
            <w:t>,
2023-04-12,
paskelbta TAR 2023-04-12, i. k. 2023-06999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7891c01cea11ef8b14c5bcce136045">
            <w:r w:rsidRPr="00532B9F">
              <w:rPr>
                <w:rFonts w:ascii="Times New Roman" w:eastAsia="MS Mincho" w:hAnsi="Times New Roman"/>
                <w:sz w:val="20"/>
                <w:iCs/>
                <w:color w:val="0000FF" w:themeColor="hyperlink"/>
                <w:u w:val="single"/>
              </w:rPr>
              <w:t>3D-428</w:t>
            </w:r>
          </w:fldSimple>
          <w:r>
            <w:rPr>
              <w:rFonts w:ascii="Times New Roman" w:eastAsia="MS Mincho" w:hAnsi="Times New Roman"/>
              <w:sz w:val="20"/>
              <w:iCs/>
            </w:rPr>
            <w:t>,
2024-05-28,
paskelbta TAR 2024-05-28, i. k. 2024-09548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fb4a76ae1e11ef90b5ee8931e5ce5e">
            <w:r w:rsidRPr="00532B9F">
              <w:rPr>
                <w:rFonts w:ascii="Times New Roman" w:eastAsia="MS Mincho" w:hAnsi="Times New Roman"/>
                <w:sz w:val="20"/>
                <w:iCs/>
                <w:color w:val="0000FF" w:themeColor="hyperlink"/>
                <w:u w:val="single"/>
              </w:rPr>
              <w:t>3D-812</w:t>
            </w:r>
          </w:fldSimple>
          <w:r>
            <w:rPr>
              <w:rFonts w:ascii="Times New Roman" w:eastAsia="MS Mincho" w:hAnsi="Times New Roman"/>
              <w:sz w:val="20"/>
              <w:iCs/>
            </w:rPr>
            <w:t>,
2024-11-29,
paskelbta TAR 2024-11-29, i. k. 2024-20944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cbed31c74011efa5ddd96c482819f5">
            <w:r w:rsidRPr="00532B9F">
              <w:rPr>
                <w:rFonts w:ascii="Times New Roman" w:eastAsia="MS Mincho" w:hAnsi="Times New Roman"/>
                <w:sz w:val="20"/>
                <w:iCs/>
                <w:color w:val="0000FF" w:themeColor="hyperlink"/>
                <w:u w:val="single"/>
              </w:rPr>
              <w:t>3D-851</w:t>
            </w:r>
          </w:fldSimple>
          <w:r>
            <w:rPr>
              <w:rFonts w:ascii="Times New Roman" w:eastAsia="MS Mincho" w:hAnsi="Times New Roman"/>
              <w:sz w:val="20"/>
              <w:iCs/>
            </w:rPr>
            <w:t>,
2024-12-31,
paskelbta TAR 2024-12-31, i. k. 2024-23571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8ff334c05511f092fda1fd0c194cc5">
            <w:r w:rsidRPr="00532B9F">
              <w:rPr>
                <w:rFonts w:ascii="Times New Roman" w:eastAsia="MS Mincho" w:hAnsi="Times New Roman"/>
                <w:sz w:val="20"/>
                <w:iCs/>
                <w:color w:val="0000FF" w:themeColor="hyperlink"/>
                <w:u w:val="single"/>
              </w:rPr>
              <w:t>3D-573</w:t>
            </w:r>
          </w:fldSimple>
          <w:r>
            <w:rPr>
              <w:rFonts w:ascii="Times New Roman" w:eastAsia="MS Mincho" w:hAnsi="Times New Roman"/>
              <w:sz w:val="20"/>
              <w:iCs/>
            </w:rPr>
            <w:t>,
2025-11-13,
paskelbta TAR 2025-11-13, i. k. 2025-18995                </w:t>
          </w:r>
        </w:p>
        <w:p>
          <w:pPr>
            <w:jc w:val="both"/>
            <w:rPr>
              <w:rFonts w:ascii="Times New Roman" w:hAnsi="Times New Roman"/>
            </w:rPr>
          </w:pPr>
          <w:r>
            <w:rPr>
              <w:rFonts w:ascii="Times New Roman" w:hAnsi="Times New Roman"/>
              <w:sz w:val="20"/>
            </w:rPr>
            <w:t>Dėl žemės ūkio ministro 2007 m. balandžio 13 d. įsakymo Nr. 3D-162 „Dėl Valstybės pagalbos teikimo už šalutinių gyvūninių produktų, neskirtų vartoti žmonėms, šalinimą ir naikinimą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overflowPunct w:val="0"/>
      <w:jc w:val="both"/>
      <w:textAlignment w:val="baseline"/>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overflowPunct w:val="0"/>
      <w:jc w:val="both"/>
      <w:textAlignment w:val="baseline"/>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A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DC1116AA-8FAA-4296-B9FC-7E30BED836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00.xml"/>
  <Relationship Id="rId15" Type="http://schemas.openxmlformats.org/officeDocument/2006/relationships/header" Target="header101.xml"/>
  <Relationship Id="rId16" Type="http://schemas.openxmlformats.org/officeDocument/2006/relationships/footer" Target="footer100.xml"/>
  <Relationship Id="rId17" Type="http://schemas.openxmlformats.org/officeDocument/2006/relationships/footer" Target="footer101.xml"/>
  <Relationship Id="rId18" Type="http://schemas.openxmlformats.org/officeDocument/2006/relationships/header" Target="header102.xml"/>
  <Relationship Id="rId19" Type="http://schemas.openxmlformats.org/officeDocument/2006/relationships/footer" Target="footer102.xml"/>
  <Relationship Id="rId2" Type="http://schemas.openxmlformats.org/officeDocument/2006/relationships/header" Target="header89.xml"/>
  <Relationship Id="rId20" Type="http://schemas.openxmlformats.org/officeDocument/2006/relationships/customXml" Target="../customXml/item1.xml"/>
  <Relationship Id="rId3" Type="http://schemas.openxmlformats.org/officeDocument/2006/relationships/footer" Target="footer88.xml"/>
  <Relationship Id="rId4" Type="http://schemas.openxmlformats.org/officeDocument/2006/relationships/footer" Target="footer89.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1645bb11164f49adf92e417155d9c3" PartId="4434397a381a4dc4b8a0bd1de68b4964">
    <Part Type="preambule" DocPartId="cfa3a3dae685471793597c24de90616e" PartId="15b8185010694464a9bb170b6b87f8cc"/>
    <Part Type="pastraipa" DocPartId="2ee4b8a1c2984581984a565521d3c7b5" PartId="c43e73c5094449d49beae9c800a03a15"/>
    <Part Type="signatura" DocPartId="7928e8cbd27a4bc796d3733f3fe99839" PartId="5e4973839b2c47d9b94c37c9b4d833db"/>
  </Part>
  <Part Type="patvirtinta" Title="VALSTYBĖS PAGALBOS TEIKIMO UŽ ŠALUTINIŲ GYVŪNINIŲ PRODUKTŲ, NESKIRTŲ VARTOTI ŽMONĖMS, ŠALINIMĄ IR NAIKINIMĄ TAISYKLĖS" DocPartId="00eba0c377354e38bb137a5d4150e943" PartId="d230416f722644ad8e4764dd51501441">
    <Part Type="skyrius" Nr="1" Title="BENDROSIOS NUOSTATOS" DocPartId="04c6bbdcefb64b2982067b2ea135c460" PartId="0cd0856672c14f338170b24a406c308f">
      <Part Type="punktas" Nr="1" Abbr="1 p." DocPartId="2260a9a48a3d4809bb9efdee1cefa34b" PartId="b31e17804a184c4fa6d862cb8f6525fa"/>
      <Part Type="punktas" Nr="2" Abbr="2 p." DocPartId="85ae36ada1824ed0976ed2716c1e21be" PartId="4f760f207dad46be9c6446f91257f4dc"/>
      <Part Type="punktas" Nr="3" Abbr="3 p." DocPartId="e56d7a3fd62e47ea9e4340ac7d8e5d1f" PartId="66d94ca26f5e4677851b063adae69b09">
        <Part Type="papunktis" Nr="3.1" Abbr="3.1 pp." DocPartId="c43a250b16144050b01dba0e8869fe2b" PartId="0dcf0b05a48f4448b5fe8b39fcc87696"/>
        <Part Type="papunktis" Nr="3.2" Abbr="3.2 pp." DocPartId="cb341971ea7641bf9620e98c342c60c5" PartId="3f56380f81ad4501a6b1393968f02108"/>
        <Part Type="papunktis" Nr="3.3" Abbr="3.3 pp." DocPartId="13ceecc532ed4887ab5766889b3d1402" PartId="3b7e30c9769d45ebb57704326cad381e"/>
        <Part Type="papunktis" Nr="3.4" Abbr="3.4 pp." DocPartId="e6df7ea052de48268b116eab0b26fcc9" PartId="ebeb517e5ce64389bc3beabf6b55079c"/>
        <Part Type="papunktis" Nr="3.5" Abbr="3.5 pp." DocPartId="6718952d836f42ce98c0c684d30a6e8c" PartId="56070885a57e4c21b0889f46035cd0f3"/>
        <Part Type="papunktis" Nr="3.6" Abbr="3.6 pp." DocPartId="e16ec3a9c36647c2b477da6ef31f5184" PartId="a004fbd4378b4234b381f434fc005685"/>
      </Part>
    </Part>
    <Part Type="skyrius" Nr="2" Title="TINKAMOS FINANSUOTI IŠLAIDOS IR PAGALBOS DYDIS" DocPartId="79f9fa6e40214891823e1aa47f109177" PartId="b55d7075b41740daa8d5777b05bd8244">
      <Part Type="punktas" Nr="4" Abbr="4 p." DocPartId="30d562196ded4e2e902ab1e8c337fe81" PartId="6244e6135ae0401983fc829e2c5e756c">
        <Part Type="papunktis" Nr="4.1" Abbr="4.1 pp." DocPartId="04587967d7934277bfe66c6368d84f1f" PartId="ba14747bc44842d7a7aaa25122b57375"/>
        <Part Type="papunktis" Nr="4.2" Abbr="4.2 pp." DocPartId="27b8aa578e7c47968ec54dbd599066fd" PartId="d651a606d9f6404eb04295d4a5bc744b"/>
        <Part Type="papunktis" Nr="4.3" Abbr="4.3 pp." DocPartId="578ecf2460aa48cfa9785fb101e1887a" PartId="12806a859a854603b6594af47144a9c5"/>
        <Part Type="papunktis" Nr="4.4" Abbr="4.4 pp." DocPartId="2c46bc4395d34572bf6b395e944489b2" PartId="678bb65171d940e685d47fbe071b4db3"/>
      </Part>
      <Part Type="punktas" Nr="5" Abbr="5 p." DocPartId="45b569b44bde4170b0aa2e41ae389e98" PartId="474e612b158047d7a5b91246c95ee21e">
        <Part Type="papunktis" Nr="5.1" Abbr="5.1 pp." DocPartId="6b036b5a7ee54f069f8d1ba3bb46007c" PartId="dafd981718ac4769abf1e351b1537bce"/>
        <Part Type="papunktis" Nr="5.2" Abbr="5.2 pp." DocPartId="44f772f3394841b59b5920b29e27e088" PartId="cfbafa5e55804ddc863c99f18ecf3282"/>
      </Part>
      <Part Type="punktas" Nr="6" Abbr="6 p." DocPartId="9bbe3b8f9fc04cfdafd16b8bb0695e4a" PartId="be70487c98d04b36802ed722f889a5df"/>
      <Part Type="punktas" Nr="7" Abbr="7 p." DocPartId="120adcd564cb4161b5c449869e115a0b" PartId="e8018820b31a4d628dfa4fcbed76c8b9"/>
      <Part Type="punktas" Nr="8" Abbr="8 p." DocPartId="eb1293560cfd480bac0950b90ea4523c" PartId="ef28fb08b6f64f75b41b15ec728096d5"/>
    </Part>
    <Part Type="skyrius" Nr="3" Title="PRIEMOKOS NUSTATYMO TVARKA" DocPartId="818faa9a48d9443bae6dce2150bfbc89" PartId="584f1a4ee95a4996866839b36b3026ca">
      <Part Type="punktas" Nr="9" Abbr="9 p." DocPartId="50036af3ccb940e5adc0aaf90f7b7fad" PartId="d1e879ed6c0948b3a9aa5f03e2fd49a0"/>
      <Part Type="punktas" Nr="10" Abbr="10 p." DocPartId="a301b03076be43d287755c2b86f5efb2" PartId="459121137a6e45e9a4914bb8364346ad"/>
      <Part Type="punktas" Nr="11" Abbr="11 p." DocPartId="3fe8133819f442d78c356b938736de81" PartId="91877cea2c0241909b1e4c78365a9811"/>
      <Part Type="punktas" Nr="12" Abbr="12 p." DocPartId="25072d1107cb4b7ba612f6349b57ec47" PartId="a26f3900f4e245e78bb148bba7b71a48"/>
      <Part Type="punktas" Nr="13" Abbr="13 p." DocPartId="1595a8e8ee8d46b6a51b4658c7ca33b1" PartId="85c141adcbf842adbf3dc5b1b790044b"/>
      <Part Type="punktas" Nr="14" Abbr="14 p." DocPartId="2b63a0c83c9b40d28a82746c2ba7fc42" PartId="e45d9ad533324ca49db72fca011ebc50"/>
      <Part Type="punktas" Nr="15" Abbr="15 p." DocPartId="b3c1c9279c7845429457cbd52eca7eb0" PartId="7cd9a53a29b14251956ff2c0b58c3c1e"/>
    </Part>
    <Part Type="skyrius" Nr="4" Title="REIKALAVIMAI ŠGP TURĖTOJAMS" DocPartId="2d22b00d424447d5a3b149d44bc0b99d" PartId="e94e9b13c26a40f7a3b97cd895f86510">
      <Part Type="punktas" Nr="16" Abbr="16 p." DocPartId="aa5638010b35463cbbe81fa5f62cb17f" PartId="bfb99f774dde4f15abe177aadec08c74">
        <Part Type="papunktis" Nr="16.1" Abbr="16.1 pp." DocPartId="6225dc4b6ed84aa1a283148b7ba5a982" PartId="70944f760f1c43719e0b9ff6d14dba0c"/>
        <Part Type="papunktis" Nr="16.2" Abbr="16.2 pp." DocPartId="d08436dfa5124674ac3024455345a8b0" PartId="a2d089b90dac42fba3034d2064bafcbf"/>
        <Part Type="papunktis" Nr="16.3" Abbr="16.3 pp." DocPartId="6e4753ab95ee413f83a1827b392906ba" PartId="a96ca6e596a045698089d2093218e6cf"/>
        <Part Type="papunktis" Nr="16.4" Abbr="16.4 pp." DocPartId="10a2d3220b8b41e9987e9559debaa9da" PartId="4dd350e84a6d4a869b0ee131dcb3d926"/>
      </Part>
    </Part>
    <Part Type="skyrius" Nr="5" Title="REIKALAVIMAI ŠGP TVARKYTOJAMS" DocPartId="d0af5e74cdc1424aa04bd52959acd017" PartId="b75a33acfafe47cb80c279e612008343">
      <Part Type="punktas" Nr="17" Abbr="17 p." DocPartId="1251b2d067dc46cbb6662e9f76380617" PartId="6b4f908d83f1482ebc0961c84f363533">
        <Part Type="papunktis" Nr="17.1" Abbr="17.1 pp." DocPartId="37543ac15ad74d8c835cd07eb01f28aa" PartId="1c7e1b9557db45e5a570ecb28497d717"/>
        <Part Type="papunktis" Nr="17.2" Abbr="17.2 pp." DocPartId="385fdfd74c0640e1820f0bef2e5de53b" PartId="20250a3884dd4df69a002feee7654f47"/>
        <Part Type="papunktis" Nr="17.3" Abbr="17.3 pp." DocPartId="e8e2fff8203145f192dca63d7a47186a" PartId="2c83361ea69c4197821b8ba326c84ac5"/>
        <Part Type="papunktis" Nr="17.4" Abbr="17.4 pp." DocPartId="b68e092b06f045d8a17ed2ba0267e764" PartId="e4e9bb431b564f389f79908d802f6a94"/>
        <Part Type="papunktis" Nr="17.5" Abbr="17.5 pp." DocPartId="a1dc7597ace24b459985bcfd88a77332" PartId="01fe50f895314455bb317f2f8abb1a3b"/>
        <Part Type="papunktis" Nr="17.6" Abbr="17.6 pp." DocPartId="d4ad23b2d41a4cad8e02dd8157ec7081" PartId="f10d75d0255246009e3f04dfe42ae0e4"/>
        <Part Type="papunktis" Nr="17.7" Abbr="17.7 pp." DocPartId="680e9d8c49d34dbc8186fdec5c7c275c" PartId="cda9953f6d7c4f9e9952e3334d24863b"/>
        <Part Type="papunktis" Nr="17.8" Abbr="17.8 pp." DocPartId="1ac57e584a5545dcb37152ec4b579632" PartId="5e66663bc1c749deb67cf01b39643596"/>
        <Part Type="papunktis" Nr="17.9" Abbr="17.9 pp." DocPartId="9dc2523915184741b40b44fd1a1a34e3" PartId="2f4348bca6f3454d85e21afe91977d1d"/>
        <Part Type="papunktis" Nr="17.10" Abbr="17.10 pp." DocPartId="b4644e1c6ab54b96af9837576de18334" PartId="56b58dc8a3394d1e8e55885765bc78bf"/>
        <Part Type="papunktis" Nr="17.11" Abbr="17.11 pp." DocPartId="0916a737ed3e49f68e31cdbcad4de5fd" PartId="e51fe230cf284bc2833b20755832566a"/>
        <Part Type="papunktis" Nr="17.12" Abbr="17.12 pp." DocPartId="c4a15e5b4d5340c8a7c635aea6229c5c" PartId="72b2facf6d7d4c68ba2fecd94c349793"/>
        <Part Type="papunktis" Nr="17.13" Abbr="17.13 pp." DocPartId="92ee570285be4861996af0aac99dcbd1" PartId="fad44e5e9c3c4f3784bf753127cd2801"/>
      </Part>
      <Part Type="punktas" Nr="18" Abbr="18 p." DocPartId="e3442c3356fd499b8fc4ac679fee2812" PartId="0fc765d85081432daaf1d4528ca096d0"/>
    </Part>
    <Part Type="skyrius" Nr="6" Title="ADMINISTRAVIMO TVARKA" DocPartId="7d97a46351d74140ae591030aa8ab412" PartId="cb1ba84b02224511ab1ffd94f7382dc6">
      <Part Type="punktas" Nr="19" Abbr="19 p." DocPartId="dc635b5bbe6f4cd48f56d0949f29ba73" PartId="9c4182a492bc48f6a5952264edf87037"/>
      <Part Type="punktas" Nr="20" Abbr="20 p." DocPartId="48425bfe2991435fb3b04562a6c707f6" PartId="5170103666a54bedb90a29e82510d3fe"/>
      <Part Type="punktas" Nr="21" Abbr="21 p." DocPartId="5530b9d44b544ee49304c81b2994b47f" PartId="2afdf78aa09645b5bf26b70f4e7d4a00">
        <Part Type="papunktis" Nr="21.1" Abbr="21.1 pp." DocPartId="c1d4b83e7bc5401ba2d1d049fd4809b4" PartId="950068276d5b4becbe8f67db7c7b0142"/>
        <Part Type="papunktis" Nr="21.2" Abbr="21.2 pp." DocPartId="c6d4a73e404c4c999b9dfae2b419a591" PartId="001503aacc634928aef9910f46f24774"/>
      </Part>
      <Part Type="punktas" Nr="22" Abbr="22 p." DocPartId="5b9028215d854fe3b5ad8e582a9131af" PartId="41087f248b16447abfff8e0ca3e85e68">
        <Part Type="papunktis" Nr="22.1" Abbr="22.1 pp." DocPartId="94e129a9daf14675b019e36a942a009c" PartId="0d46ca99a88146849adb6268d09ed52f"/>
        <Part Type="papunktis" Nr="22.2" Abbr="22.2 pp." DocPartId="37fa67fb3c7f4245b49643ecf18436d8" PartId="43cecac606ec4ecaa9cd1195f698ee33"/>
        <Part Type="papunktis" Nr="22.3" Abbr="22.3 pp." DocPartId="21203f229a4847208a5028d37945ae49" PartId="338aa988ca2a4b18bea74dcbe652459e"/>
      </Part>
      <Part Type="punktas" Nr="23" Abbr="23 p." DocPartId="c8813dabc55644a78f16ea6e9b140cd9" PartId="302f90aae93e45e5aa746b5119414196"/>
      <Part Type="punktas" Nr="24" Abbr="24 p." DocPartId="d9f948ba241a48abb8ece386fc37f448" PartId="eb3b59f08a9a4ec5ae2f00b9a1bbe650">
        <Part Type="papunktis" Nr="24.1" Abbr="24.1 pp." DocPartId="abf3e74b9cc0451b979ca17ffc702cb9" PartId="19be51541ed445c89de00e4037aa5cb6"/>
        <Part Type="papunktis" Nr="24.2" Abbr="24.2 pp." DocPartId="08b2673849934a60b30d7f0d68e8f212" PartId="c96cd2ed118044409447ad06e93f5cac"/>
        <Part Type="papunktis" Nr="24.3" Abbr="24.3 pp." DocPartId="2b06907a59004ebb9ea23456c01eea75" PartId="b8c45f48648f47a5a23fcb7be40e7554"/>
        <Part Type="papunktis" Nr="24.4" Abbr="24.4 pp." DocPartId="c39b4d4658eb475d9122a07af0b5bdc4" PartId="fbd7a25994f34d8cbc21c54ed1de46b2"/>
        <Part Type="papunktis" Nr="24.5" Abbr="24.5 pp." DocPartId="750c21b0316c43fca76c013f80d54bab" PartId="9aeaa5494ce3439db2f20ed3e76c4b0c"/>
        <Part Type="papunktis" Nr="24.6" Abbr="24.6 pp." DocPartId="f14c7623394342eeb6154dd19494d234" PartId="5c5f13782b164fca85eedc97e34261bf"/>
        <Part Type="papunktis" Nr="24.7" Abbr="24.7 pp." DocPartId="af5904a4bb6b42929b9b796159a8d778" PartId="b3c60c971fcd4202ad740c32c39af042"/>
        <Part Type="papunktis" Nr="24.8" Abbr="24.8 pp." DocPartId="d40a9aa4d3784b7d8b00b75c8413d3ce" PartId="b407797b76694ac4ad182ca6625ec727"/>
        <Part Type="papunktis" Nr="24.9" Abbr="24.9 pp." DocPartId="5c9625965d024071aa4295675e412663" PartId="409e8298f6424413b1db60d4f170ec65"/>
        <Part Type="papunktis" Nr="24.10" Abbr="24.10 pp." DocPartId="f973e967da1d4fbf9e4ad33430162cc2" PartId="47048a2e51194aafb2a1da756d44df03"/>
      </Part>
      <Part Type="punktas" Nr="25" Abbr="25 p." DocPartId="9913ed8f88e84da0adc64d948367ec8f" PartId="72ebec76e0554bc5984d68190409322e"/>
      <Part Type="punktas" Nr="26" Abbr="26 p." DocPartId="82e4bbcd5fdb49ddbdfa8ba3926a4827" PartId="6b22c03c9a414de08ada4f936be06466"/>
      <Part Type="punktas" Nr="27" Abbr="27 p." DocPartId="9363bafb77844332947c5edac6314f2b" PartId="6bbc5b46e78848fa919de9c16352d27c"/>
      <Part Type="punktas" Nr="28" Abbr="28 p." DocPartId="809280cad9a34156a8b6576f01b27ed1" PartId="2f789af491294b80a1e0649dabfda2d2"/>
      <Part Type="punktas" Nr="29" Abbr="29 p." DocPartId="fa9aec48cd8f47d7b633803e9ced7523" PartId="a180eec42fa24db28dfb28f1d36a3661"/>
      <Part Type="punktas" Nr="30" Abbr="30 p." DocPartId="8c1809712ff245bc9371598f48ee3eb3" PartId="d1c12c4492cf4e179e4304d6481931d9"/>
      <Part Type="punktas" Nr="31" Abbr="31 p." DocPartId="a92f7c5867dd4776891e5f9e7cc4295b" PartId="d0385fcd275242f68b105b721057a24d">
        <Part Type="papunktis" Nr="31.1" Abbr="31.1 pp." DocPartId="9bff9d0a152a42fca9765376d1fd8c75" PartId="ff1af5e7cb28433c9ae7f33223bdc99a"/>
        <Part Type="papunktis" Nr="31.2" Abbr="31.2 pp." DocPartId="3dd91b56b3cb4f5a88ed1cb9b92323bb" PartId="1e858b08f8e34c2a947164be9047962a"/>
        <Part Type="papunktis" Nr="31.3" Abbr="31.3 pp." DocPartId="c56877839aed46adafc64252c2bd5fd3" PartId="109346a31ce04643ab09bb9fd4b46f4c"/>
        <Part Type="papunktis" Nr="31.4" Abbr="31.4 pp." DocPartId="f596c4ce6dca4cbe9e9ac270439dae6b" PartId="e1deacecc83f4c3ab92d80d4c59ab71e"/>
        <Part Type="papunktis" Nr="31.5" Abbr="31.5 pp." DocPartId="e123a92ffa824782a0ea871b3b80c785" PartId="b9977548da2c45c9b5c3ec10860183ee"/>
        <Part Type="papunktis" Nr="31.6" Abbr="31.6 pp." DocPartId="c06be13463c6499eb3a0273e678b9039" PartId="63a27e1d298445b6b21c5761769a0ad5"/>
        <Part Type="papunktis" Nr="31.7" Abbr="31.7 pp." DocPartId="6174bfb4e20545a4962588e79dd636ac" PartId="149025c1c8254ede9ca37d8a7e92558c"/>
        <Part Type="papunktis" Nr="31.8" Abbr="31.8 pp." DocPartId="66244851356c4014bbf26143abfb2dff" PartId="35192a62936846169053e5dd29b67808"/>
      </Part>
      <Part Type="punktas" Nr="32" Abbr="32 p." DocPartId="daff6ec663eb4e38b2952f102184181e" PartId="b9b33ae37b214b8d8682a76b938b41f5"/>
    </Part>
    <Part Type="skyrius" Nr="7" Title="ATSAKOMYBĖ" DocPartId="544d5d8bc6e24a8bbe84a7371b8853d9" PartId="4d867231d3f44833893cfe8620108e31">
      <Part Type="punktas" Nr="33" Abbr="33 p." DocPartId="673048bd822c4edd813d8e86ac53820a" PartId="44f8341c5cf544028eebeb633cee939e"/>
      <Part Type="punktas" Nr="34" Abbr="34 p." DocPartId="29e6cbd487d54329a62de3df54aa35c2" PartId="710042171ba24ecd81c3effa0e1c0b7f"/>
      <Part Type="punktas" Nr="35" Abbr="35 p." DocPartId="07870b0296ac44d29357d9e3b80d735a" PartId="4fd2ef3f870b42c9aeeb61220d10fe91"/>
      <Part Type="punktas" Nr="36" Abbr="36 p." DocPartId="d7cd6ef93c754ac18b011e3eaaf249b8" PartId="f13dca36c1844ab4bc530da8442e373d"/>
      <Part Type="punktas" Nr="37" Abbr="37 p." DocPartId="fedeb8a69d714658ac97cb8712de5506" PartId="46173bb30ed64a52b9056cbd00d55371"/>
    </Part>
    <Part Type="skyrius" Nr="8" Title="BAIGIAMOSIOS NUOSTATOS" DocPartId="2a09553b91c5429299c45e8b8c3e60d6" PartId="b2e4baad48654cf9a006be6edfb9f0eb">
      <Part Type="punktas" Nr="38" Abbr="38 p." DocPartId="3bf5f56fb650412aa4302aa2d0d96ebe" PartId="0b251f073c5f4804b73736e68e802c3e"/>
      <Part Type="punktas" Nr="39" Abbr="39 p." DocPartId="3bbcb62d9c1a45058ca9e48576b701a7" PartId="1d5ab31e72ac48c4bb8304334c391c3c"/>
      <Part Type="punktas" Nr="40" Abbr="40 p." DocPartId="03aa88cc1f174c3195fc27d54f1e3297" PartId="d833ae2e7ee748dabfbe0b4168bb8c78"/>
      <Part Type="punktas" Nr="41" Abbr="41 p." DocPartId="7ed0a643390e4aa8b49101acfd19b0e5" PartId="2ecb9e57f12e480b9e5319351026330f"/>
      <Part Type="punktas" Nr="42" Abbr="42 p." DocPartId="a7294f188e4d494696bc2bc3e2642f4b" PartId="97e6303b7512467ca9307cce6c548fd5"/>
      <Part Type="punktas" Nr="43" Abbr="43 p." DocPartId="0bd8cf8ee62446e0a0e2ef512a831786" PartId="8877873f1a8a45cfadd9f85d72e1f604"/>
    </Part>
    <Part Type="pabaiga" DocPartId="d47ef16c3ffb4950aa2462f8bc44cc00" PartId="5d8ad596a29c40c3bceb8eb62ff94a6e"/>
  </Part>
  <Part Type="priedas" Nr="3" Abbr="3 pr." Title="(Duomenų patvirtinimo deklaracijos valstybės pagalbai gauti už šalutinių gyvūninių produktų, neskirtų vartoti žmonėms, šalinimą ir naikinimą forma)" DocPartId="677b3422ca974b1299cf4ad194ef8a15" PartId="075dbda070e14b129cfd0896e2e1f776"/>
</Parts>
</file>

<file path=customXml/itemProps1.xml><?xml version="1.0" encoding="utf-8"?>
<ds:datastoreItem xmlns:ds="http://schemas.openxmlformats.org/officeDocument/2006/customXml" ds:itemID="{27BCBA95-BD27-496F-9719-ABF09834AB3D}">
  <ds:schemaRefs>
    <ds:schemaRef ds:uri="http://lrs.lt/TAIS/DocParts"/>
  </ds:schemaRefs>
</ds:datastoreItem>
</file>

<file path=docProps/app.xml><?xml version="1.0" encoding="utf-8"?>
<Properties xmlns="http://schemas.openxmlformats.org/officeDocument/2006/extended-properties">
  <Template>Normal.dotm</Template>
  <TotalTime>59</TotalTime>
  <Pages>13</Pages>
  <Words>19964</Words>
  <Characters>11381</Characters>
  <Application>Microsoft Office Word</Application>
  <DocSecurity>0</DocSecurity>
  <Lines>94</Lines>
  <Paragraphs>62</Paragraphs>
  <ScaleCrop>false</ScaleCrop>
  <Company/>
  <LinksUpToDate>false</LinksUpToDate>
  <CharactersWithSpaces>31283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2015-09-29T20:02:00Z</dcterms:created>
  <dc:creator>Rima</dc:creator>
  <lastModifiedBy>JŪRĖNIENĖ Jolanta</lastModifiedBy>
  <dcterms:modified xsi:type="dcterms:W3CDTF">2025-01-03T12:12:00Z</dcterms:modified>
  <revision>39</revision>
  <dc:title>LIETUVOS RESPUBLIKOS ŽEMĖS ŪKIO MINISTRO</dc:title>
</coreProperties>
</file>