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2026-07-01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a662ef1120f44f24b747b2847160b2e4"/>
                    <w:lock w:val="sdtLocked"/>
                    <w:richText/>
                  </w:sdtPr>
                  <w:sdtContent>
                    <w:p>
                      <w:pPr>
                        <w:ind w:firstLine="720"/>
                        <w:jc w:val="both"/>
                        <w:rPr>
                          <w:b/>
                          <w:sz w:val="22"/>
                        </w:rPr>
                      </w:pPr>
                      <w:sdt>
                        <w:sdtPr>
                          <w:alias w:val="Numeris"/>
                          <w:tag w:val="nr_a662ef1120f44f24b747b2847160b2e4"/>
                          <w:lock w:val="sdtLocked"/>
                          <w:richText/>
                        </w:sdtPr>
                        <w:sdtContent>
                          <w:r>
                            <w:rPr>
                              <w:b/>
                              <w:sz w:val="22"/>
                            </w:rPr>
                            <w:t>2</w:t>
                          </w:r>
                        </w:sdtContent>
                      </w:sdt>
                      <w:r>
                        <w:rPr>
                          <w:b/>
                          <w:sz w:val="22"/>
                        </w:rPr>
                        <w:t xml:space="preserve"> straipsnis. </w:t>
                      </w:r>
                      <w:sdt>
                        <w:sdtPr>
                          <w:alias w:val="Pavadinimas"/>
                          <w:tag w:val="title_a662ef1120f44f24b747b2847160b2e4"/>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d800dc08d48d46d6b22846e0050c0c66"/>
                        <w:lock w:val="sdtLocked"/>
                        <w:richText/>
                      </w:sdtPr>
                      <w:sdtContent>
                        <w:p>
                          <w:pPr>
                            <w:ind w:firstLine="720"/>
                            <w:jc w:val="both"/>
                            <w:rPr>
                              <w:sz w:val="22"/>
                            </w:rPr>
                          </w:pPr>
                          <w:sdt>
                            <w:sdtPr>
                              <w:alias w:val="Numeris"/>
                              <w:tag w:val="nr_d800dc08d48d46d6b22846e0050c0c66"/>
                              <w:lock w:val="sdtLocked"/>
                              <w:richText/>
                            </w:sdtPr>
                            <w:sdtContent>
                              <w:r>
                                <w:rPr>
                                  <w:sz w:val="22"/>
                                  <w:szCs w:val="22"/>
                                </w:rPr>
                                <w:t>3</w:t>
                              </w:r>
                            </w:sdtContent>
                          </w:sdt>
                          <w:r>
                            <w:rPr>
                              <w:sz w:val="22"/>
                              <w:szCs w:val="22"/>
                            </w:rPr>
                            <w:t xml:space="preserve">. </w:t>
                          </w:r>
                          <w:r>
                            <w:rPr>
                              <w:b/>
                              <w:sz w:val="22"/>
                              <w:szCs w:val="22"/>
                            </w:rPr>
                            <w:t>LNSS veiklos užsakovai</w:t>
                          </w:r>
                          <w:r>
                            <w:rPr>
                              <w:sz w:val="22"/>
                              <w:szCs w:val="22"/>
                            </w:rPr>
                            <w:t xml:space="preserve"> – Valstybinė ligonių kasa prie Sveikatos apsaugos ministerijos ir kitos LNSS ištekliais disponuojančios valstybės bei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4-1 d."/>
                        <w:tag w:val="part_e6f58937401b4fe59598dabd20851b6c"/>
                        <w:lock w:val="sdtLocked"/>
                        <w:richText/>
                      </w:sdtPr>
                      <w:sdtContent>
                        <w:p>
                          <w:pPr>
                            <w:ind w:firstLine="720"/>
                            <w:jc w:val="both"/>
                            <w:rPr>
                              <w:sz w:val="22"/>
                              <w:szCs w:val="22"/>
                            </w:rPr>
                          </w:pPr>
                          <w:sdt>
                            <w:sdtPr>
                              <w:alias w:val="Numeris"/>
                              <w:tag w:val="nr_e6f58937401b4fe59598dabd20851b6c"/>
                              <w:lock w:val="sdtLocked"/>
                              <w:richText/>
                            </w:sdtPr>
                            <w:sdtContent>
                              <w:r>
                                <w:rPr>
                                  <w:bCs/>
                                  <w:sz w:val="22"/>
                                  <w:szCs w:val="22"/>
                                  <w:lang w:eastAsia="en-GB"/>
                                </w:rPr>
                                <w:t>14</w:t>
                              </w:r>
                              <w:r>
                                <w:rPr>
                                  <w:bCs/>
                                  <w:sz w:val="22"/>
                                  <w:szCs w:val="22"/>
                                  <w:vertAlign w:val="superscript"/>
                                  <w:lang w:eastAsia="en-GB"/>
                                </w:rPr>
                                <w:t>1</w:t>
                              </w:r>
                            </w:sdtContent>
                          </w:sdt>
                          <w:r>
                            <w:rPr>
                              <w:bCs/>
                              <w:sz w:val="22"/>
                              <w:szCs w:val="22"/>
                              <w:lang w:eastAsia="en-GB"/>
                            </w:rPr>
                            <w:t>.</w:t>
                          </w:r>
                          <w:r>
                            <w:rPr>
                              <w:sz w:val="22"/>
                              <w:szCs w:val="22"/>
                              <w:lang w:eastAsia="en-GB"/>
                            </w:rPr>
                            <w:t xml:space="preserve"> </w:t>
                          </w:r>
                          <w:r>
                            <w:rPr>
                              <w:b/>
                              <w:bCs/>
                              <w:sz w:val="22"/>
                              <w:szCs w:val="22"/>
                            </w:rPr>
                            <w:t>Nuotolinės asmens sveikatos priežiūros paslaugos</w:t>
                          </w:r>
                          <w:r>
                            <w:rPr>
                              <w:bCs/>
                              <w:sz w:val="22"/>
                              <w:szCs w:val="22"/>
                            </w:rPr>
                            <w:t xml:space="preserve"> – asmens sveikatos priežiūros paslaugos, naudojant nuotolinio ryšio priemones gydytojo ar kito asmens sveikatos priežiūros specialisto teikiamos pacientui, jiems esant skirtingose vietose tuo pačiu ar skirtingu laiku, įskaitant gydytojo ar kito asmens sveikatos priežiūros specialisto nuotolinio ryšio priemonėmis teikiamas konsultacijas pacientą gydančiam gydytojui ar kitam asmens sveikatos priežiūros specialistui, </w:t>
                          </w:r>
                          <w:r>
                            <w:rPr>
                              <w:sz w:val="22"/>
                              <w:szCs w:val="22"/>
                            </w:rPr>
                            <w:t>jiems esant skirtingose vietose tuo pačiu ar skirtingu laiku</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820c2ce9111f08918e1adc7c5b1ec">
                            <w:r w:rsidRPr="00532B9F">
                              <w:rPr>
                                <w:rFonts w:ascii="Times New Roman" w:eastAsia="MS Mincho" w:hAnsi="Times New Roman"/>
                                <w:sz w:val="20"/>
                                <w:i/>
                                <w:iCs/>
                                <w:color w:val="0000FF" w:themeColor="hyperlink"/>
                                <w:u w:val="single"/>
                              </w:rPr>
                              <w:t>XV-568</w:t>
                            </w:r>
                          </w:fldSimple>
                          <w:r>
                            <w:rPr>
                              <w:rFonts w:ascii="Times New Roman" w:eastAsia="MS Mincho" w:hAnsi="Times New Roman"/>
                              <w:sz w:val="20"/>
                              <w:i/>
                              <w:iCs/>
                            </w:rPr>
                            <w:t>,
2025-11-20,
paskelbta TAR 2025-12-01, i. k. 2025-20383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26a6abc98bf84d31a70dc64c0f2b377b"/>
                            <w:lock w:val="sdtLocked"/>
                            <w:richText/>
                          </w:sdtPr>
                          <w:sdtContent>
                            <w:p>
                              <w:pPr>
                                <w:ind w:firstLine="720"/>
                                <w:jc w:val="both"/>
                                <w:rPr>
                                  <w:sz w:val="22"/>
                                </w:rPr>
                              </w:pPr>
                              <w:sdt>
                                <w:sdtPr>
                                  <w:alias w:val="Numeris"/>
                                  <w:tag w:val="nr_26a6abc98bf84d31a70dc64c0f2b377b"/>
                                  <w:lock w:val="sdtLocked"/>
                                  <w:richText/>
                                </w:sdtPr>
                                <w:sdtContent>
                                  <w:r>
                                    <w:rPr>
                                      <w:sz w:val="22"/>
                                      <w:szCs w:val="22"/>
                                    </w:rPr>
                                    <w:t>4</w:t>
                                  </w:r>
                                </w:sdtContent>
                              </w:sdt>
                              <w:r>
                                <w:rPr>
                                  <w:sz w:val="22"/>
                                  <w:szCs w:val="22"/>
                                </w:rPr>
                                <w:t xml:space="preserve">) kitos įmonės ir įstaigos, įstatymų nustatyta tvarka sudariusios sutartis su Valstybine ligonių kasa prie Sveikatos apsaugos ministerijos (toliau – Valstybinė ligonių kasa) arba kitais LNSS veiklos užsakovais – šių sutarčių galiojimo laikotarpiu </w:t>
                              </w:r>
                              <w:r>
                                <w:rPr>
                                  <w:bCs/>
                                  <w:sz w:val="22"/>
                                  <w:szCs w:val="22"/>
                                </w:rPr>
                                <w:t>ir tik dėl tų paslaugų, dėl kurių sudarytos šios sutartys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40a94379b794290b49c34d4b74e803a"/>
                    <w:lock w:val="sdtLocked"/>
                    <w:richText/>
                  </w:sdtPr>
                  <w:sdtContent>
                    <w:p>
                      <w:pPr>
                        <w:ind w:firstLine="720"/>
                        <w:jc w:val="both"/>
                        <w:rPr>
                          <w:b/>
                          <w:color w:val="000000"/>
                          <w:sz w:val="22"/>
                          <w:szCs w:val="22"/>
                          <w:lang w:eastAsia="lt-LT"/>
                        </w:rPr>
                      </w:pPr>
                      <w:sdt>
                        <w:sdtPr>
                          <w:alias w:val="Numeris"/>
                          <w:tag w:val="nr_640a94379b794290b49c34d4b74e803a"/>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640a94379b794290b49c34d4b74e803a"/>
                          <w:lock w:val="sdtLocked"/>
                          <w:richText/>
                        </w:sdtPr>
                        <w:sdtContent>
                          <w:r>
                            <w:rPr>
                              <w:b/>
                              <w:color w:val="000000"/>
                              <w:sz w:val="22"/>
                              <w:szCs w:val="22"/>
                              <w:lang w:eastAsia="lt-LT"/>
                            </w:rPr>
                            <w:t>Licencijavimas asmens sveikatos priežiūros veiklai</w:t>
                          </w:r>
                        </w:sdtContent>
                      </w:sdt>
                    </w:p>
                    <w:sdt>
                      <w:sdtPr>
                        <w:alias w:val="5 str. 1 d."/>
                        <w:tag w:val="part_0f4f5f79d479412f863a7f488b06d758"/>
                        <w:lock w:val="sdtLocked"/>
                        <w:richText/>
                      </w:sdtPr>
                      <w:sdtContent>
                        <w:p>
                          <w:pPr>
                            <w:ind w:firstLine="720"/>
                            <w:jc w:val="both"/>
                            <w:rPr>
                              <w:sz w:val="22"/>
                              <w:szCs w:val="22"/>
                              <w:lang w:eastAsia="en-GB"/>
                            </w:rPr>
                          </w:pPr>
                          <w:sdt>
                            <w:sdtPr>
                              <w:alias w:val="Numeris"/>
                              <w:tag w:val="nr_0f4f5f79d479412f863a7f488b06d758"/>
                              <w:lock w:val="sdtLocked"/>
                              <w:richText/>
                            </w:sdtPr>
                            <w:sdtContent>
                              <w:r>
                                <w:rPr>
                                  <w:sz w:val="22"/>
                                  <w:szCs w:val="22"/>
                                  <w:lang w:eastAsia="en-GB"/>
                                </w:rPr>
                                <w:t>1</w:t>
                              </w:r>
                            </w:sdtContent>
                          </w:sdt>
                          <w:r>
                            <w:rPr>
                              <w:sz w:val="22"/>
                              <w:szCs w:val="22"/>
                              <w:lang w:eastAsia="en-GB"/>
                            </w:rPr>
                            <w:t xml:space="preserve">. </w:t>
                          </w:r>
                          <w:r>
                            <w:rPr>
                              <w:sz w:val="22"/>
                              <w:szCs w:val="22"/>
                            </w:rPr>
                            <w:t>Lietuvos Respublikoje įsteigtas juridinis asmuo ar užsienio valstybėje įsteigto juridinio asmens ar kitos organizacijos filialas, įsteigtas Lietuvos Respublikoje, (toliau – 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gali būti teikiamos ne tik sveikatos priežiūros įstaigoje ir tai numatyta atskirų paslaugų teikimą reglamentuojančiuose sveikatos apsaugos ministro įsakymuose. Nuotolinės asmens sveikatos priežiūros paslaugos gali būti teikiamos tais atvejais, kai fizinis kontaktas tarp gydytojo ar kito asmens sveikatos priežiūros specialisto ir paciento dėl teikiamų asmens sveikatos priežiūros paslaugų pobūdžio nereikalingas.</w:t>
                          </w:r>
                          <w:r>
                            <w:rPr>
                              <w:bCs/>
                              <w:sz w:val="22"/>
                              <w:szCs w:val="22"/>
                            </w:rPr>
                            <w:t xml:space="preserve"> Nuotolinių asmens sveikatos priežiūros paslaugų teikimo reikalavimus nustato sveikatos apsaugos ministras. Nuotolinių asmens sveikatos priežiūros paslaugų teikimas organizuojamas asmens sveikatos priežiūros įstaigos vadovo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820c2ce9111f08918e1adc7c5b1ec">
                            <w:r w:rsidRPr="00532B9F">
                              <w:rPr>
                                <w:rFonts w:ascii="Times New Roman" w:eastAsia="MS Mincho" w:hAnsi="Times New Roman"/>
                                <w:sz w:val="20"/>
                                <w:i/>
                                <w:iCs/>
                                <w:color w:val="0000FF" w:themeColor="hyperlink"/>
                                <w:u w:val="single"/>
                              </w:rPr>
                              <w:t>XV-568</w:t>
                            </w:r>
                          </w:fldSimple>
                          <w:r>
                            <w:rPr>
                              <w:rFonts w:ascii="Times New Roman" w:eastAsia="MS Mincho" w:hAnsi="Times New Roman"/>
                              <w:sz w:val="20"/>
                              <w:i/>
                              <w:iCs/>
                            </w:rPr>
                            <w:t>,
2025-11-20,
paskelbta TAR 2025-12-01, i. k. 2025-20383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3bd47f2e63bb4ca089a792ac1fe9facc"/>
                            <w:lock w:val="sdtLocked"/>
                            <w:richText/>
                          </w:sdtPr>
                          <w:sdtContent>
                            <w:p>
                              <w:pPr>
                                <w:ind w:firstLine="720"/>
                                <w:jc w:val="both"/>
                                <w:rPr>
                                  <w:sz w:val="22"/>
                                  <w:szCs w:val="22"/>
                                  <w:lang w:eastAsia="en-GB"/>
                                </w:rPr>
                              </w:pPr>
                              <w:sdt>
                                <w:sdtPr>
                                  <w:alias w:val="Numeris"/>
                                  <w:tag w:val="nr_3bd47f2e63bb4ca089a792ac1fe9fac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ir (arba) nevykdo šio įstatymo 45 straipsnio 1 dalies 4</w:t>
                              </w:r>
                              <w:r>
                                <w:rPr>
                                  <w:color w:val="000000"/>
                                  <w:sz w:val="22"/>
                                  <w:szCs w:val="22"/>
                                  <w:vertAlign w:val="superscript"/>
                                </w:rPr>
                                <w:t>1</w:t>
                              </w:r>
                              <w:r>
                                <w:rPr>
                                  <w:color w:val="000000"/>
                                  <w:sz w:val="22"/>
                                  <w:szCs w:val="22"/>
                                </w:rPr>
                                <w:t xml:space="preserve"> ir (arba) 6, ir (arba) 17, ir (arba) 18 punktuose nustatytų pareigų, ir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c692e4a54967415db05907ed54a08c5a"/>
                        <w:lock w:val="sdtLocked"/>
                        <w:richText/>
                      </w:sdtPr>
                      <w:sdtContent>
                        <w:p>
                          <w:pPr>
                            <w:ind w:firstLine="720"/>
                            <w:jc w:val="both"/>
                            <w:rPr>
                              <w:color w:val="000000"/>
                              <w:sz w:val="22"/>
                              <w:szCs w:val="22"/>
                            </w:rPr>
                          </w:pPr>
                          <w:sdt>
                            <w:sdtPr>
                              <w:alias w:val="Numeris"/>
                              <w:tag w:val="nr_c692e4a54967415db05907ed54a08c5a"/>
                              <w:lock w:val="sdtLocked"/>
                              <w:richText/>
                            </w:sdtPr>
                            <w:sdtContent>
                              <w:r>
                                <w:rPr>
                                  <w:color w:val="000000"/>
                                  <w:sz w:val="22"/>
                                  <w:szCs w:val="22"/>
                                </w:rPr>
                                <w:t>11</w:t>
                              </w:r>
                              <w:r>
                                <w:rPr>
                                  <w:color w:val="000000"/>
                                  <w:sz w:val="22"/>
                                  <w:szCs w:val="22"/>
                                  <w:vertAlign w:val="superscript"/>
                                </w:rPr>
                                <w:t>1</w:t>
                              </w:r>
                            </w:sdtContent>
                          </w:sdt>
                          <w:r>
                            <w:rPr>
                              <w:color w:val="000000"/>
                              <w:sz w:val="22"/>
                              <w:szCs w:val="22"/>
                            </w:rPr>
                            <w:t>. Asmens sveikatos priežiūros veiklos licencijos ar jos dalies galiojimas stabdomas tik toms asmens sveikatos priežiūros paslaugoms, kurias teikiant nustatyti pažeidimai. Jeigu asmens sveikatos priežiūros įstaiga nevykdo šio įstatymo 45 straipsnio 1 dalies 4</w:t>
                          </w:r>
                          <w:r>
                            <w:rPr>
                              <w:color w:val="000000"/>
                              <w:sz w:val="22"/>
                              <w:szCs w:val="22"/>
                              <w:vertAlign w:val="superscript"/>
                            </w:rPr>
                            <w:t>1</w:t>
                          </w:r>
                          <w:r>
                            <w:rPr>
                              <w:color w:val="000000"/>
                              <w:sz w:val="22"/>
                              <w:szCs w:val="22"/>
                            </w:rPr>
                            <w:t xml:space="preserve"> punkte nustatytos pareigos Sveikatos apsaugos ministerijos valdomos Elektroninės sveikatos paslaugų ir bendradarbiavimo infrastruktūros informacinės sistemos (toliau – ESPBI IS) veiklą reguliuojančių teisės aktų nustatyta tvarka sudaryti sutartį dėl naudojimosi ESPBI IS ir (arba) šio įstatymo 45 straipsnio 1 dalies 6 ir (arba) 17 punktuose nustatytų pareigų, ir (arba) šio įstatymo 45 straipsnio 1 dalies 18 punkte nustatytos pareigos prisijungti prie Sveikatos apsaugos ministerijos valdomos Išankstinės pacientų registracijos informacinės sistemos (toliau – IPR IS), asmens sveikatos priežiūros veiklos licencijos galiojimas stabdomas visoms asmens sveikatos priežiūros paslaugoms.</w:t>
                          </w:r>
                        </w:p>
                        <w:p>
                          <w:pPr>
                            <w:ind w:firstLine="720"/>
                            <w:jc w:val="both"/>
                            <w:rPr>
                              <w:bCs/>
                              <w:color w:val="000000"/>
                              <w:sz w:val="22"/>
                              <w:szCs w:val="22"/>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76107caadb784781b931fcc5523b219f"/>
                        <w:lock w:val="sdtLocked"/>
                        <w:richText/>
                      </w:sdtPr>
                      <w:sdtContent>
                        <w:p>
                          <w:pPr>
                            <w:ind w:firstLine="720"/>
                            <w:jc w:val="both"/>
                            <w:rPr>
                              <w:sz w:val="22"/>
                            </w:rPr>
                          </w:pPr>
                          <w:sdt>
                            <w:sdtPr>
                              <w:alias w:val="Numeris"/>
                              <w:tag w:val="nr_76107caadb784781b931fcc5523b219f"/>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LNSS įstaigų teikiamų paslaugų </w:t>
                          </w:r>
                          <w:r>
                            <w:rPr>
                              <w:bCs/>
                              <w:color w:val="000000"/>
                              <w:sz w:val="22"/>
                              <w:szCs w:val="22"/>
                            </w:rPr>
                            <w:t>kainos nustatomos Sveikatos sistemos įstatyme ir Sveikatos draudimo įstatyme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2 d."/>
                        <w:tag w:val="part_2fdd71f769954771b467f7b27aa64c54"/>
                        <w:lock w:val="sdtLocked"/>
                        <w:richText/>
                      </w:sdtPr>
                      <w:sdtContent>
                        <w:p>
                          <w:pPr>
                            <w:ind w:firstLine="720"/>
                            <w:jc w:val="both"/>
                            <w:rPr>
                              <w:sz w:val="22"/>
                            </w:rPr>
                          </w:pPr>
                          <w:sdt>
                            <w:sdtPr>
                              <w:alias w:val="Numeris"/>
                              <w:tag w:val="nr_2fdd71f769954771b467f7b27aa64c54"/>
                              <w:lock w:val="sdtLocked"/>
                              <w:richText/>
                            </w:sdtPr>
                            <w:sdtContent>
                              <w:r>
                                <w:rPr>
                                  <w:sz w:val="22"/>
                                  <w:szCs w:val="22"/>
                                </w:rPr>
                                <w:t>2</w:t>
                              </w:r>
                            </w:sdtContent>
                          </w:sdt>
                          <w:r>
                            <w:rPr>
                              <w:sz w:val="22"/>
                              <w:szCs w:val="22"/>
                            </w:rPr>
                            <w:t xml:space="preserve">. LNSS nepriklausančių įstaigų </w:t>
                          </w:r>
                          <w:r>
                            <w:rPr>
                              <w:bCs/>
                              <w:sz w:val="22"/>
                              <w:szCs w:val="22"/>
                            </w:rPr>
                            <w:t>ir įmonių</w:t>
                          </w:r>
                          <w:r>
                            <w:rPr>
                              <w:b/>
                              <w:bCs/>
                              <w:sz w:val="22"/>
                              <w:szCs w:val="22"/>
                            </w:rPr>
                            <w:t xml:space="preserve"> </w:t>
                          </w:r>
                          <w:r>
                            <w:rPr>
                              <w:sz w:val="22"/>
                              <w:szCs w:val="22"/>
                            </w:rPr>
                            <w:t xml:space="preserve">teikiamų paslaugų </w:t>
                          </w:r>
                          <w:r>
                            <w:rPr>
                              <w:bCs/>
                              <w:sz w:val="22"/>
                              <w:szCs w:val="22"/>
                            </w:rPr>
                            <w:t>kainos nustatomos</w:t>
                          </w:r>
                          <w:r>
                            <w:rPr>
                              <w:b/>
                              <w:bCs/>
                              <w:sz w:val="22"/>
                              <w:szCs w:val="22"/>
                            </w:rPr>
                            <w:t xml:space="preserve"> </w:t>
                          </w:r>
                          <w:r>
                            <w:rPr>
                              <w:sz w:val="22"/>
                              <w:szCs w:val="22"/>
                            </w:rPr>
                            <w:t xml:space="preserve">šių įstaigų </w:t>
                          </w:r>
                          <w:r>
                            <w:rPr>
                              <w:bCs/>
                              <w:sz w:val="22"/>
                              <w:szCs w:val="22"/>
                            </w:rPr>
                            <w:t>ir įmonių</w:t>
                          </w:r>
                          <w:r>
                            <w:rPr>
                              <w:b/>
                              <w:bCs/>
                              <w:sz w:val="22"/>
                              <w:szCs w:val="22"/>
                            </w:rPr>
                            <w:t xml:space="preserve"> </w:t>
                          </w:r>
                          <w:r>
                            <w:rPr>
                              <w:sz w:val="22"/>
                              <w:szCs w:val="22"/>
                            </w:rPr>
                            <w:t>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3bfb703d6d874668bf0030ed790e6b34"/>
                        <w:lock w:val="sdtLocked"/>
                        <w:richText/>
                      </w:sdtPr>
                      <w:sdtContent>
                        <w:p>
                          <w:pPr>
                            <w:ind w:firstLine="720"/>
                            <w:jc w:val="both"/>
                            <w:rPr>
                              <w:color w:val="000000"/>
                              <w:sz w:val="22"/>
                              <w:szCs w:val="22"/>
                            </w:rPr>
                          </w:pPr>
                          <w:sdt>
                            <w:sdtPr>
                              <w:alias w:val="Numeris"/>
                              <w:tag w:val="nr_3bfb703d6d874668bf0030ed790e6b34"/>
                              <w:lock w:val="sdtLocked"/>
                              <w:richText/>
                            </w:sdtPr>
                            <w:sdtContent>
                              <w:r>
                                <w:rPr>
                                  <w:color w:val="000000"/>
                                  <w:sz w:val="22"/>
                                  <w:szCs w:val="22"/>
                                </w:rPr>
                                <w:t>1</w:t>
                              </w:r>
                            </w:sdtContent>
                          </w:sdt>
                          <w:r>
                            <w:rPr>
                              <w:color w:val="000000"/>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iCs/>
                              <w:color w:val="000000"/>
                              <w:sz w:val="22"/>
                              <w:szCs w:val="22"/>
                            </w:rPr>
                            <w:t>Pasibaigus LNSS valstybės ar savivaldybės biudžetinės ar viešosios įstaigos, teikiančios asmens sveikatos priežiūros paslaugas, vadovo pirmajai penkerių metų kadencijai, esant vadovo sutikimui, antrajai penkerių metų kadencijai jis gali būti skiriamas be konkurso,</w:t>
                          </w:r>
                          <w:r>
                            <w:rPr>
                              <w:iCs/>
                              <w:sz w:val="22"/>
                              <w:szCs w:val="22"/>
                            </w:rPr>
                            <w:t xml:space="preserve"> jeigu jo vadovaujama įstaiga kiekvienais kadencijos metais pasiekė ne mažiau kaip 80 procentų tiems metams </w:t>
                          </w:r>
                          <w:r>
                            <w:rPr>
                              <w:color w:val="000000"/>
                              <w:sz w:val="22"/>
                              <w:szCs w:val="22"/>
                            </w:rPr>
                            <w:t>vadovaujantis šio įstatymo 15</w:t>
                          </w:r>
                          <w:r>
                            <w:rPr>
                              <w:color w:val="000000"/>
                              <w:sz w:val="22"/>
                              <w:szCs w:val="22"/>
                              <w:vertAlign w:val="superscript"/>
                            </w:rPr>
                            <w:t>2</w:t>
                          </w:r>
                          <w:r>
                            <w:rPr>
                              <w:color w:val="000000"/>
                              <w:sz w:val="22"/>
                              <w:szCs w:val="22"/>
                            </w:rPr>
                            <w:t xml:space="preserve"> straipsniu sveikatos apsaugos ministro patvirtintų LNSS viešųjų įstaigų ir LNSS biudžetinių įstaigų, teikiančių asmens sveikatos priežiūros paslaugas, veiklos rezultatų vertinimo rodiklių siektinų reikšmių ir visus </w:t>
                          </w:r>
                          <w:r>
                            <w:rPr>
                              <w:bCs/>
                              <w:sz w:val="22"/>
                              <w:szCs w:val="22"/>
                            </w:rPr>
                            <w:t xml:space="preserve">vadovaujantis Viešųjų įstaigų įstatymo 5 straipsnio 5 </w:t>
                          </w:r>
                          <w:r>
                            <w:rPr>
                              <w:color w:val="000000"/>
                              <w:sz w:val="22"/>
                              <w:szCs w:val="22"/>
                            </w:rPr>
                            <w:t xml:space="preserve">dalies 3 punktu nustatytus valstybės ar savivaldybės tikslus ir lūkesčius dėl viešosios įstaigos, </w:t>
                          </w:r>
                          <w:r>
                            <w:rPr>
                              <w:bCs/>
                              <w:iCs/>
                              <w:sz w:val="22"/>
                              <w:szCs w:val="22"/>
                            </w:rPr>
                            <w:t xml:space="preserve">jei valstybės ar savivaldybės tikslai ir lūkesčiai buvo nustatyti. Įstaigų vertinimo pagal </w:t>
                          </w:r>
                          <w:r>
                            <w:rPr>
                              <w:color w:val="000000"/>
                              <w:sz w:val="22"/>
                              <w:szCs w:val="22"/>
                            </w:rPr>
                            <w:t>LNSS viešųjų įstaigų ir LNSS biudžetinių įstaigų, teikiančių asmens sveikatos priežiūros paslaugas, veiklos rezultatų vertinimo rodiklių pasiektas reikšmes metodiką nustato sveikatos apsaugos ministras.</w:t>
                          </w:r>
                          <w:r>
                            <w:rPr>
                              <w:bCs/>
                              <w:iCs/>
                              <w:sz w:val="22"/>
                              <w:szCs w:val="22"/>
                            </w:rPr>
                            <w:t xml:space="preserve"> Pasibaigus LNSS valstybės ar savivaldybės biudžetinės ar viešosios įstaigos, teikiančios visuomenės ar </w:t>
                          </w:r>
                          <w:r>
                            <w:rPr>
                              <w:color w:val="000000"/>
                              <w:sz w:val="22"/>
                              <w:szCs w:val="22"/>
                            </w:rPr>
                            <w:t xml:space="preserve">papildomosios ir alternatyviosios </w:t>
                          </w:r>
                          <w:r>
                            <w:rPr>
                              <w:bCs/>
                              <w:iCs/>
                              <w:sz w:val="22"/>
                              <w:szCs w:val="22"/>
                            </w:rPr>
                            <w:t xml:space="preserve">sveikatos priežiūros paslaugas, vadovo pirmajai penkerių metų kadencijai, esant vadovo sutikimui, antrajai penkerių metų kadencijai jis gali būti skiriamas be konkurso atitinkamai Biudžetinių įstaigų įstatymo 10 straipsnio 2 dalyje ar Viešųjų įstaigų įstatymo 20 straipsnio 4 dalyje nustatytais atvejais ir tvarka. </w:t>
                          </w:r>
                          <w:r>
                            <w:rPr>
                              <w:bCs/>
                              <w:sz w:val="22"/>
                              <w:szCs w:val="22"/>
                            </w:rPr>
                            <w:t>Sprendimas dėl valstybės ar savivaldybės biudžetinės ar viešosios įstaigos vadovo skyrimo be konkurso antrajai penkerių metų kadencijai turi būti priimtas likus ne mažiau kaip šešiems mėnesiams iki šio vadovo kadencijos pabaigos.</w:t>
                          </w:r>
                          <w:r>
                            <w:rPr>
                              <w:color w:val="000000"/>
                              <w:sz w:val="22"/>
                              <w:szCs w:val="22"/>
                              <w:lang w:eastAsia="lt-LT"/>
                            </w:rPr>
                            <w:t xml:space="preserve"> </w:t>
                          </w:r>
                          <w:r>
                            <w:rPr>
                              <w:color w:val="000000"/>
                              <w:sz w:val="22"/>
                              <w:szCs w:val="22"/>
                            </w:rPr>
                            <w:t>Tos pačios LNSS valstybės ar savivaldybės biudžetinės ar viešosios įstaigos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w:t>
                          </w:r>
                          <w:r>
                            <w:rPr>
                              <w:color w:val="000000"/>
                              <w:sz w:val="22"/>
                              <w:szCs w:val="22"/>
                              <w:shd w:val="clear" w:color="auto" w:fill="FFFFFF"/>
                            </w:rPr>
                            <w:t xml:space="preserve"> </w:t>
                          </w:r>
                          <w:r>
                            <w:rPr>
                              <w:iCs/>
                              <w:color w:val="000000"/>
                              <w:sz w:val="22"/>
                              <w:szCs w:val="22"/>
                              <w:shd w:val="clear" w:color="auto" w:fill="FFFFFF"/>
                            </w:rPr>
                            <w:t>išskyrus atvejus, kai LNSS valstybės ar savivaldybės biudžetinės ar viešosios įstaigos vadovas pagal šios dalies nuostatas paskiriamas antrajai penkerių metų kadencijai be konkurso</w:t>
                          </w:r>
                          <w:r>
                            <w:rPr>
                              <w:color w:val="000000"/>
                              <w:sz w:val="22"/>
                              <w:szCs w:val="22"/>
                              <w:shd w:val="clear" w:color="auto" w:fill="FFFFFF"/>
                            </w:rPr>
                            <w:t>.</w:t>
                          </w:r>
                          <w:r>
                            <w:rPr>
                              <w:color w:val="000000"/>
                              <w:sz w:val="22"/>
                              <w:szCs w:val="22"/>
                            </w:rPr>
                            <w:t xml:space="preserve">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f52624c3411f0b070ee7f1ceefc75">
                            <w:r w:rsidRPr="00532B9F">
                              <w:rPr>
                                <w:rFonts w:ascii="Times New Roman" w:eastAsia="MS Mincho" w:hAnsi="Times New Roman"/>
                                <w:sz w:val="20"/>
                                <w:i/>
                                <w:iCs/>
                                <w:color w:val="0000FF" w:themeColor="hyperlink"/>
                                <w:u w:val="single"/>
                              </w:rPr>
                              <w:t>XV-273</w:t>
                            </w:r>
                          </w:fldSimple>
                          <w:r>
                            <w:rPr>
                              <w:rFonts w:ascii="Times New Roman" w:eastAsia="MS Mincho" w:hAnsi="Times New Roman"/>
                              <w:sz w:val="20"/>
                              <w:i/>
                              <w:iCs/>
                            </w:rPr>
                            <w:t>,
2025-06-12,
paskelbta TAR 2025-06-18, i. k. 2025-11027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864b77816aa34ee68de4a02a6dfab4c0"/>
                        <w:lock w:val="sdtLocked"/>
                        <w:richText/>
                      </w:sdtPr>
                      <w:sdtContent>
                        <w:p>
                          <w:pPr>
                            <w:ind w:firstLine="720"/>
                            <w:jc w:val="both"/>
                            <w:rPr>
                              <w:sz w:val="22"/>
                              <w:szCs w:val="22"/>
                              <w:lang w:eastAsia="lt-LT"/>
                            </w:rPr>
                          </w:pPr>
                          <w:sdt>
                            <w:sdtPr>
                              <w:alias w:val="Numeris"/>
                              <w:tag w:val="nr_864b77816aa34ee68de4a02a6dfab4c0"/>
                              <w:lock w:val="sdtLocked"/>
                              <w:richText/>
                            </w:sdtPr>
                            <w:sdtContent>
                              <w:r>
                                <w:rPr>
                                  <w:color w:val="000000"/>
                                  <w:sz w:val="22"/>
                                  <w:szCs w:val="22"/>
                                  <w:lang w:eastAsia="en-GB"/>
                                </w:rPr>
                                <w:t>2</w:t>
                              </w:r>
                            </w:sdtContent>
                          </w:sdt>
                          <w:r>
                            <w:rPr>
                              <w:color w:val="000000"/>
                              <w:sz w:val="22"/>
                              <w:szCs w:val="22"/>
                              <w:lang w:eastAsia="en-GB"/>
                            </w:rPr>
                            <w:t xml:space="preserve">. LNSS viešųjų įstaigų, teikiančių Privalomojo sveikatos draudimo fondo lėšomis apmokamas asmens sveikatos priežiūros paslaugas, vadovų mėnesinio darbo užmokesčio pastoviosios dalies dydis nustatomas </w:t>
                          </w:r>
                          <w:r>
                            <w:rPr>
                              <w:bCs/>
                              <w:color w:val="000000"/>
                              <w:sz w:val="22"/>
                              <w:szCs w:val="22"/>
                              <w:lang w:eastAsia="en-GB"/>
                            </w:rPr>
                            <w:t>kiekvienais metais nuo gegužės 1 d. iki kitų kalendorinių metų balandžio 30 d.,</w:t>
                          </w:r>
                          <w:r>
                            <w:rPr>
                              <w:color w:val="000000"/>
                              <w:sz w:val="22"/>
                              <w:szCs w:val="22"/>
                              <w:lang w:eastAsia="en-GB"/>
                            </w:rPr>
                            <w:t xml:space="preserve"> praėjusių kalendorinių metų jų vadovaujamos įstaigos vieno etato gydytojų ir slaugytojų vidutinio mėnesinio</w:t>
                          </w:r>
                          <w:r>
                            <w:rPr>
                              <w:b/>
                              <w:bCs/>
                              <w:color w:val="000000"/>
                              <w:sz w:val="22"/>
                              <w:szCs w:val="22"/>
                              <w:lang w:eastAsia="en-GB"/>
                            </w:rPr>
                            <w:t xml:space="preserve"> </w:t>
                          </w:r>
                          <w:r>
                            <w:rPr>
                              <w:color w:val="000000"/>
                              <w:sz w:val="22"/>
                              <w:szCs w:val="22"/>
                              <w:lang w:eastAsia="en-GB"/>
                            </w:rPr>
                            <w:t>darbo užmokesčio svertinį vidurkį dauginant iš koeficiento, kuris yra apskaičiuotas atsižvelgus į šiuos kriterijus: LNSS viešųjų įstaigų praėjusiais kalendoriniais metais iš Privalomojo sveikatos draudimo fondo biudžeto gautų pajamų dydį ir praėjusiais kalendoriniais metais gydytojų (įskaitant gydytojus odontologus) ir slaugytojų (įskaitant akušerius) faktiškai užimtų etatų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1f2f5231f6774c9c831d2b760bd31027"/>
                        <w:lock w:val="sdtLocked"/>
                        <w:richText/>
                      </w:sdtPr>
                      <w:sdtContent>
                        <w:p>
                          <w:pPr>
                            <w:tabs>
                              <w:tab w:val="center" w:pos="4153"/>
                              <w:tab w:val="right" w:pos="8306"/>
                            </w:tabs>
                            <w:ind w:firstLine="720"/>
                            <w:jc w:val="both"/>
                            <w:rPr>
                              <w:sz w:val="22"/>
                              <w:szCs w:val="22"/>
                              <w:lang w:eastAsia="lt-LT"/>
                            </w:rPr>
                          </w:pPr>
                          <w:sdt>
                            <w:sdtPr>
                              <w:alias w:val="Numeris"/>
                              <w:tag w:val="nr_1f2f5231f6774c9c831d2b760bd31027"/>
                              <w:lock w:val="sdtLocked"/>
                              <w:richText/>
                            </w:sdtPr>
                            <w:sdtContent>
                              <w:r>
                                <w:rPr>
                                  <w:color w:val="000000"/>
                                  <w:sz w:val="22"/>
                                  <w:szCs w:val="22"/>
                                </w:rPr>
                                <w:t>10</w:t>
                              </w:r>
                            </w:sdtContent>
                          </w:sdt>
                          <w:r>
                            <w:rPr>
                              <w:color w:val="000000"/>
                              <w:sz w:val="22"/>
                              <w:szCs w:val="22"/>
                            </w:rPr>
                            <w:t>. LNSS viešųjų įstaigų vadovaujančiųjų darbuotojų mėnesinio darbo užmokesčio kintamosios dalies dydis nustatomas kiekvienais metais nuo gegužės 1 d. iki kitų kalendorinių metų balandžio 30 d. atsižvelgiant į pasiektas vadovaujantis šio įstatymo 15</w:t>
                          </w:r>
                          <w:r>
                            <w:rPr>
                              <w:color w:val="000000"/>
                              <w:sz w:val="22"/>
                              <w:szCs w:val="22"/>
                              <w:vertAlign w:val="superscript"/>
                            </w:rPr>
                            <w:t>2</w:t>
                          </w:r>
                          <w:r>
                            <w:rPr>
                              <w:color w:val="000000"/>
                              <w:sz w:val="22"/>
                              <w:szCs w:val="22"/>
                            </w:rPr>
                            <w:t xml:space="preserve"> straipsniu sveikatos apsaugos ministro patvirtintas LNSS viešųjų įstaigų ir LNSS biudžetinių įstaigų, teikiančių asmens sveikatos priežiūros paslaugas, veiklos rezultatų vertinimo rodiklių siektinas reikšmes. LNSS viešosios įstaigos vadovaujančiajam darbuotojui nuo jo darbo einant atitinkamas LNSS viešosios įstaigos vadovaujančiojo darbuotojo pareigas pradžios, taip pat jam grįžus iš atostogų vaikui prižiūrėti iki kitų kalendorinių metų balandžio 30 d., o jeigu jis pradėjo eiti atitinkamas pareigas arba iš atostogų vaikui prižiūrėti grįžo einamųjų metų spalio 1 d. ar vėliau, iki metų, einančių po kitų kalendorinių metų, balandžio 30 d., mėnesinio darbo užmokesčio kintamoji dalis nustatoma atsižvelgiant į LNSS viešosios įstaigos vadovaujančiojo darbuotojo profesinę kvalifikaciją ir (arba) numatomą šioje dalyje nurodyto laikotarpio LNSS viešosios įstaigos veiklos ir (ar) jos pokyčių mastą ir sudėtingumą. Visais atvejais mėnesinio darbo užmokesčio kintamosios dalies dydis negali viršyti 20 procentų vadovaujančiajam darbuotojui nustatyto mėnesinio darbo užmokesčio pastoviosios dalies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0"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1"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28c0b5925ad946118d5c785cd8e2b744"/>
                    <w:lock w:val="sdtLocked"/>
                    <w:richText/>
                  </w:sdtPr>
                  <w:sdtContent>
                    <w:p>
                      <w:pPr>
                        <w:ind w:left="2364" w:hanging="1644"/>
                        <w:jc w:val="both"/>
                        <w:rPr>
                          <w:color w:val="000000"/>
                          <w:sz w:val="22"/>
                          <w:szCs w:val="22"/>
                          <w:lang w:eastAsia="lt-LT"/>
                        </w:rPr>
                      </w:pPr>
                      <w:sdt>
                        <w:sdtPr>
                          <w:alias w:val="Numeris"/>
                          <w:tag w:val="nr_28c0b5925ad946118d5c785cd8e2b744"/>
                          <w:lock w:val="sdtLocked"/>
                          <w:richText/>
                        </w:sdtPr>
                        <w:sdtContent>
                          <w:r>
                            <w:rPr>
                              <w:b/>
                              <w:bCs/>
                              <w:color w:val="000000"/>
                              <w:sz w:val="22"/>
                              <w:szCs w:val="22"/>
                              <w:lang w:eastAsia="lt-LT"/>
                            </w:rPr>
                            <w:t>15</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28c0b5925ad946118d5c785cd8e2b744"/>
                          <w:lock w:val="sdtLocked"/>
                          <w:richText/>
                        </w:sdtPr>
                        <w:sdtContent>
                          <w:r>
                            <w:rPr>
                              <w:b/>
                              <w:bCs/>
                              <w:color w:val="000000"/>
                              <w:sz w:val="22"/>
                              <w:szCs w:val="22"/>
                              <w:lang w:eastAsia="lt-LT"/>
                            </w:rPr>
                            <w:t>LNSS viešųjų įstaigų ir LNSS biudžetinių įstaigų, teikiančių asmens sveikatos priežiūros paslaugas, veiklos rezultatų vertinimas</w:t>
                          </w:r>
                        </w:sdtContent>
                      </w:sdt>
                    </w:p>
                    <w:sdt>
                      <w:sdtPr>
                        <w:alias w:val="15-2 str. 1 d."/>
                        <w:tag w:val="part_0c173f67200e4ef0832ded07f7162d9c"/>
                        <w:lock w:val="sdtLocked"/>
                        <w:richText/>
                      </w:sdtPr>
                      <w:sdtContent>
                        <w:p>
                          <w:pPr>
                            <w:ind w:firstLine="720"/>
                            <w:jc w:val="both"/>
                            <w:rPr>
                              <w:color w:val="000000"/>
                              <w:sz w:val="22"/>
                              <w:szCs w:val="22"/>
                              <w:lang w:eastAsia="lt-LT"/>
                            </w:rPr>
                          </w:pPr>
                          <w:sdt>
                            <w:sdtPr>
                              <w:alias w:val="Numeris"/>
                              <w:tag w:val="nr_0c173f67200e4ef0832ded07f7162d9c"/>
                              <w:lock w:val="sdtLocked"/>
                              <w:richText/>
                            </w:sdtPr>
                            <w:sdtContent>
                              <w:r>
                                <w:rPr>
                                  <w:color w:val="000000"/>
                                  <w:sz w:val="22"/>
                                  <w:szCs w:val="22"/>
                                  <w:lang w:eastAsia="lt-LT"/>
                                </w:rPr>
                                <w:t>1</w:t>
                              </w:r>
                            </w:sdtContent>
                          </w:sdt>
                          <w:r>
                            <w:rPr>
                              <w:color w:val="000000"/>
                              <w:sz w:val="22"/>
                              <w:szCs w:val="22"/>
                              <w:lang w:eastAsia="lt-LT"/>
                            </w:rPr>
                            <w:t>. Sveikatos apsaugos ministras kiekvienais metais iki gegužės 1 d. tvirtina LNSS viešųjų įstaigų ir LNSS biudžetinių įstaigų, teikiančių asmens sveikatos priežiūros paslaugas, veiklos rezultatų vertinimo rodiklius (toliau šiame straipsnyje – rodikliai) ir jų siektinas reikšmes, taikomas šio ministro nustatytoms įstaigų grupėms. LNSS viešosios įstaigos ir LNSS biudžetinės įstaigos į grupes skirstomos pagal teikiamų asmens sveikatos priežiūros paslaugų lygį ir pobūdį.</w:t>
                          </w:r>
                        </w:p>
                      </w:sdtContent>
                    </w:sdt>
                    <w:sdt>
                      <w:sdtPr>
                        <w:alias w:val="15-2 str. 2 d."/>
                        <w:tag w:val="part_fb7b15b189604c9c90d396547e71abfa"/>
                        <w:lock w:val="sdtLocked"/>
                        <w:richText/>
                      </w:sdtPr>
                      <w:sdtContent>
                        <w:p>
                          <w:pPr>
                            <w:ind w:firstLine="720"/>
                            <w:jc w:val="both"/>
                            <w:rPr>
                              <w:color w:val="000000"/>
                              <w:sz w:val="22"/>
                              <w:szCs w:val="22"/>
                              <w:lang w:eastAsia="lt-LT"/>
                            </w:rPr>
                          </w:pPr>
                          <w:sdt>
                            <w:sdtPr>
                              <w:alias w:val="Numeris"/>
                              <w:tag w:val="nr_fb7b15b189604c9c90d396547e71abfa"/>
                              <w:lock w:val="sdtLocked"/>
                              <w:richText/>
                            </w:sdtPr>
                            <w:sdtContent>
                              <w:r>
                                <w:rPr>
                                  <w:color w:val="000000"/>
                                  <w:sz w:val="22"/>
                                  <w:szCs w:val="22"/>
                                  <w:lang w:eastAsia="lt-LT"/>
                                </w:rPr>
                                <w:t>2</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rodiklių siektinų reikšmių.</w:t>
                          </w:r>
                        </w:p>
                      </w:sdtContent>
                    </w:sdt>
                    <w:sdt>
                      <w:sdtPr>
                        <w:alias w:val="15-2 str. 3 d."/>
                        <w:tag w:val="part_c3e4909a02b34b1cbe3bfe58f6e669d0"/>
                        <w:lock w:val="sdtLocked"/>
                        <w:richText/>
                      </w:sdtPr>
                      <w:sdtContent>
                        <w:p>
                          <w:pPr>
                            <w:ind w:firstLine="720"/>
                            <w:jc w:val="both"/>
                            <w:rPr>
                              <w:color w:val="000000"/>
                              <w:sz w:val="22"/>
                              <w:szCs w:val="22"/>
                              <w:lang w:eastAsia="lt-LT"/>
                            </w:rPr>
                          </w:pPr>
                          <w:sdt>
                            <w:sdtPr>
                              <w:alias w:val="Numeris"/>
                              <w:tag w:val="nr_c3e4909a02b34b1cbe3bfe58f6e669d0"/>
                              <w:lock w:val="sdtLocked"/>
                              <w:richText/>
                            </w:sdtPr>
                            <w:sdtContent>
                              <w:r>
                                <w:rPr>
                                  <w:color w:val="000000"/>
                                  <w:sz w:val="22"/>
                                  <w:szCs w:val="22"/>
                                  <w:lang w:eastAsia="lt-LT"/>
                                </w:rPr>
                                <w:t>3</w:t>
                              </w:r>
                            </w:sdtContent>
                          </w:sdt>
                          <w:r>
                            <w:rPr>
                              <w:color w:val="000000"/>
                              <w:sz w:val="22"/>
                              <w:szCs w:val="22"/>
                              <w:lang w:eastAsia="lt-LT"/>
                            </w:rPr>
                            <w:t>. Pasiektos metinės rodiklių reikšmės nuolat skelbiamos viešai Sveikatos apsaugos ministerijos, LNSS viešųjų įstaigų ir LNSS biudžetinių įstaigų, teikiančių asmens sveikatos priežiūros paslaugas, interneto svetainėse ir šių įstaigų skelbimų lentose pacientams suprantamu būdu. Skelbiami duomenys turi būti išsamūs, struktūruoti, be registracijos nemokamai prieinami didžiausiai įmanomai vartotojų grupei, teikiami atvira ir nepatentuota forma.</w:t>
                          </w:r>
                        </w:p>
                      </w:sdtContent>
                    </w:sdt>
                    <w:sdt>
                      <w:sdtPr>
                        <w:alias w:val="15-2 str. 4 d."/>
                        <w:tag w:val="part_406f6ced3a7243b9a27842ced6c695f9"/>
                        <w:lock w:val="sdtLocked"/>
                        <w:richText/>
                      </w:sdtPr>
                      <w:sdtContent>
                        <w:p>
                          <w:pPr>
                            <w:ind w:firstLine="720"/>
                            <w:jc w:val="both"/>
                            <w:rPr>
                              <w:color w:val="000000"/>
                              <w:sz w:val="22"/>
                              <w:szCs w:val="22"/>
                              <w:lang w:eastAsia="lt-LT"/>
                            </w:rPr>
                          </w:pPr>
                          <w:sdt>
                            <w:sdtPr>
                              <w:alias w:val="Numeris"/>
                              <w:tag w:val="nr_406f6ced3a7243b9a27842ced6c695f9"/>
                              <w:lock w:val="sdtLocked"/>
                              <w:richText/>
                            </w:sdtPr>
                            <w:sdtContent>
                              <w:r>
                                <w:rPr>
                                  <w:color w:val="000000"/>
                                  <w:sz w:val="22"/>
                                  <w:szCs w:val="22"/>
                                  <w:lang w:eastAsia="lt-LT"/>
                                </w:rPr>
                                <w:t>4</w:t>
                              </w:r>
                            </w:sdtContent>
                          </w:sdt>
                          <w:r>
                            <w:rPr>
                              <w:color w:val="000000"/>
                              <w:sz w:val="22"/>
                              <w:szCs w:val="22"/>
                              <w:lang w:eastAsia="lt-LT"/>
                            </w:rPr>
                            <w:t>. LNSS viešųjų įstaigų ir LNSS biudžetinių įstaigų, teikiančių asmens sveikatos priežiūros paslaugas, pasiektų metinių rodiklių reikšmių palyginimą atlieka Sveikatos apsaugos ministerija.</w:t>
                          </w:r>
                        </w:p>
                      </w:sdtContent>
                    </w:sdt>
                    <w:sdt>
                      <w:sdtPr>
                        <w:alias w:val="15-2 str. 5 d."/>
                        <w:tag w:val="part_16ffac55fadb4ffcbc40d8200a2217bc"/>
                        <w:lock w:val="sdtLocked"/>
                        <w:richText/>
                      </w:sdtPr>
                      <w:sdtContent>
                        <w:p>
                          <w:pPr>
                            <w:ind w:firstLine="720"/>
                            <w:jc w:val="both"/>
                            <w:rPr>
                              <w:color w:val="000000"/>
                              <w:sz w:val="22"/>
                              <w:szCs w:val="22"/>
                              <w:lang w:eastAsia="lt-LT"/>
                            </w:rPr>
                          </w:pPr>
                          <w:sdt>
                            <w:sdtPr>
                              <w:alias w:val="Numeris"/>
                              <w:tag w:val="nr_16ffac55fadb4ffcbc40d8200a2217bc"/>
                              <w:lock w:val="sdtLocked"/>
                              <w:richText/>
                            </w:sdtPr>
                            <w:sdtContent>
                              <w:r>
                                <w:rPr>
                                  <w:color w:val="000000"/>
                                  <w:sz w:val="22"/>
                                  <w:szCs w:val="22"/>
                                </w:rPr>
                                <w:t>5</w:t>
                              </w:r>
                            </w:sdtContent>
                          </w:sdt>
                          <w:r>
                            <w:rPr>
                              <w:color w:val="000000"/>
                              <w:sz w:val="22"/>
                              <w:szCs w:val="22"/>
                            </w:rPr>
                            <w:t>. Tais atvejais, kai LNSS viešosios įstaigos ar LNSS biudžetinės įstaigos ne mažiau kaip 20 procentų rodiklių praėjusių kalendorinių metų reikšmės yra geresnės, negu sveikatos apsaugos ministro patvirtintos siektinos įstaigų grupei, kuriai priskiriama įstaiga, reikšmės, ir ši įstaiga asmens sveikatos priežiūros paslaugų, kurių išlaidos yra apmokamos iš Privalomojo sveikatos draudimo fondo biudžeto lėšų, per praėjusius kalendorinius metus suteikė už didesnę sumą, negu numatyta Valstybinės ligonių kasos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Kitų LNSS viešųjų ir biudžetinių įstaigų viršytos asmens sveikatos priežiūros paslaugų išlaidos iš Privalomojo sveikatos draudimo fondo biudžeto lėšų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 asmens sveikatos priežiūros paslaugų išlaidų apmokėjimo Privalomojo sveikatos draudimo fondo biudžeto lėšomis tvarką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2 str. 6 d."/>
                        <w:tag w:val="part_adca9d17a5ac4cb1a58346ab1bb58035"/>
                        <w:lock w:val="sdtLocked"/>
                        <w:richText/>
                      </w:sdtPr>
                      <w:sdtContent>
                        <w:p>
                          <w:pPr>
                            <w:ind w:firstLine="720"/>
                            <w:jc w:val="both"/>
                            <w:rPr>
                              <w:color w:val="000000"/>
                              <w:sz w:val="22"/>
                              <w:szCs w:val="22"/>
                            </w:rPr>
                          </w:pPr>
                          <w:sdt>
                            <w:sdtPr>
                              <w:alias w:val="Numeris"/>
                              <w:tag w:val="nr_adca9d17a5ac4cb1a58346ab1bb58035"/>
                              <w:lock w:val="sdtLocked"/>
                              <w:richText/>
                            </w:sdtPr>
                            <w:sdtContent>
                              <w:r>
                                <w:rPr>
                                  <w:color w:val="000000"/>
                                  <w:sz w:val="22"/>
                                  <w:szCs w:val="22"/>
                                </w:rPr>
                                <w:t>6</w:t>
                              </w:r>
                            </w:sdtContent>
                          </w:sdt>
                          <w:r>
                            <w:rPr>
                              <w:color w:val="000000"/>
                              <w:sz w:val="22"/>
                              <w:szCs w:val="22"/>
                            </w:rPr>
                            <w:t xml:space="preserve">. LNSS viešųjų įstaigų ir LNSS biudžetinių įstaigų, teikiančių asmens sveikatos priežiūros paslaugas, ataskaitiniu laikotarpiu pasiektos </w:t>
                          </w:r>
                          <w:r>
                            <w:rPr>
                              <w:color w:val="000000"/>
                              <w:sz w:val="22"/>
                              <w:szCs w:val="22"/>
                              <w:shd w:val="clear" w:color="auto" w:fill="FFFFFF"/>
                            </w:rPr>
                            <w:t xml:space="preserve">rodiklių reikšmės įstaigos </w:t>
                          </w:r>
                          <w:r>
                            <w:rPr>
                              <w:color w:val="000000"/>
                              <w:sz w:val="22"/>
                              <w:szCs w:val="22"/>
                            </w:rPr>
                            <w:t>visuotiniam dalininkų susirinkimui ar savininko teises ir pareigas įgyvendinančiai institucijai pateikiamos kiekvienais metais iki kovo 1 dienos. Tuo atveju, kai ne mažiau kaip 30 procentų rodiklių reikšmių nesiekia įstaigų grupei, kuriai priskiriama įstaiga, sveikatos apsaugos ministro patvirtintų rodiklių siektinų reikšmių, visuotinis dalininkų susirinkimas ar savininko teises ir pareigas įgyvendinanti institucija kartu su įstaigos vadovu privalo iki einamųjų metų birželio 15 dienos sudaryti įstaigos veiklos gerinimo priemonių planą, kuris turi būti įgyvendintas iki einamųjų metų gruodžio 31 dienos. LNSS viešosios įstaigos ir LNSS biudžetinės įstaigos, teikiančios asmens sveikatos priežiūros paslaugas, veiklos gerinimo priemonių planą tvirtina visuotinis dalininkų susirinkimas ar savininko teises ir pareigas įgyvendinanti institucija.</w:t>
                          </w:r>
                        </w:p>
                      </w:sdtContent>
                    </w:sdt>
                    <w:sdt>
                      <w:sdtPr>
                        <w:alias w:val="15-2 str. 7 d."/>
                        <w:tag w:val="part_d971b42b9a5342758b923d83364dff59"/>
                        <w:lock w:val="sdtLocked"/>
                        <w:richText/>
                      </w:sdtPr>
                      <w:sdtContent>
                        <w:p>
                          <w:pPr>
                            <w:ind w:firstLine="720"/>
                            <w:jc w:val="both"/>
                            <w:rPr>
                              <w:sz w:val="22"/>
                              <w:szCs w:val="22"/>
                            </w:rPr>
                          </w:pPr>
                          <w:sdt>
                            <w:sdtPr>
                              <w:alias w:val="Numeris"/>
                              <w:tag w:val="nr_d971b42b9a5342758b923d83364dff59"/>
                              <w:lock w:val="sdtLocked"/>
                              <w:richText/>
                            </w:sdtPr>
                            <w:sdtContent>
                              <w:r>
                                <w:rPr>
                                  <w:color w:val="000000"/>
                                  <w:sz w:val="22"/>
                                  <w:szCs w:val="22"/>
                                  <w:lang w:eastAsia="lt-LT"/>
                                </w:rPr>
                                <w:t>7</w:t>
                              </w:r>
                            </w:sdtContent>
                          </w:sdt>
                          <w:r>
                            <w:rPr>
                              <w:color w:val="000000"/>
                              <w:sz w:val="22"/>
                              <w:szCs w:val="22"/>
                              <w:lang w:eastAsia="lt-LT"/>
                            </w:rPr>
                            <w:t>. Jeigu įgyvendinus įstaigos veiklos gerinimo priemonių plane numatytas priemones bent 60 procentų įstaigos rodiklių reikšmių, dėl kurių buvo sudarytas ir įgyvendinamas įstaigos veiklos gerinimo priemonių planas, ir toliau nesiekia įstaigų grupei, kuriai priskiriama įstaiga, sveikatos apsaugos ministro patvirtintų rodiklių siektinų reikšmių, įstaigos visuotinis dalininkų susirinkimas ar savininko teises ir pareigas įgyvendinanti institucija privalo pagal kompetenciją priimti Biudžetinių įstaigų įstatymo 5 straipsnio 3 dalyje nurodytus savininko teises ir pareigas įgyvendinančiai institucijai priskirtus sprendimus ar Viešųjų įstaigų įstatymo 12 straipsnio 1 dalyje visuotiniam dalininkų susirinkimui priskirtus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404c0b8b07ec4710b77af70d2b8566cc"/>
                            <w:lock w:val="sdtLocked"/>
                            <w:richText/>
                          </w:sdtPr>
                          <w:sdtContent>
                            <w:p>
                              <w:pPr>
                                <w:tabs>
                                  <w:tab w:val="left" w:pos="709"/>
                                </w:tabs>
                                <w:ind w:firstLine="720"/>
                                <w:jc w:val="both"/>
                                <w:rPr>
                                  <w:sz w:val="22"/>
                                  <w:szCs w:val="22"/>
                                  <w:lang w:eastAsia="lt-LT"/>
                                </w:rPr>
                              </w:pPr>
                              <w:sdt>
                                <w:sdtPr>
                                  <w:alias w:val="Numeris"/>
                                  <w:tag w:val="nr_404c0b8b07ec4710b77af70d2b8566cc"/>
                                  <w:lock w:val="sdtLocked"/>
                                  <w:richText/>
                                </w:sdtPr>
                                <w:sdtContent>
                                  <w:r>
                                    <w:rPr>
                                      <w:color w:val="000000"/>
                                      <w:sz w:val="22"/>
                                      <w:szCs w:val="22"/>
                                      <w:lang w:eastAsia="lt-LT"/>
                                    </w:rPr>
                                    <w:t>1</w:t>
                                  </w:r>
                                </w:sdtContent>
                              </w:sdt>
                              <w:r>
                                <w:rPr>
                                  <w:color w:val="000000"/>
                                  <w:sz w:val="22"/>
                                  <w:szCs w:val="22"/>
                                  <w:lang w:eastAsia="lt-LT"/>
                                </w:rPr>
                                <w:t xml:space="preserve">) pirminės ambulatorinės sveikatos priežiūros paslaugą sveikatos apsaugos ministro nustatytų ūmių būklių atveju </w:t>
                              </w:r>
                              <w:r>
                                <w:rPr>
                                  <w:bCs/>
                                  <w:color w:val="000000"/>
                                  <w:sz w:val="22"/>
                                  <w:szCs w:val="22"/>
                                  <w:lang w:eastAsia="lt-LT"/>
                                </w:rPr>
                                <w:t>(toliau – skubi ambulatorinė paslauga)</w:t>
                              </w:r>
                              <w:r>
                                <w:rPr>
                                  <w:color w:val="000000"/>
                                  <w:sz w:val="22"/>
                                  <w:szCs w:val="22"/>
                                  <w:lang w:eastAsia="lt-LT"/>
                                </w:rPr>
                                <w:t xml:space="preserve"> – ne vėliau kaip per 24 valandas;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cfb9126e8ca4f10a102c1f603434df0"/>
                        <w:lock w:val="sdtLocked"/>
                        <w:richText/>
                      </w:sdtPr>
                      <w:sdtContent>
                        <w:p>
                          <w:pPr>
                            <w:ind w:firstLine="720"/>
                            <w:jc w:val="both"/>
                            <w:rPr>
                              <w:sz w:val="22"/>
                              <w:szCs w:val="22"/>
                              <w:lang w:eastAsia="lt-LT"/>
                            </w:rPr>
                          </w:pPr>
                          <w:sdt>
                            <w:sdtPr>
                              <w:alias w:val="Numeris"/>
                              <w:tag w:val="nr_4cfb9126e8ca4f10a102c1f603434df0"/>
                              <w:lock w:val="sdtLocked"/>
                              <w:richText/>
                            </w:sdtPr>
                            <w:sdtContent>
                              <w:r>
                                <w:rPr>
                                  <w:bCs/>
                                  <w:sz w:val="22"/>
                                  <w:szCs w:val="22"/>
                                </w:rPr>
                                <w:t>3</w:t>
                              </w:r>
                            </w:sdtContent>
                          </w:sdt>
                          <w:r>
                            <w:rPr>
                              <w:bCs/>
                              <w:sz w:val="22"/>
                              <w:szCs w:val="22"/>
                            </w:rPr>
                            <w:t>. 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Valstybine ligonių kasa, išskyrus šio straipsnio 6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IX-593</w:t>
                            </w:r>
                          </w:hyperlink>
                          <w:r>
                            <w:rPr>
                              <w:i/>
                              <w:sz w:val="20"/>
                            </w:rPr>
                            <w:t>, 2001-11-13, Žin., 2001, Nr. 97-3419 (2001-11-21)</w:t>
                          </w:r>
                        </w:p>
                        <w:p>
                          <w:r>
                            <w:rPr>
                              <w:rFonts w:eastAsia="MS Mincho"/>
                              <w:i/>
                              <w:iCs/>
                              <w:sz w:val="20"/>
                            </w:rPr>
                            <w:t xml:space="preserve">Nr. </w:t>
                          </w:r>
                          <w:hyperlink r:id="rId69"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fbec07dac4974303af20ef9c2ec46717"/>
                    <w:lock w:val="sdtLocked"/>
                    <w:richText/>
                  </w:sdtPr>
                  <w:sdtContent>
                    <w:p>
                      <w:pPr>
                        <w:ind w:firstLine="720"/>
                        <w:jc w:val="both"/>
                        <w:rPr>
                          <w:sz w:val="22"/>
                        </w:rPr>
                      </w:pPr>
                      <w:sdt>
                        <w:sdtPr>
                          <w:alias w:val="Numeris"/>
                          <w:tag w:val="nr_fbec07dac4974303af20ef9c2ec46717"/>
                          <w:lock w:val="sdtLocked"/>
                          <w:richText/>
                        </w:sdtPr>
                        <w:sdtContent>
                          <w:r>
                            <w:rPr>
                              <w:b/>
                              <w:sz w:val="22"/>
                            </w:rPr>
                            <w:t>29</w:t>
                          </w:r>
                        </w:sdtContent>
                      </w:sdt>
                      <w:r>
                        <w:rPr>
                          <w:b/>
                          <w:sz w:val="22"/>
                        </w:rPr>
                        <w:t xml:space="preserve"> straipsnis. </w:t>
                      </w:r>
                      <w:sdt>
                        <w:sdtPr>
                          <w:alias w:val="Pavadinimas"/>
                          <w:tag w:val="title_fbec07dac4974303af20ef9c2ec46717"/>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bdd276da7a7d466d915820eb461ce816"/>
                        <w:lock w:val="sdtLocked"/>
                        <w:richText/>
                      </w:sdtPr>
                      <w:sdtContent>
                        <w:p>
                          <w:pPr>
                            <w:ind w:firstLine="720"/>
                            <w:jc w:val="both"/>
                            <w:rPr>
                              <w:i/>
                              <w:sz w:val="20"/>
                              <w:lang w:eastAsia="lt-LT"/>
                            </w:rPr>
                          </w:pPr>
                          <w:sdt>
                            <w:sdtPr>
                              <w:alias w:val="Numeris"/>
                              <w:tag w:val="nr_bdd276da7a7d466d915820eb461ce816"/>
                              <w:lock w:val="sdtLocked"/>
                              <w:richText/>
                            </w:sdtPr>
                            <w:sdtContent>
                              <w:r>
                                <w:rPr>
                                  <w:color w:val="000000"/>
                                  <w:sz w:val="22"/>
                                  <w:szCs w:val="22"/>
                                  <w:lang w:eastAsia="en-GB"/>
                                </w:rPr>
                                <w:t>2</w:t>
                              </w:r>
                            </w:sdtContent>
                          </w:sdt>
                          <w:r>
                            <w:rPr>
                              <w:color w:val="000000"/>
                              <w:sz w:val="22"/>
                              <w:szCs w:val="22"/>
                              <w:lang w:eastAsia="en-GB"/>
                            </w:rPr>
                            <w:t>. Valstybė sau nuosavybės teise priklausantį ilgalaikį materialųjį turtą (toliau – valstybės turtas) Vyriausybės nustatyta tvarka LNSS asmens ir (ar) visuomenės sveikatos priežiūros viešosioms įstaigoms, kurių savininkas (dalininkas) yra valstybė, (toliau – valstybės viešoji įstaiga) gali perduoti tik patikėjimo teise pagal patikėjimo sutartį. Sprendimą dėl valstybės turto perdavimo patikėjimo teise priima Vyriausybė</w:t>
                          </w:r>
                          <w:r>
                            <w:rPr>
                              <w:bCs/>
                              <w:color w:val="000000"/>
                              <w:sz w:val="22"/>
                              <w:szCs w:val="22"/>
                              <w:lang w:eastAsia="en-GB"/>
                            </w:rPr>
                            <w:t xml:space="preserve"> </w:t>
                          </w:r>
                          <w:r>
                            <w:rPr>
                              <w:color w:val="000000"/>
                              <w:sz w:val="22"/>
                              <w:szCs w:val="22"/>
                              <w:lang w:eastAsia="en-GB"/>
                            </w:rPr>
                            <w:t>arba Vyriausybės įgalioti valstybės turto valdytojai Vyriausybės nustatyta tvarka.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išskyrus Lietuvos Respublikos elektroninių ryšių įstatymo 46</w:t>
                          </w:r>
                          <w:r>
                            <w:rPr>
                              <w:color w:val="000000"/>
                              <w:sz w:val="22"/>
                              <w:szCs w:val="22"/>
                              <w:vertAlign w:val="superscript"/>
                              <w:lang w:eastAsia="en-GB"/>
                            </w:rPr>
                            <w:t>1</w:t>
                          </w:r>
                          <w:r>
                            <w:rPr>
                              <w:color w:val="000000"/>
                              <w:sz w:val="22"/>
                              <w:szCs w:val="22"/>
                              <w:lang w:eastAsia="en-GB"/>
                            </w:rPr>
                            <w:t xml:space="preserve"> straipsnyje nustatytą išimtį, juo garantuoti, laiduoti ar kitu būdu juo užtikrinti savo ir kitų asmenų prievolių įvykdymą. Valstybės turto patikėjimo sutartyje gali būti nustatyta ir kitų apribojimų.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c68292ca0411f08918e1adc7c5b1ec">
                            <w:r w:rsidRPr="00532B9F">
                              <w:rPr>
                                <w:rFonts w:ascii="Times New Roman" w:eastAsia="MS Mincho" w:hAnsi="Times New Roman"/>
                                <w:sz w:val="20"/>
                                <w:i/>
                                <w:iCs/>
                                <w:color w:val="0000FF" w:themeColor="hyperlink"/>
                                <w:u w:val="single"/>
                              </w:rPr>
                              <w:t>XV-536</w:t>
                            </w:r>
                          </w:fldSimple>
                          <w:r>
                            <w:rPr>
                              <w:rFonts w:ascii="Times New Roman" w:eastAsia="MS Mincho" w:hAnsi="Times New Roman"/>
                              <w:sz w:val="20"/>
                              <w:i/>
                              <w:iCs/>
                            </w:rPr>
                            <w:t>,
2025-11-13,
paskelbta TAR 2025-11-25, i. k. 2025-19768            </w:t>
                          </w:r>
                        </w:p>
                        <w:p/>
                      </w:sdtContent>
                    </w:sdt>
                    <w:sdt>
                      <w:sdtPr>
                        <w:alias w:val="36 str. 3 d."/>
                        <w:tag w:val="part_ee5c3ac004e7485ca6251062d83e5d9e"/>
                        <w:lock w:val="sdtLocked"/>
                        <w:richText/>
                      </w:sdtPr>
                      <w:sdtContent>
                        <w:p>
                          <w:pPr>
                            <w:tabs>
                              <w:tab w:val="left" w:pos="993"/>
                            </w:tabs>
                            <w:ind w:firstLine="720"/>
                            <w:jc w:val="both"/>
                            <w:rPr>
                              <w:sz w:val="22"/>
                              <w:szCs w:val="22"/>
                            </w:rPr>
                          </w:pPr>
                          <w:sdt>
                            <w:sdtPr>
                              <w:alias w:val="Numeris"/>
                              <w:tag w:val="nr_ee5c3ac004e7485ca6251062d83e5d9e"/>
                              <w:lock w:val="sdtLocked"/>
                              <w:richText/>
                            </w:sdtPr>
                            <w:sdtContent>
                              <w:r>
                                <w:rPr>
                                  <w:sz w:val="22"/>
                                  <w:szCs w:val="22"/>
                                </w:rPr>
                                <w:t>3</w:t>
                              </w:r>
                            </w:sdtContent>
                          </w:sdt>
                          <w:r>
                            <w:rPr>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savininkas (dalininkas) yra savivaldybė (toliau – savivaldybės viešoji įstaiga), perduoda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w:t>
                          </w:r>
                          <w:r>
                            <w:rPr>
                              <w:rFonts w:eastAsia="Arial"/>
                              <w:sz w:val="22"/>
                              <w:szCs w:val="22"/>
                              <w:lang w:eastAsia="lt-LT"/>
                            </w:rPr>
                            <w:t>išskyrus Elektroninių ryšių įstatymo 4</w:t>
                          </w:r>
                          <w:r>
                            <w:rPr>
                              <w:sz w:val="22"/>
                              <w:szCs w:val="22"/>
                              <w:lang w:eastAsia="en-GB"/>
                            </w:rPr>
                            <w:t>6</w:t>
                          </w:r>
                          <w:r>
                            <w:rPr>
                              <w:sz w:val="22"/>
                              <w:szCs w:val="22"/>
                              <w:vertAlign w:val="superscript"/>
                              <w:lang w:eastAsia="en-GB"/>
                            </w:rPr>
                            <w:t>1</w:t>
                          </w:r>
                          <w:r>
                            <w:rPr>
                              <w:sz w:val="22"/>
                              <w:szCs w:val="22"/>
                              <w:lang w:eastAsia="en-GB"/>
                            </w:rPr>
                            <w:t xml:space="preserve"> </w:t>
                          </w:r>
                          <w:r>
                            <w:rPr>
                              <w:rFonts w:eastAsia="Arial"/>
                              <w:sz w:val="22"/>
                              <w:szCs w:val="22"/>
                              <w:lang w:eastAsia="lt-LT"/>
                            </w:rPr>
                            <w:t xml:space="preserve">straipsnyje nustatytą išimtį, </w:t>
                          </w:r>
                          <w:r>
                            <w:rPr>
                              <w:sz w:val="22"/>
                              <w:szCs w:val="22"/>
                            </w:rPr>
                            <w:t>juo garantuoti, laiduoti ar kitu būdu juo užtikrinti savo ir kitų asmenų prievolių įvykdymą. Savivaldybės turto patikėjimo sutartyje gali būti nustatyta ir kitų apribojimų.</w:t>
                          </w:r>
                        </w:p>
                        <w:p>
                          <w:pPr>
                            <w:tabs>
                              <w:tab w:val="left" w:pos="993"/>
                            </w:tabs>
                            <w:jc w:val="both"/>
                            <w:rPr>
                              <w:i/>
                              <w:sz w:val="20"/>
                              <w:lang w:eastAsia="lt-LT"/>
                            </w:rPr>
                          </w:pPr>
                          <w:r>
                            <w:rPr>
                              <w:b/>
                              <w:i/>
                              <w:sz w:val="20"/>
                              <w:lang w:eastAsia="lt-LT"/>
                            </w:rPr>
                            <w:t>TAR pastaba:</w:t>
                          </w:r>
                          <w:r>
                            <w:rPr>
                              <w:i/>
                              <w:sz w:val="20"/>
                              <w:lang w:eastAsia="lt-LT"/>
                            </w:rPr>
                            <w:t xml:space="preserve"> </w:t>
                          </w:r>
                          <w:r>
                            <w:rPr>
                              <w:i/>
                              <w:sz w:val="20"/>
                            </w:rPr>
                            <w:t xml:space="preserve">36 straipsnio 3 dalies nuostatos taikomos ir savivaldybės nekilnojamajam turtui, kuris </w:t>
                          </w:r>
                          <w:r>
                            <w:rPr>
                              <w:i/>
                              <w:sz w:val="20"/>
                              <w:lang w:eastAsia="lt-LT"/>
                            </w:rPr>
                            <w:t>LNSS asmens ir (ar) visuomenės sveikatos priežiūros viešosioms įstaigoms, kurių savininkas (dalininkas) yra savivaldybė,</w:t>
                          </w:r>
                          <w:r>
                            <w:rPr>
                              <w:i/>
                              <w:sz w:val="20"/>
                            </w:rPr>
                            <w:t xml:space="preserve"> 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2"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3"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7"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8"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931df2a71e7c4e5b9ae5051642e86182"/>
                            <w:lock w:val="sdtLocked"/>
                            <w:richText/>
                          </w:sdtPr>
                          <w:sdtContent>
                            <w:p>
                              <w:pPr>
                                <w:ind w:firstLine="720"/>
                                <w:jc w:val="both"/>
                                <w:rPr>
                                  <w:sz w:val="22"/>
                                  <w:szCs w:val="22"/>
                                  <w:lang w:eastAsia="lt-LT"/>
                                </w:rPr>
                              </w:pPr>
                              <w:sdt>
                                <w:sdtPr>
                                  <w:alias w:val="Numeris"/>
                                  <w:tag w:val="nr_931df2a71e7c4e5b9ae5051642e86182"/>
                                  <w:lock w:val="sdtLocked"/>
                                  <w:richText/>
                                </w:sdtPr>
                                <w:sdtContent>
                                  <w:r>
                                    <w:rPr>
                                      <w:color w:val="000000"/>
                                      <w:szCs w:val="24"/>
                                      <w:lang w:eastAsia="en-GB"/>
                                    </w:rPr>
                                    <w:t>11</w:t>
                                  </w:r>
                                </w:sdtContent>
                              </w:sdt>
                              <w:r>
                                <w:rPr>
                                  <w:color w:val="000000"/>
                                  <w:szCs w:val="24"/>
                                  <w:lang w:eastAsia="en-GB"/>
                                </w:rPr>
                                <w:t xml:space="preserve">) jeigu ji priklauso LNSS ir teikia pirminės ambulatorinės asmens sveikatos priežiūros paslaugas, </w:t>
                              </w:r>
                              <w:r>
                                <w:rPr>
                                  <w:bCs/>
                                  <w:color w:val="000000"/>
                                  <w:szCs w:val="24"/>
                                  <w:lang w:eastAsia="en-GB"/>
                                </w:rPr>
                                <w:t>sveikatos apsaugos ministro nustatyta tvarka</w:t>
                              </w:r>
                              <w:r>
                                <w:rPr>
                                  <w:color w:val="000000"/>
                                  <w:szCs w:val="24"/>
                                  <w:lang w:eastAsia="en-GB"/>
                                </w:rPr>
                                <w:t xml:space="preserve"> užtikrinti pirminės ambulatorinės asmens sveikatos priežiūros paslaugų (išskyrus pirminės ambulatorinės psichikos sveikatos ir odontologijos priežiūros paslaugas) teikimą </w:t>
                              </w:r>
                              <w:r>
                                <w:rPr>
                                  <w:bCs/>
                                  <w:color w:val="000000"/>
                                  <w:szCs w:val="24"/>
                                  <w:lang w:eastAsia="en-GB"/>
                                </w:rPr>
                                <w:t>ne mažiau kaip po 12 valandų per dieną 5 darbo dienas per savaitę</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0318cd5478f84798b7550f0044757de8"/>
                            <w:lock w:val="sdtLocked"/>
                            <w:richText/>
                          </w:sdtPr>
                          <w:sdtContent>
                            <w:p>
                              <w:pPr>
                                <w:ind w:firstLine="720"/>
                                <w:jc w:val="both"/>
                              </w:pPr>
                              <w:sdt>
                                <w:sdtPr>
                                  <w:alias w:val="Numeris"/>
                                  <w:tag w:val="nr_0318cd5478f84798b7550f0044757de8"/>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
                          <w:sdtPr>
                            <w:alias w:val="17 p."/>
                            <w:tag w:val="part_401f059103f14308916834743d7b5daa"/>
                            <w:lock w:val="sdtLocked"/>
                            <w:richText/>
                          </w:sdtPr>
                          <w:sdtContent>
                            <w:p>
                              <w:pPr>
                                <w:ind w:firstLine="720"/>
                                <w:jc w:val="both"/>
                                <w:rPr>
                                  <w:sz w:val="22"/>
                                  <w:szCs w:val="22"/>
                                </w:rPr>
                              </w:pPr>
                              <w:sdt>
                                <w:sdtPr>
                                  <w:alias w:val="Numeris"/>
                                  <w:tag w:val="nr_401f059103f14308916834743d7b5daa"/>
                                  <w:lock w:val="sdtLocked"/>
                                  <w:richText/>
                                </w:sdtPr>
                                <w:sdtContent>
                                  <w:r>
                                    <w:rPr>
                                      <w:sz w:val="22"/>
                                      <w:szCs w:val="22"/>
                                    </w:rPr>
                                    <w:t>17</w:t>
                                  </w:r>
                                </w:sdtContent>
                              </w:sdt>
                              <w:r>
                                <w:rPr>
                                  <w:sz w:val="22"/>
                                  <w:szCs w:val="22"/>
                                </w:rPr>
                                <w:t>) teikti į valstybės informacinę sistemą, skirtą sveikatos priežiūros, kitos sveikatinimo veiklos bei farmacijos specialistų profesinės kompetencijos įgijimo ir tobulinimo bei profesinės veiklos duomenims kaupti, šios sistemos veiklą reguliuojančiuose teisės aktuose nustatytus duomenis, susijusius su asmens sveikatos priežiūros įstaigos darbuotojų ir kitais pagrindais įstaigoje veiklą vykdančių asmenų, nurodytų šios sistemos veiklą reguliuojančiuose teisės aktuose, profesine kvalifikacija ir darbo santykiais arba veiklos vykdymu, šiuose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18 p."/>
                            <w:tag w:val="part_863da94d74774703ad527fcef1e6c955"/>
                            <w:lock w:val="sdtLocked"/>
                            <w:richText/>
                          </w:sdtPr>
                          <w:sdtContent>
                            <w:p>
                              <w:pPr>
                                <w:ind w:firstLine="720"/>
                                <w:jc w:val="both"/>
                                <w:rPr>
                                  <w:sz w:val="22"/>
                                  <w:szCs w:val="22"/>
                                </w:rPr>
                              </w:pPr>
                              <w:sdt>
                                <w:sdtPr>
                                  <w:alias w:val="Numeris"/>
                                  <w:tag w:val="nr_863da94d74774703ad527fcef1e6c955"/>
                                  <w:lock w:val="sdtLocked"/>
                                  <w:richText/>
                                </w:sdtPr>
                                <w:sdtContent>
                                  <w:r>
                                    <w:rPr>
                                      <w:bCs/>
                                      <w:color w:val="000000"/>
                                      <w:sz w:val="22"/>
                                      <w:szCs w:val="22"/>
                                      <w:lang w:eastAsia="lt-LT"/>
                                    </w:rPr>
                                    <w:t>18</w:t>
                                  </w:r>
                                </w:sdtContent>
                              </w:sdt>
                              <w:r>
                                <w:rPr>
                                  <w:bCs/>
                                  <w:color w:val="000000"/>
                                  <w:sz w:val="22"/>
                                  <w:szCs w:val="22"/>
                                  <w:lang w:eastAsia="lt-LT"/>
                                </w:rPr>
                                <w:t>) prisijungti prie IPR IS ir sveikatos apsaugos ministro nustatyta tvarka IPR IS registruoti apdraustuosius Privalomojo sveikatos draudimo fondo biudžeto lėšomis apmokamoms asmens sveikatos priežiūros paslaugoms gauti, jeigu asmens sveikatos priežiūros įstaiga su Valstybine ligonių kasa yra sudariusi Lietuvos Respublikos sveikatos draudimo įstatymo 26 straipsnyje nurodytą sutartį.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sdt>
                      <w:sdtPr>
                        <w:alias w:val="4 d."/>
                        <w:tag w:val="part_55a89cd947a84a59b5bbc287f562b940"/>
                        <w:lock w:val="sdtLocked"/>
                        <w:richText/>
                      </w:sdtPr>
                      <w:sdtContent>
                        <w:p>
                          <w:pPr>
                            <w:ind w:firstLine="720"/>
                            <w:jc w:val="both"/>
                            <w:rPr>
                              <w:b/>
                              <w:sz w:val="22"/>
                              <w:szCs w:val="22"/>
                            </w:rPr>
                          </w:pPr>
                          <w:sdt>
                            <w:sdtPr>
                              <w:alias w:val="Numeris"/>
                              <w:tag w:val="nr_55a89cd947a84a59b5bbc287f562b940"/>
                              <w:lock w:val="sdtLocked"/>
                              <w:richText/>
                            </w:sdtPr>
                            <w:sdtContent>
                              <w:r>
                                <w:rPr>
                                  <w:color w:val="000000"/>
                                  <w:sz w:val="22"/>
                                  <w:szCs w:val="22"/>
                                </w:rPr>
                                <w:t>4.</w:t>
                              </w:r>
                            </w:sdtContent>
                          </w:sdt>
                          <w:r>
                            <w:rPr>
                              <w:color w:val="000000"/>
                              <w:sz w:val="22"/>
                              <w:szCs w:val="22"/>
                            </w:rPr>
                            <w:t xml:space="preserve"> Kitu, negu šio straipsnio 1 dalies 11 punkte nurodytu, darbo dienos laiku ir likusiu savaitės laiku šio straipsnio 1 dalies 11 punkte nurodytos LNSS įstaigos pacientams skubi ambulatorinė paslauga </w:t>
                          </w:r>
                          <w:r>
                            <w:rPr>
                              <w:bCs/>
                              <w:color w:val="000000"/>
                              <w:sz w:val="22"/>
                              <w:szCs w:val="22"/>
                            </w:rPr>
                            <w:t>teikiama ir apmokama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3c2608ab6be24940857eee5e52744772"/>
                            <w:lock w:val="sdtLocked"/>
                            <w:richText/>
                          </w:sdtPr>
                          <w:sdtContent>
                            <w:p>
                              <w:pPr>
                                <w:ind w:firstLine="720"/>
                                <w:jc w:val="both"/>
                              </w:pPr>
                              <w:sdt>
                                <w:sdtPr>
                                  <w:alias w:val="Numeris"/>
                                  <w:tag w:val="nr_3c2608ab6be24940857eee5e52744772"/>
                                  <w:lock w:val="sdtLocked"/>
                                  <w:richText/>
                                </w:sdtPr>
                                <w:sdtContent>
                                  <w:r>
                                    <w:rPr>
                                      <w:sz w:val="22"/>
                                    </w:rPr>
                                    <w:t>10</w:t>
                                  </w:r>
                                </w:sdtContent>
                              </w:sdt>
                              <w:r>
                                <w:rPr>
                                  <w:sz w:val="22"/>
                                </w:rPr>
                                <w:t>) paciento turimų dirbinių iš brangiųjų metalų, brangių protezų ir pinigų registravimo bei saugojimo tvarka;</w:t>
                              </w:r>
                            </w:p>
                          </w:sdtContent>
                        </w:sdt>
                        <w:sdt>
                          <w:sdtPr>
                            <w:alias w:val="11 p."/>
                            <w:tag w:val="part_076afb48e27640998e41e3bc599baf2b"/>
                            <w:lock w:val="sdtLocked"/>
                            <w:richText/>
                          </w:sdtPr>
                          <w:sdtContent>
                            <w:p>
                              <w:pPr>
                                <w:ind w:firstLine="720"/>
                                <w:jc w:val="both"/>
                                <w:rPr>
                                  <w:sz w:val="22"/>
                                </w:rPr>
                              </w:pPr>
                              <w:sdt>
                                <w:sdtPr>
                                  <w:alias w:val="Numeris"/>
                                  <w:tag w:val="nr_076afb48e27640998e41e3bc599baf2b"/>
                                  <w:lock w:val="sdtLocked"/>
                                  <w:richText/>
                                </w:sdtPr>
                                <w:sdtContent>
                                  <w:r>
                                    <w:rPr>
                                      <w:sz w:val="22"/>
                                      <w:szCs w:val="22"/>
                                    </w:rPr>
                                    <w:t>11</w:t>
                                  </w:r>
                                </w:sdtContent>
                              </w:sdt>
                              <w:r>
                                <w:rPr>
                                  <w:sz w:val="22"/>
                                  <w:szCs w:val="22"/>
                                </w:rPr>
                                <w:t>) asmens sveikatos priežiūros įstaigoje teikiamos mokamos asmens sveikatos priežiūros paslaugos, jų kainos, informacija apie tai, kur galima susipažinti su šių kainų apskaičiavimo tvarka, taip pat mokamų asmens sveikatos priežiūros paslaugų teikimo tvarka.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82f036f4a6794b6ab2994e259542d464"/>
                <w:lock w:val="sdtLocked"/>
                <w:richText/>
              </w:sdtPr>
              <w:sdtContent>
                <w:p>
                  <w:pPr>
                    <w:ind w:firstLine="720"/>
                    <w:jc w:val="both"/>
                    <w:rPr>
                      <w:sz w:val="22"/>
                      <w:szCs w:val="22"/>
                    </w:rPr>
                  </w:pPr>
                  <w:sdt>
                    <w:sdtPr>
                      <w:alias w:val="Numeris"/>
                      <w:tag w:val="nr_82f036f4a6794b6ab2994e259542d464"/>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82f036f4a6794b6ab2994e259542d464"/>
                      <w:lock w:val="sdtLocked"/>
                      <w:richText/>
                    </w:sdtPr>
                    <w:sdtContent>
                      <w:r>
                        <w:rPr>
                          <w:b/>
                          <w:color w:val="000000"/>
                          <w:sz w:val="22"/>
                          <w:szCs w:val="22"/>
                        </w:rPr>
                        <w:t xml:space="preserve">Įstaigų teikiamų paslaugų valstybinė </w:t>
                      </w:r>
                      <w:r>
                        <w:rPr>
                          <w:b/>
                          <w:bCs/>
                          <w:color w:val="000000"/>
                          <w:sz w:val="22"/>
                          <w:szCs w:val="22"/>
                        </w:rPr>
                        <w:t>priežiūra</w:t>
                      </w:r>
                    </w:sdtContent>
                  </w:sdt>
                </w:p>
                <w:sdt>
                  <w:sdtPr>
                    <w:alias w:val="52 str. 1 d."/>
                    <w:tag w:val="part_361b0f0b392347fc8fc3e5ebd9fdc5b7"/>
                    <w:lock w:val="sdtLocked"/>
                    <w:richText/>
                  </w:sdtPr>
                  <w:sdtContent>
                    <w:p>
                      <w:pPr>
                        <w:ind w:firstLine="720"/>
                        <w:jc w:val="both"/>
                        <w:rPr>
                          <w:color w:val="000000"/>
                          <w:sz w:val="22"/>
                          <w:szCs w:val="22"/>
                        </w:rPr>
                      </w:pPr>
                      <w:r>
                        <w:rPr>
                          <w:color w:val="000000"/>
                          <w:sz w:val="22"/>
                          <w:szCs w:val="22"/>
                        </w:rPr>
                        <w:t xml:space="preserve">Įstaigų, neatsižvelgiant į jų nuosavybės formą, teikiamų paslaugų valstybinę </w:t>
                      </w:r>
                      <w:r>
                        <w:rPr>
                          <w:bCs/>
                          <w:color w:val="000000"/>
                          <w:sz w:val="22"/>
                          <w:szCs w:val="22"/>
                        </w:rPr>
                        <w:t>priežiūrą</w:t>
                      </w:r>
                      <w:r>
                        <w:rPr>
                          <w:color w:val="000000"/>
                          <w:sz w:val="22"/>
                          <w:szCs w:val="22"/>
                        </w:rPr>
                        <w:t xml:space="preserve"> atlieka:</w:t>
                      </w:r>
                    </w:p>
                    <w:sdt>
                      <w:sdtPr>
                        <w:alias w:val="52 str. 1 d. 1 p."/>
                        <w:tag w:val="part_f0b24760d2154bcfb93a3f7f3aed2264"/>
                        <w:lock w:val="sdtLocked"/>
                        <w:richText/>
                      </w:sdtPr>
                      <w:sdtContent>
                        <w:p>
                          <w:pPr>
                            <w:ind w:firstLine="720"/>
                            <w:jc w:val="both"/>
                            <w:rPr>
                              <w:color w:val="000000"/>
                              <w:sz w:val="22"/>
                              <w:szCs w:val="22"/>
                            </w:rPr>
                          </w:pPr>
                          <w:sdt>
                            <w:sdtPr>
                              <w:alias w:val="Numeris"/>
                              <w:tag w:val="nr_f0b24760d2154bcfb93a3f7f3aed2264"/>
                              <w:lock w:val="sdtLocked"/>
                              <w:richText/>
                            </w:sdtPr>
                            <w:sdtContent>
                              <w:r>
                                <w:rPr>
                                  <w:color w:val="000000"/>
                                  <w:sz w:val="22"/>
                                  <w:szCs w:val="22"/>
                                </w:rPr>
                                <w:t>1</w:t>
                              </w:r>
                            </w:sdtContent>
                          </w:sdt>
                          <w:r>
                            <w:rPr>
                              <w:color w:val="000000"/>
                              <w:sz w:val="22"/>
                              <w:szCs w:val="22"/>
                            </w:rPr>
                            <w:t>) sveikatos apsaugos ministro paskirti pareigūnai;</w:t>
                          </w:r>
                        </w:p>
                      </w:sdtContent>
                    </w:sdt>
                    <w:sdt>
                      <w:sdtPr>
                        <w:alias w:val="52 str. 1 d. 2 p."/>
                        <w:tag w:val="part_6f7551284bde4cc5b64aa5974182c6d3"/>
                        <w:lock w:val="sdtLocked"/>
                        <w:richText/>
                      </w:sdtPr>
                      <w:sdtContent>
                        <w:p>
                          <w:pPr>
                            <w:ind w:firstLine="720"/>
                            <w:jc w:val="both"/>
                            <w:rPr>
                              <w:color w:val="000000"/>
                              <w:sz w:val="22"/>
                              <w:szCs w:val="22"/>
                            </w:rPr>
                          </w:pPr>
                          <w:sdt>
                            <w:sdtPr>
                              <w:alias w:val="Numeris"/>
                              <w:tag w:val="nr_6f7551284bde4cc5b64aa5974182c6d3"/>
                              <w:lock w:val="sdtLocked"/>
                              <w:richText/>
                            </w:sdtPr>
                            <w:sdtContent>
                              <w:r>
                                <w:rPr>
                                  <w:color w:val="000000"/>
                                  <w:sz w:val="22"/>
                                  <w:szCs w:val="22"/>
                                </w:rPr>
                                <w:t>2</w:t>
                              </w:r>
                            </w:sdtContent>
                          </w:sdt>
                          <w:r>
                            <w:rPr>
                              <w:color w:val="000000"/>
                              <w:sz w:val="22"/>
                              <w:szCs w:val="22"/>
                            </w:rPr>
                            <w:t>) Valstybinė akreditavimo sveikatos priežiūros veiklai tarnyba – asmens sveikatos priežiūros paslaugų prieinamumo, kokybės ir medicinos priemonių valstybinę priežiūrą;</w:t>
                          </w:r>
                        </w:p>
                      </w:sdtContent>
                    </w:sdt>
                    <w:sdt>
                      <w:sdtPr>
                        <w:alias w:val="52 str. 1 d. 3 p."/>
                        <w:tag w:val="part_c6ffd3ebff1e4abc8b5c937bc0058923"/>
                        <w:lock w:val="sdtLocked"/>
                        <w:richText/>
                      </w:sdtPr>
                      <w:sdtContent>
                        <w:p>
                          <w:pPr>
                            <w:ind w:firstLine="720"/>
                            <w:jc w:val="both"/>
                            <w:rPr>
                              <w:color w:val="000000"/>
                              <w:sz w:val="22"/>
                              <w:szCs w:val="22"/>
                            </w:rPr>
                          </w:pPr>
                          <w:sdt>
                            <w:sdtPr>
                              <w:alias w:val="Numeris"/>
                              <w:tag w:val="nr_c6ffd3ebff1e4abc8b5c937bc0058923"/>
                              <w:lock w:val="sdtLocked"/>
                              <w:richText/>
                            </w:sdtPr>
                            <w:sdtContent>
                              <w:r>
                                <w:rPr>
                                  <w:sz w:val="22"/>
                                  <w:szCs w:val="22"/>
                                </w:rPr>
                                <w:t>3</w:t>
                              </w:r>
                            </w:sdtContent>
                          </w:sdt>
                          <w:r>
                            <w:rPr>
                              <w:sz w:val="22"/>
                              <w:szCs w:val="22"/>
                            </w:rPr>
                            <w:t xml:space="preserve">) </w:t>
                          </w:r>
                          <w:r>
                            <w:rPr>
                              <w:bCs/>
                              <w:color w:val="000000"/>
                              <w:sz w:val="22"/>
                              <w:szCs w:val="22"/>
                            </w:rPr>
                            <w:t>Valstybinė ligonių kasa – asmens sveikatos priežiūros įstaigų, su kuriomis sudarė asmens sveikatos priežiūros paslaugų teikimo ir šių paslaugų išlaidų apmokėjimo Privalomojo sveikatos draudimo fondo biudžeto lėšomis sutartis, pagal šias sutartis teikiamų asmens sveikatos priežiūros paslaugų atitikties teisės aktų, reglamentuojančių Privalomojo sveikatos draudimo fondo biudžeto lėšomis apmokamų asmens sveikatos priežiūros paslaugų teikimą,</w:t>
                          </w:r>
                          <w:r>
                            <w:rPr>
                              <w:color w:val="000000"/>
                              <w:sz w:val="22"/>
                              <w:szCs w:val="22"/>
                            </w:rPr>
                            <w:t xml:space="preserve"> </w:t>
                          </w:r>
                          <w:r>
                            <w:rPr>
                              <w:bCs/>
                              <w:color w:val="000000"/>
                              <w:sz w:val="22"/>
                              <w:szCs w:val="22"/>
                            </w:rPr>
                            <w:t>reikalavimams ir jų apmokėjimo teisėtumo bei su tuo susijusios šiame punkte nurodytų asmens sveikatos priežiūros įstaigų veiklos valstybinę priežiūrą</w:t>
                          </w:r>
                          <w:r>
                            <w:rPr>
                              <w:sz w:val="22"/>
                              <w:szCs w:val="22"/>
                            </w:rPr>
                            <w:t>;</w:t>
                          </w:r>
                        </w:p>
                      </w:sdtContent>
                    </w:sdt>
                    <w:sdt>
                      <w:sdtPr>
                        <w:alias w:val="52 str. 1 d. 4 p."/>
                        <w:tag w:val="part_3e92e2c554dc401c85933306aa436ba3"/>
                        <w:lock w:val="sdtLocked"/>
                        <w:richText/>
                      </w:sdtPr>
                      <w:sdtContent>
                        <w:p>
                          <w:pPr>
                            <w:ind w:firstLine="720"/>
                            <w:jc w:val="both"/>
                            <w:rPr>
                              <w:color w:val="000000"/>
                              <w:sz w:val="22"/>
                              <w:szCs w:val="22"/>
                            </w:rPr>
                          </w:pPr>
                          <w:sdt>
                            <w:sdtPr>
                              <w:alias w:val="Numeris"/>
                              <w:tag w:val="nr_3e92e2c554dc401c85933306aa436ba3"/>
                              <w:lock w:val="sdtLocked"/>
                              <w:richText/>
                            </w:sdtPr>
                            <w:sdtContent>
                              <w:r>
                                <w:rPr>
                                  <w:color w:val="000000"/>
                                  <w:sz w:val="22"/>
                                  <w:szCs w:val="22"/>
                                </w:rPr>
                                <w:t>4</w:t>
                              </w:r>
                            </w:sdtContent>
                          </w:sdt>
                          <w:r>
                            <w:rPr>
                              <w:color w:val="000000"/>
                              <w:sz w:val="22"/>
                              <w:szCs w:val="22"/>
                            </w:rPr>
                            <w:t>) Lietuvos bioetikos komitetas – asmens sveikatos priežiūros įstaigos teikiamų paslaugų atitikties bioetikos reikalavimams valstybinę priežiūrą;</w:t>
                          </w:r>
                        </w:p>
                      </w:sdtContent>
                    </w:sdt>
                    <w:sdt>
                      <w:sdtPr>
                        <w:alias w:val="52 str. 1 d. 5 p."/>
                        <w:tag w:val="part_faa8b3eb2e0e4f19a7a5035370804ac8"/>
                        <w:lock w:val="sdtLocked"/>
                        <w:richText/>
                      </w:sdtPr>
                      <w:sdtContent>
                        <w:p>
                          <w:pPr>
                            <w:ind w:firstLine="720"/>
                            <w:jc w:val="both"/>
                            <w:rPr>
                              <w:sz w:val="22"/>
                            </w:rPr>
                          </w:pPr>
                          <w:sdt>
                            <w:sdtPr>
                              <w:alias w:val="Numeris"/>
                              <w:tag w:val="nr_faa8b3eb2e0e4f19a7a5035370804ac8"/>
                              <w:lock w:val="sdtLocked"/>
                              <w:richText/>
                            </w:sdtPr>
                            <w:sdtContent>
                              <w:r>
                                <w:rPr>
                                  <w:color w:val="000000"/>
                                  <w:sz w:val="22"/>
                                  <w:szCs w:val="22"/>
                                </w:rPr>
                                <w:t>5</w:t>
                              </w:r>
                            </w:sdtContent>
                          </w:sdt>
                          <w:r>
                            <w:rPr>
                              <w:color w:val="000000"/>
                              <w:sz w:val="22"/>
                              <w:szCs w:val="22"/>
                            </w:rPr>
                            <w:t>) Nacionalinis visuomenės sveikatos centras – valstybinę visuomenės sveikatos saugos kontrolę</w:t>
                          </w:r>
                          <w:r>
                            <w:rPr>
                              <w:bCs/>
                              <w:color w:val="000000"/>
                              <w:sz w:val="22"/>
                              <w:szCs w:val="22"/>
                            </w:rPr>
                            <w:t>,</w:t>
                          </w:r>
                          <w:r>
                            <w:rPr>
                              <w:color w:val="000000"/>
                              <w:sz w:val="22"/>
                              <w:szCs w:val="22"/>
                            </w:rPr>
                            <w:t xml:space="preserve"> </w:t>
                          </w:r>
                          <w:r>
                            <w:rPr>
                              <w:bCs/>
                              <w:color w:val="000000"/>
                              <w:sz w:val="22"/>
                              <w:szCs w:val="22"/>
                            </w:rPr>
                            <w:t>licencijuojamos visuomenės sveikatos priežiūros veiklos priežiūrą</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0"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1"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7"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2"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7e6f0a62e11eea5a28c81c82193a8">
            <w:r w:rsidRPr="00532B9F">
              <w:rPr>
                <w:rFonts w:ascii="Times New Roman" w:eastAsia="MS Mincho" w:hAnsi="Times New Roman"/>
                <w:sz w:val="20"/>
                <w:iCs/>
                <w:color w:val="0000FF" w:themeColor="hyperlink"/>
                <w:u w:val="single"/>
              </w:rPr>
              <w:t>XIV-2453</w:t>
            </w:r>
          </w:fldSimple>
          <w:r>
            <w:rPr>
              <w:rFonts w:ascii="Times New Roman" w:eastAsia="MS Mincho" w:hAnsi="Times New Roman"/>
              <w:sz w:val="20"/>
              <w:iCs/>
            </w:rPr>
            <w:t>,
2023-12-21,
paskelbta TAR 2023-12-29, i. k. 2023-25944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d8c240347311efbdaea558de59136c">
            <w:r w:rsidRPr="00532B9F">
              <w:rPr>
                <w:rFonts w:ascii="Times New Roman" w:eastAsia="MS Mincho" w:hAnsi="Times New Roman"/>
                <w:sz w:val="20"/>
                <w:iCs/>
                <w:color w:val="0000FF" w:themeColor="hyperlink"/>
                <w:u w:val="single"/>
              </w:rPr>
              <w:t>XIV-2796</w:t>
            </w:r>
          </w:fldSimple>
          <w:r>
            <w:rPr>
              <w:rFonts w:ascii="Times New Roman" w:eastAsia="MS Mincho" w:hAnsi="Times New Roman"/>
              <w:sz w:val="20"/>
              <w:iCs/>
            </w:rPr>
            <w:t>,
2024-06-25,
paskelbta TAR 2024-06-27, i. k. 2024-11790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įstatymo Nr. XIV-2453 1, 2,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aae403d2611efbdaea558de59136c">
            <w:r w:rsidRPr="00532B9F">
              <w:rPr>
                <w:rFonts w:ascii="Times New Roman" w:eastAsia="MS Mincho" w:hAnsi="Times New Roman"/>
                <w:sz w:val="20"/>
                <w:iCs/>
                <w:color w:val="0000FF" w:themeColor="hyperlink"/>
                <w:u w:val="single"/>
              </w:rPr>
              <w:t>XIV-2791</w:t>
            </w:r>
          </w:fldSimple>
          <w:r>
            <w:rPr>
              <w:rFonts w:ascii="Times New Roman" w:eastAsia="MS Mincho" w:hAnsi="Times New Roman"/>
              <w:sz w:val="20"/>
              <w:iCs/>
            </w:rPr>
            <w:t>,
2024-06-25,
paskelbta TAR 2024-07-08, i. k. 2024-12734                </w:t>
          </w:r>
        </w:p>
        <w:p>
          <w:pPr>
            <w:jc w:val="both"/>
            <w:rPr>
              <w:rFonts w:ascii="Times New Roman" w:hAnsi="Times New Roman"/>
            </w:rPr>
          </w:pPr>
          <w:r>
            <w:rPr>
              <w:rFonts w:ascii="Times New Roman" w:hAnsi="Times New Roman"/>
              <w:sz w:val="20"/>
            </w:rPr>
            <w:t>Lietuvos Respublikos sveikatos priežiūros įstaigų įstatymo Nr. I-1367 2, 3, 13, 15-2, 15-3, 46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510a1091f111efa605b9842742bf37">
            <w:r w:rsidRPr="00532B9F">
              <w:rPr>
                <w:rFonts w:ascii="Times New Roman" w:eastAsia="MS Mincho" w:hAnsi="Times New Roman"/>
                <w:sz w:val="20"/>
                <w:iCs/>
                <w:color w:val="0000FF" w:themeColor="hyperlink"/>
                <w:u w:val="single"/>
              </w:rPr>
              <w:t>XIV-3030</w:t>
            </w:r>
          </w:fldSimple>
          <w:r>
            <w:rPr>
              <w:rFonts w:ascii="Times New Roman" w:eastAsia="MS Mincho" w:hAnsi="Times New Roman"/>
              <w:sz w:val="20"/>
              <w:iCs/>
            </w:rPr>
            <w:t>,
2024-10-15,
paskelbta TAR 2024-10-24, i. k. 2024-18429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f52624c3411f0b070ee7f1ceefc75">
            <w:r w:rsidRPr="00532B9F">
              <w:rPr>
                <w:rFonts w:ascii="Times New Roman" w:eastAsia="MS Mincho" w:hAnsi="Times New Roman"/>
                <w:sz w:val="20"/>
                <w:iCs/>
                <w:color w:val="0000FF" w:themeColor="hyperlink"/>
                <w:u w:val="single"/>
              </w:rPr>
              <w:t>XV-273</w:t>
            </w:r>
          </w:fldSimple>
          <w:r>
            <w:rPr>
              <w:rFonts w:ascii="Times New Roman" w:eastAsia="MS Mincho" w:hAnsi="Times New Roman"/>
              <w:sz w:val="20"/>
              <w:iCs/>
            </w:rPr>
            <w:t>,
2025-06-12,
paskelbta TAR 2025-06-18, i. k. 2025-11027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c68292ca0411f08918e1adc7c5b1ec">
            <w:r w:rsidRPr="00532B9F">
              <w:rPr>
                <w:rFonts w:ascii="Times New Roman" w:eastAsia="MS Mincho" w:hAnsi="Times New Roman"/>
                <w:sz w:val="20"/>
                <w:iCs/>
                <w:color w:val="0000FF" w:themeColor="hyperlink"/>
                <w:u w:val="single"/>
              </w:rPr>
              <w:t>XV-536</w:t>
            </w:r>
          </w:fldSimple>
          <w:r>
            <w:rPr>
              <w:rFonts w:ascii="Times New Roman" w:eastAsia="MS Mincho" w:hAnsi="Times New Roman"/>
              <w:sz w:val="20"/>
              <w:iCs/>
            </w:rPr>
            <w:t>,
2025-11-13,
paskelbta TAR 2025-11-25, i. k. 2025-19768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1820c2ce9111f08918e1adc7c5b1ec">
            <w:r w:rsidRPr="00532B9F">
              <w:rPr>
                <w:rFonts w:ascii="Times New Roman" w:eastAsia="MS Mincho" w:hAnsi="Times New Roman"/>
                <w:sz w:val="20"/>
                <w:iCs/>
                <w:color w:val="0000FF" w:themeColor="hyperlink"/>
                <w:u w:val="single"/>
              </w:rPr>
              <w:t>XV-568</w:t>
            </w:r>
          </w:fldSimple>
          <w:r>
            <w:rPr>
              <w:rFonts w:ascii="Times New Roman" w:eastAsia="MS Mincho" w:hAnsi="Times New Roman"/>
              <w:sz w:val="20"/>
              <w:iCs/>
            </w:rPr>
            <w:t>,
2025-11-20,
paskelbta TAR 2025-12-01, i. k. 2025-20383                </w:t>
          </w:r>
        </w:p>
        <w:p>
          <w:pPr>
            <w:jc w:val="both"/>
            <w:rPr>
              <w:rFonts w:ascii="Times New Roman" w:hAnsi="Times New Roman"/>
            </w:rPr>
          </w:pPr>
          <w:r>
            <w:rPr>
              <w:rFonts w:ascii="Times New Roman" w:hAnsi="Times New Roman"/>
              <w:sz w:val="20"/>
            </w:rPr>
            <w:t>Lietuvos Respublikos sveikatos priežiūros įstaigų įstatymo Nr. I-1367 2 ir 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CB4EC99"/>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122.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121.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403285&amp;b="/>
  <Relationship Id="rId38" Type="http://schemas.openxmlformats.org/officeDocument/2006/relationships/hyperlink" TargetMode="External" Target="http://www3.lrs.lt/cgi-bin/preps2?a=449242&amp;b="/>
  <Relationship Id="rId39" Type="http://schemas.openxmlformats.org/officeDocument/2006/relationships/hyperlink" TargetMode="External" Target="http://www3.lrs.lt/cgi-bin/preps2?a=312024&amp;b="/>
  <Relationship Id="rId4" Type="http://schemas.openxmlformats.org/officeDocument/2006/relationships/footer" Target="footer122.xml"/>
  <Relationship Id="rId40" Type="http://schemas.openxmlformats.org/officeDocument/2006/relationships/hyperlink" TargetMode="External" Target="http://www3.lrs.lt/cgi-bin/preps2?Condition1=105660&amp;Condition2="/>
  <Relationship Id="rId41" Type="http://schemas.openxmlformats.org/officeDocument/2006/relationships/hyperlink" TargetMode="External" Target="http://www3.lrs.lt/cgi-bin/preps2?a=413466&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Condition1=93337&amp;Condition2="/>
  <Relationship Id="rId46" Type="http://schemas.openxmlformats.org/officeDocument/2006/relationships/hyperlink" TargetMode="External" Target="http://www3.lrs.lt/cgi-bin/preps2?Condition1=41104&amp;Condition2="/>
  <Relationship Id="rId47" Type="http://schemas.openxmlformats.org/officeDocument/2006/relationships/hyperlink" TargetMode="External" Target="http://www3.lrs.lt/cgi-bin/preps2?Condition1=68391&amp;Condition2="/>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105660&amp;Condition2="/>
  <Relationship Id="rId5" Type="http://schemas.openxmlformats.org/officeDocument/2006/relationships/header" Target="header123.xml"/>
  <Relationship Id="rId50" Type="http://schemas.openxmlformats.org/officeDocument/2006/relationships/hyperlink" TargetMode="External" Target="http://www3.lrs.lt/cgi-bin/preps2?Condition1=110176&amp;Condition2="/>
  <Relationship Id="rId51" Type="http://schemas.openxmlformats.org/officeDocument/2006/relationships/hyperlink" TargetMode="External" Target="http://www3.lrs.lt/cgi-bin/preps2?Condition1=111853&amp;Condition2="/>
  <Relationship Id="rId52" Type="http://schemas.openxmlformats.org/officeDocument/2006/relationships/hyperlink" TargetMode="External" Target="http://www3.lrs.lt/cgi-bin/preps2?a=131446&amp;b="/>
  <Relationship Id="rId53" Type="http://schemas.openxmlformats.org/officeDocument/2006/relationships/hyperlink" TargetMode="External" Target="http://www3.lrs.lt/cgi-bin/preps2?a=154168&amp;b="/>
  <Relationship Id="rId54" Type="http://schemas.openxmlformats.org/officeDocument/2006/relationships/hyperlink" TargetMode="External" Target="http://www3.lrs.lt/cgi-bin/preps2?a=224476&amp;b="/>
  <Relationship Id="rId55" Type="http://schemas.openxmlformats.org/officeDocument/2006/relationships/hyperlink" TargetMode="External" Target="http://www3.lrs.lt/cgi-bin/preps2?a=291838&amp;b="/>
  <Relationship Id="rId56" Type="http://schemas.openxmlformats.org/officeDocument/2006/relationships/hyperlink" TargetMode="External" Target="http://www3.lrs.lt/cgi-bin/preps2?a=300834&amp;b="/>
  <Relationship Id="rId57" Type="http://schemas.openxmlformats.org/officeDocument/2006/relationships/hyperlink" TargetMode="External" Target="http://www3.lrs.lt/cgi-bin/preps2?a=312024&amp;b="/>
  <Relationship Id="rId58" Type="http://schemas.openxmlformats.org/officeDocument/2006/relationships/hyperlink" TargetMode="External" Target="http://www3.lrs.lt/cgi-bin/preps2?a=370351&amp;b="/>
  <Relationship Id="rId59" Type="http://schemas.openxmlformats.org/officeDocument/2006/relationships/hyperlink" TargetMode="External" Target="http://www3.lrs.lt/cgi-bin/preps2?a=374932&amp;b="/>
  <Relationship Id="rId6" Type="http://schemas.openxmlformats.org/officeDocument/2006/relationships/footer" Target="footer123.xml"/>
  <Relationship Id="rId60" Type="http://schemas.openxmlformats.org/officeDocument/2006/relationships/hyperlink" TargetMode="External" Target="http://www3.lrs.lt/cgi-bin/preps2?a=386463&amp;b="/>
  <Relationship Id="rId61" Type="http://schemas.openxmlformats.org/officeDocument/2006/relationships/hyperlink" TargetMode="External" Target="http://www3.lrs.lt/cgi-bin/preps2?a=403098&amp;b="/>
  <Relationship Id="rId62" Type="http://schemas.openxmlformats.org/officeDocument/2006/relationships/hyperlink" TargetMode="External" Target="http://www3.lrs.lt/cgi-bin/preps2?a=415907&amp;b="/>
  <Relationship Id="rId63" Type="http://schemas.openxmlformats.org/officeDocument/2006/relationships/hyperlink" TargetMode="External" Target="http://www3.lrs.lt/cgi-bin/preps2?a=403285&amp;b="/>
  <Relationship Id="rId64" Type="http://schemas.openxmlformats.org/officeDocument/2006/relationships/hyperlink" TargetMode="External" Target="http://www3.lrs.lt/cgi-bin/preps2?a=413466&amp;b="/>
  <Relationship Id="rId65" Type="http://schemas.openxmlformats.org/officeDocument/2006/relationships/hyperlink" TargetMode="External" Target="http://www3.lrs.lt/cgi-bin/preps2?a=413477&amp;b="/>
  <Relationship Id="rId66" Type="http://schemas.openxmlformats.org/officeDocument/2006/relationships/hyperlink" TargetMode="External" Target="http://www3.lrs.lt/cgi-bin/preps2?a=436948&amp;b="/>
  <Relationship Id="rId67" Type="http://schemas.openxmlformats.org/officeDocument/2006/relationships/hyperlink" TargetMode="External" Target="http://www3.lrs.lt/cgi-bin/preps2?a=449242&amp;b="/>
  <Relationship Id="rId68" Type="http://schemas.openxmlformats.org/officeDocument/2006/relationships/hyperlink" TargetMode="External" Target="http://www3.lrs.lt/cgi-bin/preps2?a=154168&amp;b="/>
  <Relationship Id="rId69" Type="http://schemas.openxmlformats.org/officeDocument/2006/relationships/hyperlink" TargetMode="External" Target="http://www3.lrs.lt/cgi-bin/preps2?a=291838&amp;b="/>
  <Relationship Id="rId7" Type="http://schemas.openxmlformats.org/officeDocument/2006/relationships/endnotes" Target="endnotes.xml"/>
  <Relationship Id="rId70" Type="http://schemas.openxmlformats.org/officeDocument/2006/relationships/hyperlink" TargetMode="External" Target="http://www3.lrs.lt/cgi-bin/preps2?a=403098&amp;b="/>
  <Relationship Id="rId71" Type="http://schemas.openxmlformats.org/officeDocument/2006/relationships/hyperlink" TargetMode="External" Target="http://www3.lrs.lt/cgi-bin/preps2?a=415907&amp;b="/>
  <Relationship Id="rId72" Type="http://schemas.openxmlformats.org/officeDocument/2006/relationships/hyperlink" TargetMode="External" Target="http://www3.lrs.lt/cgi-bin/preps2?a=224476&amp;b="/>
  <Relationship Id="rId73" Type="http://schemas.openxmlformats.org/officeDocument/2006/relationships/hyperlink" TargetMode="External" Target="http://www3.lrs.lt/cgi-bin/preps2?a=370351&amp;b="/>
  <Relationship Id="rId74"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a662ef1120f44f24b747b2847160b2e4">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d800dc08d48d46d6b22846e0050c0c66"/>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4-1" Abbr="14-1 d." DocPartId="7bdda27bc4a14a3dbb80288031536b3c" PartId="e6f58937401b4fe59598dabd20851b6c"/>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26a6abc98bf84d31a70dc64c0f2b377b"/>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640a94379b794290b49c34d4b74e803a">
          <Part Type="strDalis" Nr="1" Abbr="5 str. 1 d." DocPartId="24643503c3f6482987114b58136752cf" PartId="0f4f5f79d479412f863a7f488b06d758"/>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3bd47f2e63bb4ca089a792ac1fe9facc">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c692e4a54967415db05907ed54a08c5a"/>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76107caadb784781b931fcc5523b219f"/>
          <Part Type="strDalis" Nr="2" Abbr="13 str. 2 d." DocPartId="7a8e6ab16f9c4698be8b8c14e259581e" PartId="2fdd71f769954771b467f7b27aa64c54"/>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3bfb703d6d874668bf0030ed790e6b34"/>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864b77816aa34ee68de4a02a6dfab4c0"/>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1f2f5231f6774c9c831d2b760bd31027"/>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Title="LNSS viešųjų įstaigų ir LNSS biudžetinių įstaigų, teikiančių asmens sveikatos priežiūros paslaugas, veiklos rezultatų vertinimas" DocPartId="3f79c55bb98443988aadfeefd590d044" PartId="28c0b5925ad946118d5c785cd8e2b744">
          <Part Type="strDalis" Nr="1" Abbr="15-2 str. 1 d." DocPartId="6aeaf32151fe403e980b0c9ccbf667d6" PartId="0c173f67200e4ef0832ded07f7162d9c"/>
          <Part Type="strDalis" Nr="2" Abbr="15-2 str. 2 d." DocPartId="abce4b2af8fa474bb6170956e99a7818" PartId="fb7b15b189604c9c90d396547e71abfa"/>
          <Part Type="strDalis" Nr="3" Abbr="15-2 str. 3 d." DocPartId="26fd6825cf174c139a6c71962556726f" PartId="c3e4909a02b34b1cbe3bfe58f6e669d0"/>
          <Part Type="strDalis" Nr="4" Abbr="15-2 str. 4 d." DocPartId="22757e68f5dc4034ae48ae8b202f6154" PartId="406f6ced3a7243b9a27842ced6c695f9"/>
          <Part Type="strDalis" Nr="5" Abbr="15-2 str. 5 d." DocPartId="e3304899a2054b6b84354ffec1522478" PartId="16ffac55fadb4ffcbc40d8200a2217bc"/>
          <Part Type="strDalis" Nr="6" Abbr="15-2 str. 6 d." DocPartId="9952da87a04749b691c480be84375f92" PartId="adca9d17a5ac4cb1a58346ab1bb58035"/>
          <Part Type="strDalis" Nr="7" Abbr="15-2 str. 7 d." DocPartId="afd8eccafc814799aa26dcba6084dd5d" PartId="d971b42b9a5342758b923d83364dff59"/>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404c0b8b07ec4710b77af70d2b8566cc"/>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cfb9126e8ca4f10a102c1f603434df0"/>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fbec07dac4974303af20ef9c2ec46717">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bdd276da7a7d466d915820eb461ce816"/>
          <Part Type="strDalis" Nr="3" Abbr="36 str. 3 d." DocPartId="907913965ea3433baff42155d680f246" PartId="ee5c3ac004e7485ca6251062d83e5d9e"/>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931df2a71e7c4e5b9ae5051642e86182"/>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0318cd5478f84798b7550f0044757de8"/>
            <Part Type="strPunktas" Nr="17" Abbr="17 p." DocPartId="c984118d9394427391f70d13c4210449" PartId="401f059103f14308916834743d7b5daa"/>
            <Part Type="strPunktas" Nr="18" Abbr="18 p." DocPartId="f998a2ecda574d6a912a7770e5fb5eaa" PartId="863da94d74774703ad527fcef1e6c955"/>
          </Part>
          <Part Type="strDalis" Nr="2" Abbr="45 str. 2 d." DocPartId="b92da24be5e3444faf223287a7820c36" PartId="b25bd71f6857407eb4f5d3a931eeb1bd"/>
          <Part Type="strDalis" Nr="3" Abbr="45 str. 3 d." DocPartId="5143f4c7b3ab479d91429f7372001232" PartId="3870949e36b54183812eaf1beb79310c"/>
          <Part Type="strDalis" Nr="4" Abbr="4 d." DocPartId="5a44f7f5a6f247db8d3a19f76b3ab6de" PartId="55a89cd947a84a59b5bbc287f562b940"/>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3c2608ab6be24940857eee5e52744772"/>
            <Part Type="strPunktas" Nr="11" Abbr="11 p." DocPartId="f92e6d76ec8f4ef59c4112c84f6cd975" PartId="076afb48e27640998e41e3bc599baf2b"/>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priežiūra" DocPartId="b3c0d0e28bff4574b1c13a29b9827273" PartId="82f036f4a6794b6ab2994e259542d464">
        <Part Type="strDalis" Nr="1" Abbr="52 str. 1 d." DocPartId="7c848713fad54f879d67e5e14df01bf4" PartId="361b0f0b392347fc8fc3e5ebd9fdc5b7">
          <Part Type="strPunktas" Nr="1" Abbr="52 str. 1 d. 1 p." DocPartId="413e50512cd240fc92ce95eba8524085" PartId="f0b24760d2154bcfb93a3f7f3aed2264"/>
          <Part Type="strPunktas" Nr="2" Abbr="52 str. 1 d. 2 p." DocPartId="1eb54d58a0bd4ef3943ff75e28da21f6" PartId="6f7551284bde4cc5b64aa5974182c6d3"/>
          <Part Type="strPunktas" Nr="3" Abbr="52 str. 1 d. 3 p." DocPartId="a940ece6076542abbec441a7635408f0" PartId="c6ffd3ebff1e4abc8b5c937bc0058923"/>
          <Part Type="strPunktas" Nr="4" Abbr="52 str. 1 d. 4 p." DocPartId="9fc56127c26742d4a076e855ed9b92b5" PartId="3e92e2c554dc401c85933306aa436ba3"/>
          <Part Type="strPunktas" Nr="5" Abbr="52 str. 1 d. 5 p." DocPartId="a08cdd583c7346f5b897a5eb8498551d" PartId="faa8b3eb2e0e4f19a7a5035370804ac8"/>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48224211-0CCA-4A54-9FE3-A4A58BB82573}">
  <ds:schemaRefs>
    <ds:schemaRef ds:uri="http://lrs.lt/TAIS/DocParts"/>
  </ds:schemaRefs>
</ds:datastoreItem>
</file>

<file path=docProps/app.xml><?xml version="1.0" encoding="utf-8"?>
<Properties xmlns="http://schemas.openxmlformats.org/officeDocument/2006/extended-properties">
  <Template>Normal.dotm</Template>
  <TotalTime>164</TotalTime>
  <Pages>32</Pages>
  <Words>16151</Words>
  <Characters>121986</Characters>
  <Application>Microsoft Office Word</Application>
  <DocSecurity>0</DocSecurity>
  <Lines>1016</Lines>
  <Paragraphs>275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137862</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DINDIENĖ Laura</lastModifiedBy>
  <dcterms:modified xsi:type="dcterms:W3CDTF">2025-12-03T08:32:00Z</dcterms:modified>
  <revision>87</revision>
  <dc:title>Redagavo: Ramunė Lūžaitė (1997</dc:title>
</coreProperties>
</file>