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2020-09-01 iki 2020-09-30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eeb120fea9c94c8dbfff728ca61df456"/>
                    <w:lock w:val="sdtLocked"/>
                    <w:richText/>
                  </w:sdtPr>
                  <w:sdtContent>
                    <w:p>
                      <w:pPr>
                        <w:ind w:firstLine="720"/>
                        <w:jc w:val="both"/>
                        <w:rPr>
                          <w:b/>
                          <w:sz w:val="22"/>
                        </w:rPr>
                      </w:pPr>
                      <w:sdt>
                        <w:sdtPr>
                          <w:alias w:val="Numeris"/>
                          <w:tag w:val="nr_eeb120fea9c94c8dbfff728ca61df456"/>
                          <w:lock w:val="sdtLocked"/>
                          <w:richText/>
                        </w:sdtPr>
                        <w:sdtContent>
                          <w:r>
                            <w:rPr>
                              <w:b/>
                              <w:sz w:val="22"/>
                            </w:rPr>
                            <w:t>2</w:t>
                          </w:r>
                        </w:sdtContent>
                      </w:sdt>
                      <w:r>
                        <w:rPr>
                          <w:b/>
                          <w:sz w:val="22"/>
                        </w:rPr>
                        <w:t xml:space="preserve"> straipsnis. </w:t>
                      </w:r>
                      <w:sdt>
                        <w:sdtPr>
                          <w:alias w:val="Pavadinimas"/>
                          <w:tag w:val="title_eeb120fea9c94c8dbfff728ca61df456"/>
                          <w:lock w:val="sdtLocked"/>
                          <w:richText/>
                        </w:sdtPr>
                        <w:sdtContent>
                          <w:r>
                            <w:rPr>
                              <w:b/>
                              <w:sz w:val="22"/>
                            </w:rPr>
                            <w:t>Įstatyme vartojamos pagrindinės sąvokos ir santrumpos</w:t>
                          </w:r>
                        </w:sdtContent>
                      </w:sdt>
                    </w:p>
                    <w:sdt>
                      <w:sdtPr>
                        <w:alias w:val="2 str. 1 d."/>
                        <w:tag w:val="part_7648a61b6b664246ae9f398b4b54edc0"/>
                        <w:lock w:val="sdtLocked"/>
                        <w:richText/>
                      </w:sdtPr>
                      <w:sdtContent>
                        <w:p>
                          <w:pPr>
                            <w:ind w:firstLine="720"/>
                            <w:jc w:val="both"/>
                            <w:rPr>
                              <w:sz w:val="22"/>
                            </w:rPr>
                          </w:pPr>
                          <w:sdt>
                            <w:sdtPr>
                              <w:alias w:val="Numeris"/>
                              <w:tag w:val="nr_7648a61b6b664246ae9f398b4b54edc0"/>
                              <w:lock w:val="sdtLocked"/>
                              <w:richText/>
                            </w:sdtPr>
                            <w:sdtContent>
                              <w:r>
                                <w:rPr>
                                  <w:color w:val="000000"/>
                                  <w:sz w:val="22"/>
                                  <w:szCs w:val="22"/>
                                </w:rPr>
                                <w:t>1</w:t>
                              </w:r>
                            </w:sdtContent>
                          </w:sdt>
                          <w:r>
                            <w:rPr>
                              <w:color w:val="000000"/>
                              <w:sz w:val="22"/>
                              <w:szCs w:val="22"/>
                            </w:rPr>
                            <w:t>.</w:t>
                          </w:r>
                          <w:r>
                            <w:rPr>
                              <w:b/>
                              <w:bCs/>
                              <w:color w:val="000000"/>
                              <w:sz w:val="22"/>
                              <w:szCs w:val="22"/>
                            </w:rPr>
                            <w:t xml:space="preserve"> Sveikatos priežiūros įstaiga </w:t>
                          </w:r>
                          <w:r>
                            <w:rPr>
                              <w:color w:val="000000"/>
                              <w:sz w:val="22"/>
                              <w:szCs w:val="22"/>
                            </w:rPr>
                            <w:t xml:space="preserve">(toliau – įstaiga) – juridinis asmuo, organizacija ar jų filialas šio įstatymo ir </w:t>
                          </w:r>
                          <w:r>
                            <w:rPr>
                              <w:color w:val="000000"/>
                              <w:spacing w:val="2"/>
                              <w:sz w:val="22"/>
                              <w:szCs w:val="22"/>
                            </w:rPr>
                            <w:t>Visuomenės s</w:t>
                          </w:r>
                          <w:r>
                            <w:rPr>
                              <w:color w:val="000000"/>
                              <w:sz w:val="22"/>
                              <w:szCs w:val="22"/>
                            </w:rPr>
                            <w:t>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b92cb711a2a646239656fe2d16cafca4"/>
                    <w:lock w:val="sdtLocked"/>
                    <w:richText/>
                  </w:sdtPr>
                  <w:sdtContent>
                    <w:p>
                      <w:pPr>
                        <w:ind w:firstLine="720"/>
                        <w:jc w:val="both"/>
                        <w:rPr>
                          <w:b/>
                          <w:color w:val="000000"/>
                          <w:sz w:val="22"/>
                          <w:szCs w:val="22"/>
                          <w:lang w:eastAsia="lt-LT"/>
                        </w:rPr>
                      </w:pPr>
                      <w:sdt>
                        <w:sdtPr>
                          <w:alias w:val="Numeris"/>
                          <w:tag w:val="nr_b92cb711a2a646239656fe2d16cafca4"/>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b92cb711a2a646239656fe2d16cafca4"/>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c08ce9b27a894a5a8d3ea0c6086fc467"/>
                        <w:lock w:val="sdtLocked"/>
                        <w:richText/>
                      </w:sdtPr>
                      <w:sdtContent>
                        <w:p>
                          <w:pPr>
                            <w:ind w:firstLine="720"/>
                            <w:jc w:val="both"/>
                            <w:rPr>
                              <w:bCs/>
                              <w:color w:val="000000"/>
                              <w:sz w:val="22"/>
                              <w:szCs w:val="22"/>
                              <w:lang w:eastAsia="lt-LT"/>
                            </w:rPr>
                          </w:pPr>
                          <w:sdt>
                            <w:sdtPr>
                              <w:alias w:val="Numeris"/>
                              <w:tag w:val="nr_c08ce9b27a894a5a8d3ea0c6086fc467"/>
                              <w:lock w:val="sdtLocked"/>
                              <w:richText/>
                            </w:sdtPr>
                            <w:sdtContent>
                              <w:r>
                                <w:rPr>
                                  <w:sz w:val="22"/>
                                  <w:szCs w:val="22"/>
                                </w:rPr>
                                <w:t>4</w:t>
                              </w:r>
                            </w:sdtContent>
                          </w:sdt>
                          <w:r>
                            <w:rPr>
                              <w:sz w:val="22"/>
                              <w:szCs w:val="22"/>
                            </w:rPr>
                            <w:t>.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(prietaisų) (toliau – medicinos priemonės), personalo, patalpų 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1d90ff319f5f42b9ae4166c2602a101a"/>
                            <w:lock w:val="sdtLocked"/>
                            <w:richText/>
                          </w:sdtPr>
                          <w:sdtContent>
                            <w:p>
                              <w:pPr>
                                <w:ind w:firstLine="720"/>
                                <w:jc w:val="both"/>
                                <w:rPr>
                                  <w:color w:val="000000"/>
                                  <w:sz w:val="22"/>
                                  <w:szCs w:val="22"/>
                                </w:rPr>
                              </w:pPr>
                              <w:sdt>
                                <w:sdtPr>
                                  <w:alias w:val="Numeris"/>
                                  <w:tag w:val="nr_1d90ff319f5f42b9ae4166c2602a101a"/>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(išskyrus atvejus, kai paslaugų teikimas stabdomas šio įstatymo 54 straipsnyje nustatyta tvarka) arba Pacientų teisių ir žalos sveikatai atlyginimo įstatyme nustatytą įpareigojimą į Vyriausybės įgaliotos institucijos administruojamą sąskaitą mokėti įmokas, reikalingas pacientų sveikatai padarytai žalai (turtinei ir neturtinei) atlyginti, ir yra bent viena iš šių sąlygų:</w:t>
                              </w:r>
                            </w:p>
                            <w:sdt>
                              <w:sdtPr>
                                <w:alias w:val="5 str. 11 d. 2 p. a pp."/>
                                <w:tag w:val="part_6cef48b6c24c4e82b04c67e5c7c3c191"/>
                                <w:lock w:val="sdtLocked"/>
                                <w:richText/>
                              </w:sdtPr>
                              <w:sdtContent>
                                <w:p>
                                  <w:pPr>
                                    <w:ind w:firstLine="720"/>
                                    <w:jc w:val="both"/>
                                    <w:rPr>
                                      <w:color w:val="000000"/>
                                      <w:sz w:val="22"/>
                                      <w:szCs w:val="22"/>
                                    </w:rPr>
                                  </w:pPr>
                                  <w:sdt>
                                    <w:sdtPr>
                                      <w:alias w:val="Numeris"/>
                                      <w:tag w:val="nr_6cef48b6c24c4e82b04c67e5c7c3c191"/>
                                      <w:lock w:val="sdtLocked"/>
                                      <w:richText/>
                                    </w:sdtPr>
                                    <w:sdtContent>
                                      <w:r>
                                        <w:rPr>
                                          <w:color w:val="000000"/>
                                          <w:sz w:val="22"/>
                                          <w:szCs w:val="22"/>
                                        </w:rPr>
                                        <w:t>a</w:t>
                                      </w:r>
                                    </w:sdtContent>
                                  </w:sdt>
                                  <w:r>
                                    <w:rPr>
                                      <w:color w:val="000000"/>
                                      <w:sz w:val="22"/>
                                      <w:szCs w:val="22"/>
                                    </w:rPr>
                                    <w:t>) yra realus pavojus pacientų sveikatai ar gyvybei;</w:t>
                                  </w:r>
                                </w:p>
                              </w:sdtContent>
                            </w:sdt>
                            <w:sdt>
                              <w:sdtPr>
                                <w:alias w:val="5 str. 11 d. 2 p. b pp."/>
                                <w:tag w:val="part_616619332f5e48fabef44736164af93a"/>
                                <w:lock w:val="sdtLocked"/>
                                <w:richText/>
                              </w:sdtPr>
                              <w:sdtContent>
                                <w:p>
                                  <w:pPr>
                                    <w:ind w:firstLine="720"/>
                                    <w:jc w:val="both"/>
                                  </w:pPr>
                                  <w:sdt>
                                    <w:sdtPr>
                                      <w:alias w:val="Numeris"/>
                                      <w:tag w:val="nr_616619332f5e48fabef44736164af93a"/>
                                      <w:lock w:val="sdtLocked"/>
                                      <w:richText/>
                                    </w:sdtPr>
                                    <w:sdtContent>
                                      <w:r>
                                        <w:rPr>
                                          <w:color w:val="000000"/>
                                          <w:sz w:val="22"/>
                                          <w:szCs w:val="22"/>
                                        </w:rPr>
                                        <w:t>b</w:t>
                                      </w:r>
                                    </w:sdtContent>
                                  </w:sdt>
                                  <w:r>
                                    <w:rPr>
                                      <w:color w:val="000000"/>
                                      <w:sz w:val="22"/>
                                      <w:szCs w:val="22"/>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6"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7"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IX-593</w:t>
                            </w:r>
                          </w:hyperlink>
                          <w:r>
                            <w:rPr>
                              <w:i/>
                              <w:sz w:val="20"/>
                            </w:rPr>
                            <w:t>, 2001-11-13, Žin., 2001, Nr. 97-3419 (2001-11-21)</w:t>
                          </w:r>
                        </w:p>
                        <w:p>
                          <w:r>
                            <w:rPr>
                              <w:rFonts w:eastAsia="MS Mincho"/>
                              <w:i/>
                              <w:iCs/>
                              <w:sz w:val="20"/>
                            </w:rPr>
                            <w:t xml:space="preserve">Nr. </w:t>
                          </w:r>
                          <w:hyperlink r:id="rId72"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f261263c65bd49188861d322dd9b275c"/>
                        <w:lock w:val="sdtLocked"/>
                        <w:richText/>
                      </w:sdtPr>
                      <w:sdtContent>
                        <w:p>
                          <w:pPr>
                            <w:ind w:firstLine="720"/>
                            <w:jc w:val="both"/>
                            <w:rPr>
                              <w:sz w:val="22"/>
                            </w:rPr>
                          </w:pPr>
                          <w:sdt>
                            <w:sdtPr>
                              <w:alias w:val="Numeris"/>
                              <w:tag w:val="nr_f261263c65bd49188861d322dd9b275c"/>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bei įgalioti Valstybės kontrolės pareigūnai, savivaldybių kontrolės ir audito tarnybos</w:t>
                          </w:r>
                          <w:r>
                            <w:rPr>
                              <w:b/>
                              <w:sz w:val="22"/>
                              <w:szCs w:val="22"/>
                            </w:rPr>
                            <w:t xml:space="preserve"> </w:t>
                          </w:r>
                          <w:r>
                            <w:rPr>
                              <w:sz w:val="22"/>
                              <w:szCs w:val="22"/>
                            </w:rPr>
                            <w:t>turi teisę tikrinti, kaip tos lėšos naudojamos.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9"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2"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417d1822ead44195897cc4e7861581d7"/>
                        <w:lock w:val="sdtLocked"/>
                        <w:richText/>
                      </w:sdtPr>
                      <w:sdtContent>
                        <w:p>
                          <w:pPr>
                            <w:ind w:firstLine="720"/>
                            <w:jc w:val="both"/>
                            <w:rPr>
                              <w:b/>
                              <w:sz w:val="22"/>
                            </w:rPr>
                          </w:pPr>
                          <w:sdt>
                            <w:sdtPr>
                              <w:alias w:val="Numeris"/>
                              <w:tag w:val="nr_417d1822ead44195897cc4e7861581d7"/>
                              <w:lock w:val="sdtLocked"/>
                              <w:richText/>
                            </w:sdtPr>
                            <w:sdtContent>
                              <w:r>
                                <w:rPr>
                                  <w:color w:val="000000"/>
                                  <w:sz w:val="22"/>
                                  <w:szCs w:val="22"/>
                                </w:rPr>
                                <w:t>5</w:t>
                              </w:r>
                            </w:sdtContent>
                          </w:sdt>
                          <w:r>
                            <w:rPr>
                              <w:color w:val="000000"/>
                              <w:sz w:val="22"/>
                              <w:szCs w:val="22"/>
                            </w:rPr>
                            <w:t xml:space="preserve">. Į stebėtojų tarybą negali įeiti asmenys, kurie dirba įstaigos administracijoje, Valstybinėje ar teritorinėje ligonių kasoje, taip pat </w:t>
                          </w:r>
                          <w:r>
                            <w:rPr>
                              <w:sz w:val="22"/>
                              <w:szCs w:val="22"/>
                            </w:rPr>
                            <w:t>Pacientų sveikatai padarytos žalos nustatymo komisijoje, veikiančioje prie Sveikatos apsaugos ministerijos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6"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0"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1"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7e6a7072158b4df8b241d6c113287f7d"/>
                            <w:lock w:val="sdtLocked"/>
                            <w:richText/>
                          </w:sdtPr>
                          <w:sdtContent>
                            <w:p>
                              <w:pPr>
                                <w:ind w:firstLine="720"/>
                                <w:jc w:val="both"/>
                                <w:rPr>
                                  <w:bCs/>
                                  <w:sz w:val="22"/>
                                  <w:szCs w:val="22"/>
                                </w:rPr>
                              </w:pPr>
                              <w:sdt>
                                <w:sdtPr>
                                  <w:alias w:val="Numeris"/>
                                  <w:tag w:val="nr_7e6a7072158b4df8b241d6c113287f7d"/>
                                  <w:lock w:val="sdtLocked"/>
                                  <w:richText/>
                                </w:sdtPr>
                                <w:sdtContent>
                                  <w:r>
                                    <w:rPr>
                                      <w:bCs/>
                                      <w:sz w:val="22"/>
                                      <w:szCs w:val="22"/>
                                    </w:rPr>
                                    <w:t>6</w:t>
                                  </w:r>
                                </w:sdtContent>
                              </w:sdt>
                              <w:r>
                                <w:rPr>
                                  <w:bCs/>
                                  <w:sz w:val="22"/>
                                  <w:szCs w:val="22"/>
                                </w:rPr>
                                <w:t>) atlyginti teikiant paslaugas paciento sveikatai padarytą žalą;</w:t>
                              </w:r>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38d0585caf554c24bde2c4fab0ec87a0"/>
                            <w:lock w:val="sdtLocked"/>
                            <w:richText/>
                          </w:sdtPr>
                          <w:sdtContent>
                            <w:p>
                              <w:pPr>
                                <w:ind w:firstLine="720"/>
                                <w:jc w:val="both"/>
                                <w:rPr>
                                  <w:bCs/>
                                  <w:sz w:val="22"/>
                                  <w:szCs w:val="22"/>
                                </w:rPr>
                              </w:pPr>
                              <w:sdt>
                                <w:sdtPr>
                                  <w:alias w:val="Numeris"/>
                                  <w:tag w:val="nr_38d0585caf554c24bde2c4fab0ec87a0"/>
                                  <w:lock w:val="sdtLocked"/>
                                  <w:richText/>
                                </w:sdtPr>
                                <w:sdtContent>
                                  <w:r>
                                    <w:rPr>
                                      <w:bCs/>
                                      <w:sz w:val="22"/>
                                      <w:szCs w:val="22"/>
                                    </w:rPr>
                                    <w:t>12</w:t>
                                  </w:r>
                                </w:sdtContent>
                              </w:sdt>
                              <w:r>
                                <w:rPr>
                                  <w:bCs/>
                                  <w:sz w:val="22"/>
                                  <w:szCs w:val="22"/>
                                </w:rPr>
                                <w:t>) naudoti, instaliuoti ir prižiūrėti medicinos priemones vadovaujantis gamintojo su medicinos priemonėmis pateikiama informacija ir laikantis sveikatos apsaugos ministro nustatytų reikalavimų;</w:t>
                              </w:r>
                            </w:p>
                          </w:sdtContent>
                        </w:sdt>
                        <w:sdt>
                          <w:sdtPr>
                            <w:alias w:val="45 str. 1 d. 13 p."/>
                            <w:tag w:val="part_2d3ef15917ec4f5eac734e0176a4dc83"/>
                            <w:lock w:val="sdtLocked"/>
                            <w:richText/>
                          </w:sdtPr>
                          <w:sdtContent>
                            <w:p>
                              <w:pPr>
                                <w:ind w:firstLine="720"/>
                                <w:jc w:val="both"/>
                                <w:rPr>
                                  <w:bCs/>
                                  <w:sz w:val="22"/>
                                  <w:szCs w:val="22"/>
                                </w:rPr>
                              </w:pPr>
                              <w:sdt>
                                <w:sdtPr>
                                  <w:alias w:val="Numeris"/>
                                  <w:tag w:val="nr_2d3ef15917ec4f5eac734e0176a4dc83"/>
                                  <w:lock w:val="sdtLocked"/>
                                  <w:richText/>
                                </w:sdtPr>
                                <w:sdtContent>
                                  <w:r>
                                    <w:rPr>
                                      <w:bCs/>
                                      <w:sz w:val="22"/>
                                      <w:szCs w:val="22"/>
                                    </w:rPr>
                                    <w:t>13</w:t>
                                  </w:r>
                                </w:sdtContent>
                              </w:sdt>
                              <w:r>
                                <w:rPr>
                                  <w:bCs/>
                                  <w:sz w:val="22"/>
                                  <w:szCs w:val="22"/>
                                </w:rPr>
                                <w:t>) sveikatos apsaugos ministro nustatyta tvarka registruoti ir teikti informaciją apie naudojamas medicinos priemones ir sveikatos priežiūros technologijas, susijusias su medicinos priemonėmis;</w:t>
                              </w:r>
                            </w:p>
                          </w:sdtContent>
                        </w:sdt>
                        <w:sdt>
                          <w:sdtPr>
                            <w:alias w:val="45 str. 1 d. 14 p."/>
                            <w:tag w:val="part_89e0231fd96549c3bcc47f2706d10617"/>
                            <w:lock w:val="sdtLocked"/>
                            <w:richText/>
                          </w:sdtPr>
                          <w:sdtContent>
                            <w:p>
                              <w:pPr>
                                <w:ind w:firstLine="720"/>
                                <w:jc w:val="both"/>
                                <w:rPr>
                                  <w:bCs/>
                                  <w:sz w:val="22"/>
                                  <w:szCs w:val="22"/>
                                </w:rPr>
                              </w:pPr>
                              <w:sdt>
                                <w:sdtPr>
                                  <w:alias w:val="Numeris"/>
                                  <w:tag w:val="nr_89e0231fd96549c3bcc47f2706d10617"/>
                                  <w:lock w:val="sdtLocked"/>
                                  <w:richText/>
                                </w:sdtPr>
                                <w:sdtContent>
                                  <w:r>
                                    <w:rPr>
                                      <w:bCs/>
                                      <w:sz w:val="22"/>
                                      <w:szCs w:val="22"/>
                                    </w:rPr>
                                    <w:t>14</w:t>
                                  </w:r>
                                </w:sdtContent>
                              </w:sdt>
                              <w:r>
                                <w:rPr>
                                  <w:bCs/>
                                  <w:sz w:val="22"/>
                                  <w:szCs w:val="22"/>
                                </w:rPr>
                                <w:t>) sveikatos apsaugos ministro nustatyta tvarka registruoti ir teikti informaciją apie incidentus, susijusius su medicinos priemonėmis;</w:t>
                              </w:r>
                            </w:p>
                          </w:sdtContent>
                        </w:sdt>
                        <w:sdt>
                          <w:sdtPr>
                            <w:alias w:val="45 str. 1 d. 15 p."/>
                            <w:tag w:val="part_f0c4722f03d04a74983f2d9c734a334c"/>
                            <w:lock w:val="sdtLocked"/>
                            <w:richText/>
                          </w:sdtPr>
                          <w:sdtContent>
                            <w:p>
                              <w:pPr>
                                <w:ind w:firstLine="720"/>
                                <w:jc w:val="both"/>
                                <w:rPr>
                                  <w:bCs/>
                                  <w:sz w:val="22"/>
                                  <w:szCs w:val="22"/>
                                </w:rPr>
                              </w:pPr>
                              <w:sdt>
                                <w:sdtPr>
                                  <w:alias w:val="Numeris"/>
                                  <w:tag w:val="nr_f0c4722f03d04a74983f2d9c734a334c"/>
                                  <w:lock w:val="sdtLocked"/>
                                  <w:richText/>
                                </w:sdtPr>
                                <w:sdtContent>
                                  <w:r>
                                    <w:rPr>
                                      <w:bCs/>
                                      <w:sz w:val="22"/>
                                      <w:szCs w:val="22"/>
                                    </w:rPr>
                                    <w:t>15</w:t>
                                  </w:r>
                                </w:sdtContent>
                              </w:sdt>
                              <w:r>
                                <w:rPr>
                                  <w:bCs/>
                                  <w:sz w:val="22"/>
                                  <w:szCs w:val="22"/>
                                </w:rPr>
                                <w:t>) sužinojus, kad medicinos priemonės neatitinka sveikatos apsaugos ministro nustatytų reikalavimų ar gali kenkti pacientų, medicinos priemonių naudotojų saugai, nutraukti medicinos priemonių naudojimą ir (ar) imtis reikiamų veiksmų keliamam pavojui pašalinti, taip pat apie tai informuoti sveikatos apsaugos ministro įgaliotą instituciją, atsakingą už medicinos priemones;</w:t>
                              </w:r>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4"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5"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4"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0"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5"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5"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0F98E7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35.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370351&amp;b="/>
  <Relationship Id="rId29" Type="http://schemas.openxmlformats.org/officeDocument/2006/relationships/hyperlink" TargetMode="External" Target="http://www3.lrs.lt/cgi-bin/preps2?Condition1=110176&amp;Condition2="/>
  <Relationship Id="rId3" Type="http://schemas.openxmlformats.org/officeDocument/2006/relationships/footer" Target="footer34.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413466&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224476&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291838&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370351&amp;b="/>
  <Relationship Id="rId4" Type="http://schemas.openxmlformats.org/officeDocument/2006/relationships/footer" Target="footer35.xml"/>
  <Relationship Id="rId40" Type="http://schemas.openxmlformats.org/officeDocument/2006/relationships/hyperlink" TargetMode="External" Target="http://www3.lrs.lt/cgi-bin/preps2?a=403285&amp;b="/>
  <Relationship Id="rId41" Type="http://schemas.openxmlformats.org/officeDocument/2006/relationships/hyperlink" TargetMode="External" Target="http://www3.lrs.lt/cgi-bin/preps2?a=449242&amp;b="/>
  <Relationship Id="rId42" Type="http://schemas.openxmlformats.org/officeDocument/2006/relationships/hyperlink" TargetMode="External" Target="http://www3.lrs.lt/cgi-bin/preps2?a=312024&amp;b="/>
  <Relationship Id="rId43" Type="http://schemas.openxmlformats.org/officeDocument/2006/relationships/hyperlink" TargetMode="External" Target="http://www3.lrs.lt/cgi-bin/preps2?Condition1=105660&amp;Condition2="/>
  <Relationship Id="rId44" Type="http://schemas.openxmlformats.org/officeDocument/2006/relationships/hyperlink" TargetMode="External" Target="http://www3.lrs.lt/cgi-bin/preps2?a=413466&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41104&amp;Condition2="/>
  <Relationship Id="rId5" Type="http://schemas.openxmlformats.org/officeDocument/2006/relationships/header" Target="header36.xml"/>
  <Relationship Id="rId50" Type="http://schemas.openxmlformats.org/officeDocument/2006/relationships/hyperlink" TargetMode="External" Target="http://www3.lrs.lt/cgi-bin/preps2?Condition1=68391&amp;Condition2="/>
  <Relationship Id="rId51" Type="http://schemas.openxmlformats.org/officeDocument/2006/relationships/hyperlink" TargetMode="External" Target="http://www3.lrs.lt/cgi-bin/preps2?Condition1=93337&amp;Condition2="/>
  <Relationship Id="rId52" Type="http://schemas.openxmlformats.org/officeDocument/2006/relationships/hyperlink" TargetMode="External" Target="http://www3.lrs.lt/cgi-bin/preps2?Condition1=105660&amp;Condition2="/>
  <Relationship Id="rId53" Type="http://schemas.openxmlformats.org/officeDocument/2006/relationships/hyperlink" TargetMode="External" Target="http://www3.lrs.lt/cgi-bin/preps2?Condition1=110176&amp;Condition2="/>
  <Relationship Id="rId54" Type="http://schemas.openxmlformats.org/officeDocument/2006/relationships/hyperlink" TargetMode="External" Target="http://www3.lrs.lt/cgi-bin/preps2?Condition1=111853&amp;Condition2="/>
  <Relationship Id="rId55" Type="http://schemas.openxmlformats.org/officeDocument/2006/relationships/hyperlink" TargetMode="External" Target="http://www3.lrs.lt/cgi-bin/preps2?a=131446&amp;b="/>
  <Relationship Id="rId56" Type="http://schemas.openxmlformats.org/officeDocument/2006/relationships/hyperlink" TargetMode="External" Target="http://www3.lrs.lt/cgi-bin/preps2?a=154168&amp;b="/>
  <Relationship Id="rId57" Type="http://schemas.openxmlformats.org/officeDocument/2006/relationships/hyperlink" TargetMode="External" Target="http://www3.lrs.lt/cgi-bin/preps2?a=224476&amp;b="/>
  <Relationship Id="rId58" Type="http://schemas.openxmlformats.org/officeDocument/2006/relationships/hyperlink" TargetMode="External" Target="http://www3.lrs.lt/cgi-bin/preps2?a=291838&amp;b="/>
  <Relationship Id="rId59" Type="http://schemas.openxmlformats.org/officeDocument/2006/relationships/hyperlink" TargetMode="External" Target="http://www3.lrs.lt/cgi-bin/preps2?a=300834&amp;b="/>
  <Relationship Id="rId6" Type="http://schemas.openxmlformats.org/officeDocument/2006/relationships/footer" Target="footer36.xml"/>
  <Relationship Id="rId60" Type="http://schemas.openxmlformats.org/officeDocument/2006/relationships/hyperlink" TargetMode="External" Target="http://www3.lrs.lt/cgi-bin/preps2?a=312024&amp;b="/>
  <Relationship Id="rId61" Type="http://schemas.openxmlformats.org/officeDocument/2006/relationships/hyperlink" TargetMode="External" Target="http://www3.lrs.lt/cgi-bin/preps2?a=370351&amp;b="/>
  <Relationship Id="rId62" Type="http://schemas.openxmlformats.org/officeDocument/2006/relationships/hyperlink" TargetMode="External" Target="http://www3.lrs.lt/cgi-bin/preps2?a=374932&amp;b="/>
  <Relationship Id="rId63" Type="http://schemas.openxmlformats.org/officeDocument/2006/relationships/hyperlink" TargetMode="External" Target="http://www3.lrs.lt/cgi-bin/preps2?a=386463&amp;b="/>
  <Relationship Id="rId64" Type="http://schemas.openxmlformats.org/officeDocument/2006/relationships/hyperlink" TargetMode="External" Target="http://www3.lrs.lt/cgi-bin/preps2?a=403098&amp;b="/>
  <Relationship Id="rId65" Type="http://schemas.openxmlformats.org/officeDocument/2006/relationships/hyperlink" TargetMode="External" Target="http://www3.lrs.lt/cgi-bin/preps2?a=415907&amp;b="/>
  <Relationship Id="rId66" Type="http://schemas.openxmlformats.org/officeDocument/2006/relationships/hyperlink" TargetMode="External" Target="http://www3.lrs.lt/cgi-bin/preps2?a=403285&amp;b="/>
  <Relationship Id="rId67" Type="http://schemas.openxmlformats.org/officeDocument/2006/relationships/hyperlink" TargetMode="External" Target="http://www3.lrs.lt/cgi-bin/preps2?a=413466&amp;b="/>
  <Relationship Id="rId68" Type="http://schemas.openxmlformats.org/officeDocument/2006/relationships/hyperlink" TargetMode="External" Target="http://www3.lrs.lt/cgi-bin/preps2?a=413477&amp;b="/>
  <Relationship Id="rId69" Type="http://schemas.openxmlformats.org/officeDocument/2006/relationships/hyperlink" TargetMode="External" Target="http://www3.lrs.lt/cgi-bin/preps2?a=436948&amp;b="/>
  <Relationship Id="rId7" Type="http://schemas.openxmlformats.org/officeDocument/2006/relationships/endnotes" Target="endnotes.xml"/>
  <Relationship Id="rId70" Type="http://schemas.openxmlformats.org/officeDocument/2006/relationships/hyperlink" TargetMode="External" Target="http://www3.lrs.lt/cgi-bin/preps2?a=449242&amp;b="/>
  <Relationship Id="rId71" Type="http://schemas.openxmlformats.org/officeDocument/2006/relationships/hyperlink" TargetMode="External" Target="http://www3.lrs.lt/cgi-bin/preps2?a=154168&amp;b="/>
  <Relationship Id="rId72" Type="http://schemas.openxmlformats.org/officeDocument/2006/relationships/hyperlink" TargetMode="External" Target="http://www3.lrs.lt/cgi-bin/preps2?a=291838&amp;b="/>
  <Relationship Id="rId73" Type="http://schemas.openxmlformats.org/officeDocument/2006/relationships/hyperlink" TargetMode="External" Target="http://www3.lrs.lt/cgi-bin/preps2?Condition1=105660&amp;Condition2="/>
  <Relationship Id="rId74" Type="http://schemas.openxmlformats.org/officeDocument/2006/relationships/hyperlink" TargetMode="External" Target="http://www3.lrs.lt/cgi-bin/preps2?a=413466&amp;b="/>
  <Relationship Id="rId75" Type="http://schemas.openxmlformats.org/officeDocument/2006/relationships/hyperlink" TargetMode="External" Target="http://www3.lrs.lt/cgi-bin/preps2?a=436948&amp;b="/>
  <Relationship Id="rId76" Type="http://schemas.openxmlformats.org/officeDocument/2006/relationships/hyperlink" TargetMode="External" Target="http://www3.lrs.lt/cgi-bin/preps2?a=403098&amp;b="/>
  <Relationship Id="rId77" Type="http://schemas.openxmlformats.org/officeDocument/2006/relationships/hyperlink" TargetMode="External" Target="http://www3.lrs.lt/cgi-bin/preps2?a=415907&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eeb120fea9c94c8dbfff728ca61df456">
          <Part Type="strDalis" Nr="1" Abbr="2 str. 1 d." DocPartId="df62bcd398064d339f0ddaea06db51ca" PartId="7648a61b6b664246ae9f398b4b54edc0"/>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b92cb711a2a646239656fe2d16cafca4">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c08ce9b27a894a5a8d3ea0c6086fc467"/>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1d90ff319f5f42b9ae4166c2602a101a">
              <Part Type="strPapunktis" Nr="a" Abbr="5 str. 11 d. 2 p. a pp." DocPartId="6c8acc30b3c545ce8ef0b652382d138b" PartId="6cef48b6c24c4e82b04c67e5c7c3c191"/>
              <Part Type="strPapunktis" Nr="b" Abbr="5 str. 11 d. 2 p. b pp." DocPartId="cdc155d32c3d4655831e021218bcf368" PartId="616619332f5e48fabef44736164af93a"/>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f261263c65bd49188861d322dd9b275c"/>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417d1822ead44195897cc4e7861581d7"/>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5" Abbr="45 str. 1 d. 5 p." DocPartId="e84ddc6d9fb447d58805fb8b17e8a676" PartId="e3e622b17cd7454fb3cf1b4b54ca12d4"/>
            <Part Type="strPunktas" Nr="6" Abbr="45 str. 1 d. 6 p." DocPartId="5e6d2217719a4e39898654ac908b6905" PartId="7e6a7072158b4df8b241d6c113287f7d"/>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38d0585caf554c24bde2c4fab0ec87a0"/>
            <Part Type="strPunktas" Nr="13" Abbr="45 str. 1 d. 13 p." DocPartId="d8c130b5491a4a098f6194fbdda48ec5" PartId="2d3ef15917ec4f5eac734e0176a4dc83"/>
            <Part Type="strPunktas" Nr="14" Abbr="45 str. 1 d. 14 p." DocPartId="92e2685ba436411e83bd5c00046e9206" PartId="89e0231fd96549c3bcc47f2706d10617"/>
            <Part Type="strPunktas" Nr="15" Abbr="45 str. 1 d. 15 p." DocPartId="82aad9f5c00b45d3b4bda71a3dcdf2a4" PartId="f0c4722f03d04a74983f2d9c734a334c"/>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0AE1F8D1-FE21-4D51-885B-D8A284045FF5}">
  <ds:schemaRefs>
    <ds:schemaRef ds:uri="http://lrs.lt/TAIS/DocParts"/>
  </ds:schemaRefs>
</ds:datastoreItem>
</file>

<file path=docProps/app.xml><?xml version="1.0" encoding="utf-8"?>
<Properties xmlns="http://schemas.openxmlformats.org/officeDocument/2006/extended-properties">
  <Template>Normal.dotm</Template>
  <TotalTime>89</TotalTime>
  <Pages>29</Pages>
  <Words>76752</Words>
  <Characters>43750</Characters>
  <Application>Microsoft Office Word</Application>
  <DocSecurity>0</DocSecurity>
  <Lines>364</Lines>
  <Paragraphs>240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120262</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2020-07-23T07:27:00Z</dcterms:modified>
  <revision>45</revision>
  <dc:title>Redagavo: Ramunė Lūžaitė (1997</dc:title>
</coreProperties>
</file>