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2016-05-01 iki 2016-12-14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fd1cf7d664bf4bef8720e2fd3a2589c8"/>
                    <w:lock w:val="sdtLocked"/>
                    <w:richText/>
                  </w:sdtPr>
                  <w:sdtContent>
                    <w:p>
                      <w:pPr>
                        <w:ind w:firstLine="720"/>
                        <w:jc w:val="both"/>
                        <w:rPr>
                          <w:b/>
                          <w:sz w:val="22"/>
                        </w:rPr>
                      </w:pPr>
                      <w:sdt>
                        <w:sdtPr>
                          <w:alias w:val="Numeris"/>
                          <w:tag w:val="nr_fd1cf7d664bf4bef8720e2fd3a2589c8"/>
                          <w:lock w:val="sdtLocked"/>
                          <w:richText/>
                        </w:sdtPr>
                        <w:sdtContent>
                          <w:r>
                            <w:rPr>
                              <w:b/>
                              <w:sz w:val="22"/>
                            </w:rPr>
                            <w:t>2</w:t>
                          </w:r>
                        </w:sdtContent>
                      </w:sdt>
                      <w:r>
                        <w:rPr>
                          <w:b/>
                          <w:sz w:val="22"/>
                        </w:rPr>
                        <w:t xml:space="preserve"> straipsnis. </w:t>
                      </w:r>
                      <w:sdt>
                        <w:sdtPr>
                          <w:alias w:val="Pavadinimas"/>
                          <w:tag w:val="title_fd1cf7d664bf4bef8720e2fd3a2589c8"/>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c8d7a7af13764fd2a3a9dab57d54c6ed"/>
                            <w:lock w:val="sdtLocked"/>
                            <w:richText/>
                          </w:sdtPr>
                          <w:sdtContent>
                            <w:p>
                              <w:pPr>
                                <w:ind w:firstLine="720"/>
                                <w:jc w:val="both"/>
                                <w:rPr>
                                  <w:color w:val="000000"/>
                                  <w:sz w:val="22"/>
                                  <w:szCs w:val="22"/>
                                  <w:lang w:eastAsia="lt-LT"/>
                                </w:rPr>
                              </w:pPr>
                              <w:sdt>
                                <w:sdtPr>
                                  <w:alias w:val="Numeris"/>
                                  <w:tag w:val="nr_c8d7a7af13764fd2a3a9dab57d54c6ed"/>
                                  <w:lock w:val="sdtLocked"/>
                                  <w:richText/>
                                </w:sdtPr>
                                <w:sdtContent>
                                  <w:r>
                                    <w:rPr>
                                      <w:color w:val="000000"/>
                                      <w:sz w:val="22"/>
                                      <w:szCs w:val="22"/>
                                      <w:lang w:eastAsia="lt-LT"/>
                                    </w:rPr>
                                    <w:t>1</w:t>
                                  </w:r>
                                </w:sdtContent>
                              </w:sdt>
                              <w:r>
                                <w:rPr>
                                  <w:color w:val="000000"/>
                                  <w:sz w:val="22"/>
                                  <w:szCs w:val="22"/>
                                  <w:lang w:eastAsia="lt-LT"/>
                                </w:rPr>
                                <w:t>) valstybės ir savivaldybių asmens sveikatos priežiūros viešosios įstaigos (toliau – LNSS viešosios įstaigos) ir biudžetinės įstaigos (toliau – LNSS biudžetinės įstaigos). LNSS viešosioms įstaigoms Lietuvos Respublikos viešųjų įstaigų įstatymas taikomas tiek, kiek tai neprieštarauja šiam įstatymui;</w:t>
                              </w:r>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65806c4aec1a4f87b1d4c91ab7f5e1e3"/>
                    <w:lock w:val="sdtLocked"/>
                    <w:richText/>
                  </w:sdtPr>
                  <w:sdtContent>
                    <w:p>
                      <w:pPr>
                        <w:ind w:firstLine="720"/>
                        <w:jc w:val="both"/>
                        <w:rPr>
                          <w:b/>
                          <w:color w:val="000000"/>
                          <w:sz w:val="22"/>
                          <w:szCs w:val="22"/>
                          <w:lang w:eastAsia="lt-LT"/>
                        </w:rPr>
                      </w:pPr>
                      <w:sdt>
                        <w:sdtPr>
                          <w:alias w:val="Numeris"/>
                          <w:tag w:val="nr_65806c4aec1a4f87b1d4c91ab7f5e1e3"/>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65806c4aec1a4f87b1d4c91ab7f5e1e3"/>
                          <w:lock w:val="sdtLocked"/>
                          <w:richText/>
                        </w:sdtPr>
                        <w:sdtContent>
                          <w:r>
                            <w:rPr>
                              <w:b/>
                              <w:color w:val="000000"/>
                              <w:sz w:val="22"/>
                              <w:szCs w:val="22"/>
                              <w:lang w:eastAsia="lt-LT"/>
                            </w:rPr>
                            <w:t>Licencijavimas asmens sveikatos priežiūros veiklai</w:t>
                          </w:r>
                        </w:sdtContent>
                      </w:sdt>
                    </w:p>
                    <w:sdt>
                      <w:sdtPr>
                        <w:alias w:val="5 str. 1 d."/>
                        <w:tag w:val="part_c6e743050cc24f849698de5ec81861f4"/>
                        <w:lock w:val="sdtLocked"/>
                        <w:richText/>
                      </w:sdtPr>
                      <w:sdtContent>
                        <w:p>
                          <w:pPr>
                            <w:ind w:firstLine="720"/>
                            <w:jc w:val="both"/>
                            <w:rPr>
                              <w:sz w:val="22"/>
                              <w:szCs w:val="22"/>
                              <w:lang w:eastAsia="lt-LT"/>
                            </w:rPr>
                          </w:pPr>
                          <w:sdt>
                            <w:sdtPr>
                              <w:alias w:val="Numeris"/>
                              <w:tag w:val="nr_c6e743050cc24f849698de5ec81861f4"/>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Licencijos asmens sveikatos priežiūros veiklai išduodamos elektronine arba pareiškėjo prašymu popierine forma.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p>
                      </w:sdtContent>
                    </w:sdt>
                    <w:sdt>
                      <w:sdtPr>
                        <w:alias w:val="5 str. 2 d."/>
                        <w:tag w:val="part_88d1591cd456407c80f8a8dc09e041ab"/>
                        <w:lock w:val="sdtLocked"/>
                        <w:richText/>
                      </w:sdtPr>
                      <w:sdtContent>
                        <w:p>
                          <w:pPr>
                            <w:ind w:firstLine="720"/>
                            <w:jc w:val="both"/>
                            <w:rPr>
                              <w:color w:val="000000"/>
                              <w:sz w:val="22"/>
                              <w:szCs w:val="22"/>
                              <w:lang w:eastAsia="lt-LT"/>
                            </w:rPr>
                          </w:pPr>
                          <w:sdt>
                            <w:sdtPr>
                              <w:alias w:val="Numeris"/>
                              <w:tag w:val="nr_88d1591cd456407c80f8a8dc09e041ab"/>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pagal poreikį išduoda popierinės formos licencijos asmens sveikatos priežiūros veiklai dublikatą Valstybinė akreditavimo sveikatos priežiūros veiklai tarnyba prie Sveikatos apsaugos ministerijos (toliau – Valstybinė akreditavimo sveikatos priežiūros veiklai tarnyba). </w:t>
                          </w:r>
                        </w:p>
                      </w:sdtContent>
                    </w:sdt>
                    <w:sdt>
                      <w:sdtPr>
                        <w:alias w:val="5 str. 3 d."/>
                        <w:tag w:val="part_04d58364419a411abee029bd7643aab4"/>
                        <w:lock w:val="sdtLocked"/>
                        <w:richText/>
                      </w:sdtPr>
                      <w:sdtContent>
                        <w:p>
                          <w:pPr>
                            <w:ind w:firstLine="720"/>
                            <w:jc w:val="both"/>
                            <w:rPr>
                              <w:color w:val="000000"/>
                              <w:sz w:val="22"/>
                              <w:szCs w:val="22"/>
                              <w:lang w:eastAsia="lt-LT"/>
                            </w:rPr>
                          </w:pPr>
                          <w:sdt>
                            <w:sdtPr>
                              <w:alias w:val="Numeris"/>
                              <w:tag w:val="nr_04d58364419a411abee029bd7643aab4"/>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popierinės formos licencijos asmens sveikatos priežiūros veiklai dublikato išdavimo tvarką nustato sveikatos apsaugos ministro patvirtintos Asmens sveikatos priežiūros įstaigų licencijavimo taisyklės.</w:t>
                          </w:r>
                        </w:p>
                      </w:sdtContent>
                    </w:sdt>
                    <w:sdt>
                      <w:sdtPr>
                        <w:alias w:val="5 str. 4 d."/>
                        <w:tag w:val="part_5550114a7a844984bfab57ef8d6fe4da"/>
                        <w:lock w:val="sdtLocked"/>
                        <w:richText/>
                      </w:sdtPr>
                      <w:sdtContent>
                        <w:p>
                          <w:pPr>
                            <w:ind w:firstLine="720"/>
                            <w:jc w:val="both"/>
                            <w:rPr>
                              <w:bCs/>
                              <w:color w:val="000000"/>
                              <w:sz w:val="22"/>
                              <w:szCs w:val="22"/>
                              <w:lang w:eastAsia="lt-LT"/>
                            </w:rPr>
                          </w:pPr>
                          <w:sdt>
                            <w:sdtPr>
                              <w:alias w:val="Numeris"/>
                              <w:tag w:val="nr_5550114a7a844984bfab57ef8d6fe4da"/>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Pareiškėjas, siekiantis gauti licenciją</w:t>
                          </w:r>
                          <w:r>
                            <w:rPr>
                              <w:color w:val="000000"/>
                              <w:sz w:val="22"/>
                              <w:szCs w:val="22"/>
                              <w:lang w:eastAsia="lt-LT"/>
                            </w:rPr>
                            <w:t xml:space="preserve"> asmens sveikatos priežiūros veiklai ar įgyti teisę teikti naujas licencijuojamas asmens sveikatos priežiūros paslaugas</w:t>
                          </w:r>
                          <w:r>
                            <w:rPr>
                              <w:bCs/>
                              <w:color w:val="000000"/>
                              <w:sz w:val="22"/>
                              <w:szCs w:val="22"/>
                              <w:lang w:eastAsia="lt-LT"/>
                            </w:rPr>
                            <w:t xml:space="preserve">, </w:t>
                          </w:r>
                          <w:r>
                            <w:rPr>
                              <w:color w:val="000000"/>
                              <w:sz w:val="22"/>
                              <w:szCs w:val="22"/>
                              <w:lang w:eastAsia="lt-LT"/>
                            </w:rPr>
                            <w:t xml:space="preserve">Valstybinei akreditavimo sveikatos priežiūros veiklai tarnybai per atstumą, elektroninėmis priemonėmis per Lietuvos Respublikos paslaugų įstatyme nurodytą kontaktinį centrą (toliau – kontaktinis centras) arba kreipdamasis tiesiogiai pateikia </w:t>
                          </w:r>
                          <w:r>
                            <w:rPr>
                              <w:bCs/>
                              <w:color w:val="000000"/>
                              <w:sz w:val="22"/>
                              <w:szCs w:val="22"/>
                              <w:lang w:eastAsia="lt-LT"/>
                            </w:rPr>
                            <w:t xml:space="preserve">prašymą išduoti licenciją </w:t>
                          </w:r>
                          <w:r>
                            <w:rPr>
                              <w:color w:val="000000"/>
                              <w:sz w:val="22"/>
                              <w:szCs w:val="22"/>
                              <w:lang w:eastAsia="lt-LT"/>
                            </w:rPr>
                            <w:t>asmens sveikatos priežiūros veiklai</w:t>
                          </w:r>
                          <w:r>
                            <w:rPr>
                              <w:bCs/>
                              <w:color w:val="000000"/>
                              <w:sz w:val="22"/>
                              <w:szCs w:val="22"/>
                              <w:lang w:eastAsia="lt-LT"/>
                            </w:rPr>
                            <w:t xml:space="preserve"> ar prašymą patikslinti licenciją, Asmens sveikatos priežiūros įstaigų licencijavimo taisyklėse nurodytus dokumentus, patvirtinančius, kad pareiškėjas atitinka Lietuvos Respublikos įstatymų, Lietuvos Respublikos Vyriausybės nutarimų ir sveikatos apsaugos ministro įsakymų, reglamentuojančių asmens sveikatos priežiūros įstaigų veiklą, nustatytus civilinės atsakomybės draudimo, higienos, medicinos priemonių (prietaisų) (toliau – medicinos priemonės), personalo, patalpų ir teisinės formos reikalavimus.</w:t>
                          </w:r>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39845ad515154db9aa43239ea266b418"/>
                        <w:lock w:val="sdtLocked"/>
                        <w:richText/>
                      </w:sdtPr>
                      <w:sdtContent>
                        <w:p>
                          <w:pPr>
                            <w:ind w:firstLine="720"/>
                            <w:jc w:val="both"/>
                            <w:rPr>
                              <w:color w:val="000000"/>
                              <w:sz w:val="22"/>
                              <w:szCs w:val="22"/>
                              <w:lang w:eastAsia="lt-LT"/>
                            </w:rPr>
                          </w:pPr>
                          <w:sdt>
                            <w:sdtPr>
                              <w:alias w:val="Numeris"/>
                              <w:tag w:val="nr_39845ad515154db9aa43239ea266b418"/>
                              <w:lock w:val="sdtLocked"/>
                              <w:richText/>
                            </w:sdtPr>
                            <w:sdtContent>
                              <w:r>
                                <w:rPr>
                                  <w:color w:val="000000"/>
                                  <w:sz w:val="22"/>
                                  <w:szCs w:val="22"/>
                                  <w:lang w:eastAsia="lt-LT"/>
                                </w:rPr>
                                <w:t>10</w:t>
                              </w:r>
                            </w:sdtContent>
                          </w:sdt>
                          <w:r>
                            <w:rPr>
                              <w:bCs/>
                              <w:color w:val="000000"/>
                              <w:sz w:val="22"/>
                              <w:szCs w:val="22"/>
                              <w:lang w:eastAsia="lt-LT"/>
                            </w:rPr>
                            <w:t>. P</w:t>
                          </w:r>
                          <w:r>
                            <w:rPr>
                              <w:color w:val="000000"/>
                              <w:sz w:val="22"/>
                              <w:szCs w:val="22"/>
                              <w:lang w:eastAsia="lt-LT"/>
                            </w:rPr>
                            <w:t>raradus popierinės formos licencijos asmens sveikatos priežiūros veiklai originalą, taip pat jį sugadinus, išduodamas popierinės formos licencijos asmens sveikatos priežiūros veiklai dublikatas arba elektroninės formos licencija asmens sveikatos priežiūros veiklai (atsižvelgus į asmens sveikatos priežiūros įstaigos prašymą). Sprendimas išduoti popierinės formos licencijos asmens sveikatos priežiūros veiklai dublikatą arba elektroninės formos licenciją asmens sveikatos priežiūros veiklai priimamas ne vėliau kaip kitą darbo dieną nuo prašymo išduoti popierinės formos licencijos asmens sveikatos priežiūros veiklai dublikatą ar elektroninės formos licenciją asmens sveikatos priežiūros veiklai gavimo Valstybinėje akreditavimo sveikatos priežiūros veiklai tarnyboje dienos.</w:t>
                          </w:r>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2d775fe085334314a169591c6f4974e4"/>
                            <w:lock w:val="sdtLocked"/>
                            <w:richText/>
                          </w:sdtPr>
                          <w:sdtContent>
                            <w:p>
                              <w:pPr>
                                <w:ind w:firstLine="720"/>
                                <w:jc w:val="both"/>
                                <w:rPr>
                                  <w:bCs/>
                                  <w:color w:val="000000"/>
                                  <w:sz w:val="22"/>
                                  <w:szCs w:val="22"/>
                                  <w:lang w:eastAsia="lt-LT"/>
                                </w:rPr>
                              </w:pPr>
                              <w:sdt>
                                <w:sdtPr>
                                  <w:alias w:val="Numeris"/>
                                  <w:tag w:val="nr_2d775fe085334314a169591c6f4974e4"/>
                                  <w:lock w:val="sdtLocked"/>
                                  <w:richText/>
                                </w:sdtPr>
                                <w:sdtContent>
                                  <w:r>
                                    <w:rPr>
                                      <w:color w:val="000000"/>
                                      <w:sz w:val="22"/>
                                      <w:szCs w:val="22"/>
                                      <w:lang w:eastAsia="lt-LT"/>
                                    </w:rPr>
                                    <w:t>2</w:t>
                                  </w:r>
                                </w:sdtContent>
                              </w:sdt>
                              <w:r>
                                <w:rPr>
                                  <w:color w:val="000000"/>
                                  <w:sz w:val="22"/>
                                  <w:szCs w:val="22"/>
                                  <w:lang w:eastAsia="lt-LT"/>
                                </w:rPr>
                                <w:t xml:space="preserve">) ne ilgiau kaip trims mėnesiams, kai paaiškėja, kad asmens sveikatos priežiūros įstaiga pažeidžia </w:t>
                              </w:r>
                              <w:r>
                                <w:rPr>
                                  <w:bCs/>
                                  <w:color w:val="000000"/>
                                  <w:sz w:val="22"/>
                                  <w:szCs w:val="22"/>
                                  <w:lang w:eastAsia="lt-LT"/>
                                </w:rPr>
                                <w:t xml:space="preserve">šio straipsnio 4 dalyje nurodytus reikalavimus (išskyrus atvejus, kai paslaugų teikimas stabdomas šio įstatymo 54 straipsnyje nustatyta tvarka) </w:t>
                              </w:r>
                              <w:r>
                                <w:rPr>
                                  <w:color w:val="000000"/>
                                  <w:sz w:val="22"/>
                                  <w:szCs w:val="22"/>
                                  <w:lang w:eastAsia="lt-LT"/>
                                </w:rPr>
                                <w:t>ir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įstaigų licencijavimo taisyklėse nustatyta tvarka nepašalina licencijuojamos veiklos pažeidimų.</w:t>
                              </w:r>
                            </w:p>
                          </w:sdtContent>
                        </w:sdt>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d7e7365f3ac47c6ae9d66d3e76c57da"/>
                            <w:lock w:val="sdtLocked"/>
                            <w:richText/>
                          </w:sdtPr>
                          <w:sdtContent>
                            <w:p>
                              <w:pPr>
                                <w:ind w:firstLine="720"/>
                                <w:jc w:val="both"/>
                                <w:rPr>
                                  <w:color w:val="000000"/>
                                  <w:sz w:val="22"/>
                                  <w:szCs w:val="22"/>
                                  <w:lang w:eastAsia="lt-LT"/>
                                </w:rPr>
                              </w:pPr>
                              <w:sdt>
                                <w:sdtPr>
                                  <w:alias w:val="Numeris"/>
                                  <w:tag w:val="nr_7d7e7365f3ac47c6ae9d66d3e76c57da"/>
                                  <w:lock w:val="sdtLocked"/>
                                  <w:richText/>
                                </w:sdtPr>
                                <w:sdtContent>
                                  <w:r>
                                    <w:rPr>
                                      <w:color w:val="000000"/>
                                      <w:sz w:val="22"/>
                                      <w:szCs w:val="22"/>
                                      <w:lang w:eastAsia="lt-LT"/>
                                    </w:rPr>
                                    <w:t>2</w:t>
                                  </w:r>
                                </w:sdtContent>
                              </w:sdt>
                              <w:r>
                                <w:rPr>
                                  <w:color w:val="000000"/>
                                  <w:sz w:val="22"/>
                                  <w:szCs w:val="22"/>
                                  <w:lang w:eastAsia="lt-LT"/>
                                </w:rPr>
                                <w:t>) šio straipsnio 11 dalies 2 punkte nurodytu atveju – ne vėliau kaip per tris darbo dienas nuo šio straipsnio 11 dalies 2 punkte nurodyto termino, per kurį asmens sveikatos priežiūros įstaiga turėjo pašalinti licencijuojamos veiklos pažeidimus, bet jų nepašalino, pabaigos.</w:t>
                              </w:r>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e0a8f9ecd73b4e6e86b7337e36235184"/>
                        <w:lock w:val="sdtLocked"/>
                        <w:richText/>
                      </w:sdtPr>
                      <w:sdtContent>
                        <w:p>
                          <w:pPr>
                            <w:ind w:firstLine="720"/>
                            <w:jc w:val="both"/>
                            <w:rPr>
                              <w:color w:val="000000"/>
                              <w:sz w:val="22"/>
                              <w:szCs w:val="22"/>
                              <w:lang w:eastAsia="lt-LT"/>
                            </w:rPr>
                          </w:pPr>
                          <w:sdt>
                            <w:sdtPr>
                              <w:alias w:val="Numeris"/>
                              <w:tag w:val="nr_e0a8f9ecd73b4e6e86b7337e36235184"/>
                              <w:lock w:val="sdtLocked"/>
                              <w:richText/>
                            </w:sdtPr>
                            <w:sdtContent>
                              <w:r>
                                <w:rPr>
                                  <w:color w:val="000000"/>
                                  <w:sz w:val="22"/>
                                  <w:szCs w:val="22"/>
                                  <w:lang w:eastAsia="lt-LT"/>
                                </w:rPr>
                                <w:t>16</w:t>
                              </w:r>
                            </w:sdtContent>
                          </w:sdt>
                          <w:r>
                            <w:rPr>
                              <w:color w:val="000000"/>
                              <w:sz w:val="22"/>
                              <w:szCs w:val="22"/>
                              <w:lang w:eastAsia="lt-LT"/>
                            </w:rPr>
                            <w:t>.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licencijos asmens sveikatos priežiūros veiklai dublikato išdavimą ne vėliau kaip per penkias darbo dienas nuo atitinkamo sprendimo priėmimo paskelbia savo interneto svetainėje Asmens sveikatos priežiūros įstaigų licencijavimo taisyklėse nustatyta tvarka.</w:t>
                          </w:r>
                        </w:p>
                      </w:sdtContent>
                    </w:sdt>
                    <w:sdt>
                      <w:sdtPr>
                        <w:alias w:val="5 str. 17 d."/>
                        <w:tag w:val="part_89b44ade16094ecf9f7158700b191a79"/>
                        <w:lock w:val="sdtLocked"/>
                        <w:richText/>
                      </w:sdtPr>
                      <w:sdtContent>
                        <w:p>
                          <w:pPr>
                            <w:ind w:firstLine="720"/>
                            <w:jc w:val="both"/>
                          </w:pPr>
                          <w:sdt>
                            <w:sdtPr>
                              <w:alias w:val="Numeris"/>
                              <w:tag w:val="nr_89b44ade16094ecf9f7158700b191a79"/>
                              <w:lock w:val="sdtLocked"/>
                              <w:richText/>
                            </w:sdtPr>
                            <w:sdtContent>
                              <w:r>
                                <w:rPr>
                                  <w:color w:val="000000"/>
                                  <w:sz w:val="22"/>
                                  <w:szCs w:val="22"/>
                                  <w:lang w:eastAsia="lt-LT"/>
                                </w:rPr>
                                <w:t>17</w:t>
                              </w:r>
                            </w:sdtContent>
                          </w:sdt>
                          <w:r>
                            <w:rPr>
                              <w:color w:val="000000"/>
                              <w:sz w:val="22"/>
                              <w:szCs w:val="22"/>
                              <w:lang w:eastAsia="lt-LT"/>
                            </w:rPr>
                            <w:t xml:space="preserve">. Už licencijos asmens sveikatos priežiūros veiklai išdavimą, patikslinimą, popierinės formos licencijos asmens sveikatos priežiūros veiklai dublikato išdavimą mokama nustatyto dydžio valstybės rinkliava. </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2cf94eb495cc4ed9bfb039cd0b99c811"/>
                    <w:lock w:val="sdtLocked"/>
                    <w:richText/>
                  </w:sdtPr>
                  <w:sdtContent>
                    <w:p>
                      <w:pPr>
                        <w:ind w:left="2268" w:hanging="1548"/>
                        <w:jc w:val="both"/>
                        <w:rPr>
                          <w:b/>
                          <w:bCs/>
                          <w:sz w:val="22"/>
                          <w:szCs w:val="24"/>
                          <w:lang w:eastAsia="lt-LT"/>
                        </w:rPr>
                      </w:pPr>
                      <w:sdt>
                        <w:sdtPr>
                          <w:alias w:val="Numeris"/>
                          <w:tag w:val="nr_2cf94eb495cc4ed9bfb039cd0b99c811"/>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2cf94eb495cc4ed9bfb039cd0b99c811"/>
                          <w:lock w:val="sdtLocked"/>
                          <w:richText/>
                        </w:sdtPr>
                        <w:sdtContent>
                          <w:r>
                            <w:rPr>
                              <w:b/>
                              <w:bCs/>
                              <w:sz w:val="22"/>
                              <w:szCs w:val="24"/>
                              <w:lang w:eastAsia="lt-LT"/>
                            </w:rPr>
                            <w:t>LNSS biudžetinių ir viešųjų įstaigų, jų padalinių, filialų vadovų ir sveikatos priežiūros specialistų priėmimo į darbą tvarka</w:t>
                          </w:r>
                        </w:sdtContent>
                      </w:sdt>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57bdefb5b95f484fa1396eda782aa601"/>
                        <w:lock w:val="sdtLocked"/>
                        <w:richText/>
                      </w:sdtPr>
                      <w:sdtContent>
                        <w:p>
                          <w:pPr>
                            <w:ind w:firstLine="720"/>
                            <w:jc w:val="both"/>
                            <w:rPr>
                              <w:sz w:val="22"/>
                              <w:szCs w:val="24"/>
                              <w:lang w:eastAsia="lt-LT"/>
                            </w:rPr>
                          </w:pPr>
                          <w:sdt>
                            <w:sdtPr>
                              <w:alias w:val="Numeris"/>
                              <w:tag w:val="nr_57bdefb5b95f484fa1396eda782aa601"/>
                              <w:lock w:val="sdtLocked"/>
                              <w:richText/>
                            </w:sdtPr>
                            <w:sdtContent>
                              <w:r>
                                <w:rPr>
                                  <w:sz w:val="22"/>
                                  <w:szCs w:val="24"/>
                                  <w:lang w:eastAsia="lt-LT"/>
                                </w:rPr>
                                <w:t>6</w:t>
                              </w:r>
                            </w:sdtContent>
                          </w:sdt>
                          <w:r>
                            <w:rPr>
                              <w:sz w:val="22"/>
                              <w:szCs w:val="24"/>
                              <w:lang w:eastAsia="lt-LT"/>
                            </w:rPr>
                            <w:t>.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sdtContent>
                    </w:sdt>
                    <w:sdt>
                      <w:sdtPr>
                        <w:alias w:val="15 str. 7 d."/>
                        <w:tag w:val="part_296edf1708c14b5c8766326ba2e6f2aa"/>
                        <w:lock w:val="sdtLocked"/>
                        <w:richText/>
                      </w:sdtPr>
                      <w:sdtContent>
                        <w:p>
                          <w:pPr>
                            <w:ind w:firstLine="720"/>
                            <w:jc w:val="both"/>
                            <w:rPr>
                              <w:sz w:val="22"/>
                              <w:szCs w:val="24"/>
                              <w:lang w:eastAsia="lt-LT"/>
                            </w:rPr>
                          </w:pPr>
                          <w:sdt>
                            <w:sdtPr>
                              <w:alias w:val="Numeris"/>
                              <w:tag w:val="nr_296edf1708c14b5c8766326ba2e6f2aa"/>
                              <w:lock w:val="sdtLocked"/>
                              <w:richText/>
                            </w:sdtPr>
                            <w:sdtContent>
                              <w:r>
                                <w:rPr>
                                  <w:sz w:val="22"/>
                                  <w:szCs w:val="24"/>
                                  <w:lang w:eastAsia="lt-LT"/>
                                </w:rPr>
                                <w:t>7</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0fa839f3c6084a17bbbb4dac6b173cff"/>
                        <w:lock w:val="sdtLocked"/>
                        <w:richText/>
                      </w:sdtPr>
                      <w:sdtContent>
                        <w:p>
                          <w:pPr>
                            <w:ind w:firstLine="720"/>
                            <w:jc w:val="both"/>
                            <w:rPr>
                              <w:sz w:val="22"/>
                            </w:rPr>
                          </w:pPr>
                          <w:sdt>
                            <w:sdtPr>
                              <w:alias w:val="Numeris"/>
                              <w:tag w:val="nr_0fa839f3c6084a17bbbb4dac6b173cff"/>
                              <w:lock w:val="sdtLocked"/>
                              <w:richText/>
                            </w:sdtPr>
                            <w:sdtContent>
                              <w:r>
                                <w:rPr>
                                  <w:sz w:val="22"/>
                                  <w:szCs w:val="22"/>
                                </w:rPr>
                                <w:t>8</w:t>
                              </w:r>
                            </w:sdtContent>
                          </w:sdt>
                          <w:r>
                            <w:rPr>
                              <w:sz w:val="22"/>
                              <w:szCs w:val="22"/>
                            </w:rPr>
                            <w:t xml:space="preserve">. LNSS viešųjų įstaigų vadovaujantiesiems darbuotojams, su kuriais nutraukiama darbo sutartis šalių susitarimu pagal </w:t>
                          </w:r>
                          <w:r>
                            <w:rPr>
                              <w:iCs/>
                              <w:sz w:val="22"/>
                              <w:szCs w:val="22"/>
                            </w:rPr>
                            <w:t>Darbo kodekso</w:t>
                          </w:r>
                          <w:r>
                            <w:rPr>
                              <w:sz w:val="22"/>
                              <w:szCs w:val="22"/>
                            </w:rPr>
                            <w:t xml:space="preserve"> </w:t>
                          </w:r>
                          <w:r>
                            <w:rPr>
                              <w:iCs/>
                              <w:sz w:val="22"/>
                              <w:szCs w:val="22"/>
                            </w:rPr>
                            <w:t>125</w:t>
                          </w:r>
                          <w:r>
                            <w:rPr>
                              <w:sz w:val="22"/>
                              <w:szCs w:val="22"/>
                            </w:rPr>
                            <w:t xml:space="preserve"> straipsnį, gali būti išmokamos kompensacijos, kurių suma negali viršyti trijų jų vidutinių mėnesinių darbo užmokesčių, apskaičiuotų Vyriausybės nustatyta tvarka.</w:t>
                          </w:r>
                        </w:p>
                      </w:sdtContent>
                    </w:sdt>
                    <w:p>
                      <w:pPr>
                        <w:jc w:val="both"/>
                        <w:rPr>
                          <w:i/>
                          <w:sz w:val="20"/>
                        </w:rPr>
                      </w:pPr>
                      <w:r>
                        <w:rPr>
                          <w:i/>
                          <w:sz w:val="20"/>
                        </w:rPr>
                        <w:t>Įstatymas papildytas straipsniu:</w:t>
                      </w:r>
                    </w:p>
                    <w:p>
                      <w:pPr>
                        <w:rPr>
                          <w:i/>
                          <w:sz w:val="20"/>
                        </w:rPr>
                      </w:pPr>
                      <w:r>
                        <w:rPr>
                          <w:i/>
                          <w:sz w:val="20"/>
                        </w:rPr>
                        <w:t xml:space="preserve">Nr. </w:t>
                      </w:r>
                      <w:hyperlink r:id="rId27"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8"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IX-593</w:t>
                            </w:r>
                          </w:hyperlink>
                          <w:r>
                            <w:rPr>
                              <w:i/>
                              <w:sz w:val="20"/>
                            </w:rPr>
                            <w:t>, 2001-11-13, Žin., 2001, Nr. 97-3419 (2001-11-21)</w:t>
                          </w:r>
                        </w:p>
                        <w:p>
                          <w:r>
                            <w:rPr>
                              <w:rFonts w:eastAsia="MS Mincho"/>
                              <w:i/>
                              <w:iCs/>
                              <w:sz w:val="20"/>
                            </w:rPr>
                            <w:t xml:space="preserve">Nr. </w:t>
                          </w:r>
                          <w:hyperlink r:id="rId73"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336b77c5fa5d4a6fbb7f9ae8667aad4a"/>
                        <w:lock w:val="sdtLocked"/>
                        <w:richText/>
                      </w:sdtPr>
                      <w:sdtContent>
                        <w:p>
                          <w:pPr>
                            <w:ind w:firstLine="720"/>
                            <w:jc w:val="both"/>
                            <w:rPr>
                              <w:sz w:val="22"/>
                            </w:rPr>
                          </w:pPr>
                          <w:sdt>
                            <w:sdtPr>
                              <w:alias w:val="Numeris"/>
                              <w:tag w:val="nr_336b77c5fa5d4a6fbb7f9ae8667aad4a"/>
                              <w:lock w:val="sdtLocked"/>
                              <w:richText/>
                            </w:sdtPr>
                            <w:sdtContent>
                              <w:r>
                                <w:rPr>
                                  <w:sz w:val="22"/>
                                </w:rPr>
                                <w:t>5</w:t>
                              </w:r>
                            </w:sdtContent>
                          </w:sdt>
                          <w:r>
                            <w:rPr>
                              <w:sz w:val="22"/>
                            </w:rPr>
                            <w:t>.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pPr>
                            <w:ind w:firstLine="720"/>
                            <w:rPr>
                              <w:sz w:val="22"/>
                            </w:rPr>
                          </w:pPr>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14bf32f8389549d5acbde58d672e70d6"/>
                        <w:lock w:val="sdtLocked"/>
                        <w:richText/>
                      </w:sdtPr>
                      <w:sdtContent>
                        <w:p>
                          <w:pPr>
                            <w:ind w:firstLine="720"/>
                            <w:jc w:val="both"/>
                            <w:rPr>
                              <w:sz w:val="22"/>
                            </w:rPr>
                          </w:pPr>
                          <w:sdt>
                            <w:sdtPr>
                              <w:alias w:val="Numeris"/>
                              <w:tag w:val="nr_14bf32f8389549d5acbde58d672e70d6"/>
                              <w:lock w:val="sdtLocked"/>
                              <w:richText/>
                            </w:sdtPr>
                            <w:sdtContent>
                              <w:r>
                                <w:rPr>
                                  <w:sz w:val="22"/>
                                </w:rPr>
                                <w:t>1</w:t>
                              </w:r>
                            </w:sdtContent>
                          </w:sdt>
                          <w:r>
                            <w:rPr>
                              <w:sz w:val="22"/>
                            </w:rPr>
                            <w:t>.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0"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3"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e032d4ea078b4a1a8c0f88351d8440c2"/>
                        <w:lock w:val="sdtLocked"/>
                        <w:richText/>
                      </w:sdtPr>
                      <w:sdtContent>
                        <w:p>
                          <w:pPr>
                            <w:tabs>
                              <w:tab w:val="left" w:pos="709"/>
                            </w:tabs>
                            <w:ind w:firstLine="720"/>
                            <w:jc w:val="both"/>
                            <w:rPr>
                              <w:sz w:val="22"/>
                            </w:rPr>
                          </w:pPr>
                          <w:sdt>
                            <w:sdtPr>
                              <w:alias w:val="Numeris"/>
                              <w:tag w:val="nr_e032d4ea078b4a1a8c0f88351d8440c2"/>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c113088fa25f4f4c8c08ef4728605542"/>
                            <w:lock w:val="sdtLocked"/>
                            <w:richText/>
                          </w:sdtPr>
                          <w:sdtContent>
                            <w:p>
                              <w:pPr>
                                <w:ind w:firstLine="720"/>
                                <w:jc w:val="both"/>
                                <w:rPr>
                                  <w:sz w:val="22"/>
                                </w:rPr>
                              </w:pPr>
                              <w:sdt>
                                <w:sdtPr>
                                  <w:alias w:val="Numeris"/>
                                  <w:tag w:val="nr_c113088fa25f4f4c8c08ef4728605542"/>
                                  <w:lock w:val="sdtLocked"/>
                                  <w:richText/>
                                </w:sdtPr>
                                <w:sdtContent>
                                  <w:r>
                                    <w:rPr>
                                      <w:sz w:val="22"/>
                                    </w:rPr>
                                    <w:t>8</w:t>
                                  </w:r>
                                </w:sdtContent>
                              </w:sdt>
                              <w:r>
                                <w:rPr>
                                  <w:sz w:val="22"/>
                                </w:rPr>
                                <w:t>) viešo konkurso administracijos, padalinių, filialų vadovų priėmimo į darbą organizavimo ir sveikatos priežiūros specialistų priėmimo į darbą tvarka;</w:t>
                              </w:r>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 d."/>
                            <w:tag w:val="part_acc834100d8c41a899e99f685ba2518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cc834100d8c41a899e99f685ba25182"/>
                                  <w:lock w:val="sdtLocked"/>
                                  <w:richText/>
                                </w:sdtPr>
                                <w:sdtContent>
                                  <w:r>
                                    <w:rPr>
                                      <w:color w:val="000000"/>
                                      <w:sz w:val="22"/>
                                      <w:szCs w:val="22"/>
                                      <w:lang w:eastAsia="lt-LT"/>
                                    </w:rPr>
                                    <w:t>3</w:t>
                                  </w:r>
                                </w:sdtContent>
                              </w:sdt>
                              <w:r>
                                <w:rPr>
                                  <w:color w:val="000000"/>
                                  <w:sz w:val="22"/>
                                  <w:szCs w:val="22"/>
                                  <w:lang w:eastAsia="lt-LT"/>
                                </w:rPr>
                                <w:t>. Šio straipsnio 1 dalyje nurodytos įstaigos savivaldybės tarybos motyvuotu sprendimu gali veikti kaip atskiri juridiniai asmenys arba kaip šio straipsnio 1 dalyje nurodytų įstaigų padaliniai (filialai).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7"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9"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1"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2"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9708727b4160482fb0eab3310a2fda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ca2bf9a0bc684e089425e596ce11b4f9"/>
                            <w:lock w:val="sdtLocked"/>
                            <w:richText/>
                          </w:sdtPr>
                          <w:sdtContent>
                            <w:p>
                              <w:pPr>
                                <w:ind w:firstLine="720"/>
                                <w:jc w:val="both"/>
                              </w:pPr>
                              <w:sdt>
                                <w:sdtPr>
                                  <w:alias w:val="Numeris"/>
                                  <w:tag w:val="nr_ca2bf9a0bc684e089425e596ce11b4f9"/>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3 p."/>
                            <w:tag w:val="part_5e9c2388498a4fdf80f3c2977e0b26e8"/>
                            <w:lock w:val="sdtLocked"/>
                            <w:richText/>
                          </w:sdtPr>
                          <w:sdtContent>
                            <w:p>
                              <w:pPr>
                                <w:ind w:firstLine="720"/>
                                <w:jc w:val="both"/>
                              </w:pPr>
                              <w:sdt>
                                <w:sdtPr>
                                  <w:alias w:val="Numeris"/>
                                  <w:tag w:val="nr_5e9c2388498a4fdf80f3c2977e0b26e8"/>
                                  <w:lock w:val="sdtLocked"/>
                                  <w:richText/>
                                </w:sdtPr>
                                <w:sdtContent>
                                  <w:r>
                                    <w:rPr>
                                      <w:color w:val="000000"/>
                                      <w:sz w:val="22"/>
                                      <w:szCs w:val="22"/>
                                      <w:lang w:eastAsia="lt-LT"/>
                                    </w:rPr>
                                    <w:t>13</w:t>
                                  </w:r>
                                </w:sdtContent>
                              </w:sdt>
                              <w:r>
                                <w:rPr>
                                  <w:color w:val="000000"/>
                                  <w:sz w:val="22"/>
                                  <w:szCs w:val="22"/>
                                  <w:lang w:eastAsia="lt-LT"/>
                                </w:rPr>
                                <w:t xml:space="preserve">) naudoti, instaliuoti ir prižiūrėti medicinos priemones </w:t>
                              </w:r>
                              <w:r>
                                <w:rPr>
                                  <w:bCs/>
                                  <w:color w:val="000000"/>
                                  <w:sz w:val="22"/>
                                  <w:szCs w:val="22"/>
                                  <w:lang w:eastAsia="lt-LT"/>
                                </w:rPr>
                                <w:t>vadovaujantis gamintojo su medicinos priemonėmis pateikiama informacija ir laikantis sveikatos apsaugos ministro nustatytų reikalavimų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4 p."/>
                            <w:tag w:val="part_c4474913698f415fa5565580244a9f45"/>
                            <w:lock w:val="sdtLocked"/>
                            <w:richText/>
                          </w:sdtPr>
                          <w:sdtContent>
                            <w:p>
                              <w:pPr>
                                <w:ind w:firstLine="720"/>
                                <w:jc w:val="both"/>
                              </w:pPr>
                              <w:sdt>
                                <w:sdtPr>
                                  <w:alias w:val="Numeris"/>
                                  <w:tag w:val="nr_c4474913698f415fa5565580244a9f45"/>
                                  <w:lock w:val="sdtLocked"/>
                                  <w:richText/>
                                </w:sdtPr>
                                <w:sdtContent>
                                  <w:r>
                                    <w:rPr>
                                      <w:color w:val="000000"/>
                                      <w:sz w:val="22"/>
                                      <w:szCs w:val="22"/>
                                      <w:lang w:eastAsia="lt-LT"/>
                                    </w:rPr>
                                    <w:t>14</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5 p."/>
                            <w:tag w:val="part_1be573b2ef9f4ff49957a67233868818"/>
                            <w:lock w:val="sdtLocked"/>
                            <w:richText/>
                          </w:sdtPr>
                          <w:sdtContent>
                            <w:p>
                              <w:pPr>
                                <w:ind w:firstLine="720"/>
                                <w:jc w:val="both"/>
                              </w:pPr>
                              <w:sdt>
                                <w:sdtPr>
                                  <w:alias w:val="Numeris"/>
                                  <w:tag w:val="nr_1be573b2ef9f4ff49957a67233868818"/>
                                  <w:lock w:val="sdtLocked"/>
                                  <w:richText/>
                                </w:sdtPr>
                                <w:sdtContent>
                                  <w:r>
                                    <w:rPr>
                                      <w:color w:val="000000"/>
                                      <w:sz w:val="22"/>
                                      <w:szCs w:val="22"/>
                                      <w:lang w:eastAsia="lt-LT"/>
                                    </w:rPr>
                                    <w:t>15</w:t>
                                  </w:r>
                                </w:sdtContent>
                              </w:sdt>
                              <w:r>
                                <w:rPr>
                                  <w:color w:val="000000"/>
                                  <w:sz w:val="22"/>
                                  <w:szCs w:val="22"/>
                                  <w:lang w:eastAsia="lt-LT"/>
                                </w:rPr>
                                <w:t>) sveikatos apsaugos ministro nustatyta tvarka registruoti ir teikti informaciją apie incidentus, susijusius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6 p."/>
                            <w:tag w:val="part_7f8c59b8babd460abf941ffc93ba4012"/>
                            <w:lock w:val="sdtLocked"/>
                            <w:richText/>
                          </w:sdtPr>
                          <w:sdtContent>
                            <w:p>
                              <w:pPr>
                                <w:ind w:firstLine="720"/>
                                <w:jc w:val="both"/>
                                <w:rPr>
                                  <w:b/>
                                  <w:sz w:val="22"/>
                                  <w:szCs w:val="22"/>
                                </w:rPr>
                              </w:pPr>
                              <w:sdt>
                                <w:sdtPr>
                                  <w:alias w:val="Numeris"/>
                                  <w:tag w:val="nr_7f8c59b8babd460abf941ffc93ba4012"/>
                                  <w:lock w:val="sdtLocked"/>
                                  <w:richText/>
                                </w:sdtPr>
                                <w:sdtContent>
                                  <w:r>
                                    <w:rPr>
                                      <w:color w:val="000000"/>
                                      <w:sz w:val="22"/>
                                      <w:szCs w:val="22"/>
                                      <w:lang w:eastAsia="lt-LT"/>
                                    </w:rPr>
                                    <w:t>16</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5"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6"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335a0fb9df140e6a8535575bc61b8d1"/>
                        <w:lock w:val="sdtLocked"/>
                        <w:richText/>
                      </w:sdtPr>
                      <w:sdtContent>
                        <w:p>
                          <w:pPr>
                            <w:ind w:firstLine="720"/>
                            <w:jc w:val="both"/>
                            <w:rPr>
                              <w:color w:val="000000"/>
                              <w:sz w:val="22"/>
                              <w:szCs w:val="22"/>
                              <w:lang w:eastAsia="lt-LT"/>
                            </w:rPr>
                          </w:pPr>
                          <w:sdt>
                            <w:sdtPr>
                              <w:alias w:val="Numeris"/>
                              <w:tag w:val="nr_1335a0fb9df140e6a8535575bc61b8d1"/>
                              <w:lock w:val="sdtLocked"/>
                              <w:richText/>
                            </w:sdtPr>
                            <w:sdtContent>
                              <w:r>
                                <w:rPr>
                                  <w:color w:val="000000"/>
                                  <w:sz w:val="22"/>
                                  <w:szCs w:val="22"/>
                                  <w:lang w:eastAsia="lt-LT"/>
                                </w:rPr>
                                <w:t>2</w:t>
                              </w:r>
                            </w:sdtContent>
                          </w:sdt>
                          <w:r>
                            <w:rPr>
                              <w:color w:val="000000"/>
                              <w:sz w:val="22"/>
                              <w:szCs w:val="22"/>
                              <w:lang w:eastAsia="lt-LT"/>
                            </w:rPr>
                            <w:t xml:space="preserve">) reikalauti ir gauti visą reikalingą informaciją, dokumentus, medžiagą, laboratorinius mėginius, ligonių medicininių apžiūrų ir tyrimų duomenis, įstaigos vadovų ir kitų darbuotojų žodinius ir rašytinius paaiškinimus, kurie reikalingi patikrinimui atlikti; </w:t>
                          </w:r>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44f15e0efb5f4ca5a1191bf0f21631d2"/>
                        <w:lock w:val="sdtLocked"/>
                        <w:richText/>
                      </w:sdtPr>
                      <w:sdtContent>
                        <w:p>
                          <w:pPr>
                            <w:ind w:firstLine="720"/>
                            <w:jc w:val="both"/>
                            <w:rPr>
                              <w:color w:val="000000"/>
                              <w:sz w:val="22"/>
                              <w:szCs w:val="22"/>
                              <w:lang w:eastAsia="lt-LT"/>
                            </w:rPr>
                          </w:pPr>
                          <w:sdt>
                            <w:sdtPr>
                              <w:alias w:val="Numeris"/>
                              <w:tag w:val="nr_44f15e0efb5f4ca5a1191bf0f21631d2"/>
                              <w:lock w:val="sdtLocked"/>
                              <w:richText/>
                            </w:sdtPr>
                            <w:sdtContent>
                              <w:r>
                                <w:rPr>
                                  <w:color w:val="000000"/>
                                  <w:sz w:val="22"/>
                                  <w:szCs w:val="22"/>
                                  <w:lang w:eastAsia="lt-LT"/>
                                </w:rPr>
                                <w:t>1</w:t>
                              </w:r>
                            </w:sdtContent>
                          </w:sdt>
                          <w:r>
                            <w:rPr>
                              <w:color w:val="000000"/>
                              <w:sz w:val="22"/>
                              <w:szCs w:val="22"/>
                              <w:lang w:eastAsia="lt-LT"/>
                            </w:rPr>
                            <w:t>) įstaiga arba jos padalinys (filialas) verčiasi veikla, kuriai neturi licencijos ar akreditavimo pažymėjimo;</w:t>
                          </w:r>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5"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59 str. 3 d."/>
                    <w:tag w:val="part_1f02ef4e1da64682a09bacf8f250d37d"/>
                    <w:lock w:val="sdtLocked"/>
                    <w:richText/>
                  </w:sdtPr>
                  <w:sdtContent>
                    <w:p>
                      <w:pPr>
                        <w:ind w:firstLine="720"/>
                        <w:jc w:val="both"/>
                        <w:rPr>
                          <w:b/>
                          <w:sz w:val="22"/>
                        </w:rPr>
                      </w:pPr>
                      <w:sdt>
                        <w:sdtPr>
                          <w:alias w:val="Numeris"/>
                          <w:tag w:val="nr_1f02ef4e1da64682a09bacf8f250d37d"/>
                          <w:lock w:val="sdtLocked"/>
                          <w:richText/>
                        </w:sdtPr>
                        <w:sdtContent>
                          <w:r>
                            <w:rPr>
                              <w:color w:val="000000"/>
                              <w:sz w:val="22"/>
                              <w:szCs w:val="22"/>
                            </w:rPr>
                            <w:t>3</w:t>
                          </w:r>
                        </w:sdtContent>
                      </w:sdt>
                      <w:r>
                        <w:rPr>
                          <w:color w:val="000000"/>
                          <w:sz w:val="22"/>
                          <w:szCs w:val="22"/>
                        </w:rPr>
                        <w:t>. Sprendimas dėl įstaigų kontrolės priemonių taikymo, išskyrus šio įstatymo 58 straipsnio 1 dalies 2 punkte nurodytą priemonę,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1"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5"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6"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7"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1"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2"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6"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1"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2AF73A6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fontTable" Target="fontTable.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403098&amp;b="/>
  <Relationship Id="rId28" Type="http://schemas.openxmlformats.org/officeDocument/2006/relationships/hyperlink" TargetMode="External" Target="http://www3.lrs.lt/cgi-bin/preps2?a=415907&amp;b="/>
  <Relationship Id="rId29" Type="http://schemas.openxmlformats.org/officeDocument/2006/relationships/hyperlink" TargetMode="External" Target="http://www3.lrs.lt/cgi-bin/preps2?a=370351&amp;b="/>
  <Relationship Id="rId3" Type="http://schemas.openxmlformats.org/officeDocument/2006/relationships/footnotes" Target="footnotes.xml"/>
  <Relationship Id="rId30" Type="http://schemas.openxmlformats.org/officeDocument/2006/relationships/hyperlink" TargetMode="External" Target="http://www3.lrs.lt/cgi-bin/preps2?Condition1=110176&amp;Condition2="/>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413466&amp;b="/>
  <Relationship Id="rId34" Type="http://schemas.openxmlformats.org/officeDocument/2006/relationships/hyperlink" TargetMode="External" Target="http://www3.lrs.lt/cgi-bin/preps2?a=370351&amp;b="/>
  <Relationship Id="rId35" Type="http://schemas.openxmlformats.org/officeDocument/2006/relationships/hyperlink" TargetMode="External" Target="http://www3.lrs.lt/cgi-bin/preps2?a=291838&amp;b="/>
  <Relationship Id="rId36" Type="http://schemas.openxmlformats.org/officeDocument/2006/relationships/hyperlink" TargetMode="External" Target="http://www3.lrs.lt/cgi-bin/preps2?a=224476&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291838&amp;b="/>
  <Relationship Id="rId39" Type="http://schemas.openxmlformats.org/officeDocument/2006/relationships/hyperlink" TargetMode="External" Target="http://www3.lrs.lt/cgi-bin/preps2?a=370351&amp;b="/>
  <Relationship Id="rId4" Type="http://schemas.openxmlformats.org/officeDocument/2006/relationships/hyperlink" TargetMode="External" Target="http://www3.lrs.lt/cgi-bin/preps2?Condition1=105660&amp;Condition2="/>
  <Relationship Id="rId40" Type="http://schemas.openxmlformats.org/officeDocument/2006/relationships/hyperlink" TargetMode="External" Target="http://www3.lrs.lt/cgi-bin/preps2?a=370351&amp;b="/>
  <Relationship Id="rId41" Type="http://schemas.openxmlformats.org/officeDocument/2006/relationships/hyperlink" TargetMode="External" Target="http://www3.lrs.lt/cgi-bin/preps2?a=403285&amp;b="/>
  <Relationship Id="rId42" Type="http://schemas.openxmlformats.org/officeDocument/2006/relationships/hyperlink" TargetMode="External" Target="http://www3.lrs.lt/cgi-bin/preps2?a=449242&amp;b="/>
  <Relationship Id="rId43" Type="http://schemas.openxmlformats.org/officeDocument/2006/relationships/hyperlink" TargetMode="External" Target="http://www3.lrs.lt/cgi-bin/preps2?a=312024&amp;b="/>
  <Relationship Id="rId44" Type="http://schemas.openxmlformats.org/officeDocument/2006/relationships/hyperlink" TargetMode="External" Target="http://www3.lrs.lt/cgi-bin/preps2?Condition1=105660&amp;Condition2="/>
  <Relationship Id="rId45" Type="http://schemas.openxmlformats.org/officeDocument/2006/relationships/hyperlink" TargetMode="External" Target="http://www3.lrs.lt/cgi-bin/preps2?a=413466&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a=436948&amp;b="/>
  <Relationship Id="rId49" Type="http://schemas.openxmlformats.org/officeDocument/2006/relationships/hyperlink" TargetMode="External" Target="http://www3.lrs.lt/cgi-bin/preps2?Condition1=93337&amp;Condition2="/>
  <Relationship Id="rId5" Type="http://schemas.openxmlformats.org/officeDocument/2006/relationships/hyperlink" TargetMode="External" Target="http://www3.lrs.lt/cgi-bin/preps2?a=131446&amp;b="/>
  <Relationship Id="rId50" Type="http://schemas.openxmlformats.org/officeDocument/2006/relationships/hyperlink" TargetMode="External" Target="http://www3.lrs.lt/cgi-bin/preps2?Condition1=41104&amp;Condition2="/>
  <Relationship Id="rId51" Type="http://schemas.openxmlformats.org/officeDocument/2006/relationships/hyperlink" TargetMode="External" Target="http://www3.lrs.lt/cgi-bin/preps2?Condition1=68391&amp;Condition2="/>
  <Relationship Id="rId52" Type="http://schemas.openxmlformats.org/officeDocument/2006/relationships/hyperlink" TargetMode="External" Target="http://www3.lrs.lt/cgi-bin/preps2?Condition1=93337&amp;Condition2="/>
  <Relationship Id="rId53" Type="http://schemas.openxmlformats.org/officeDocument/2006/relationships/hyperlink" TargetMode="External" Target="http://www3.lrs.lt/cgi-bin/preps2?Condition1=105660&amp;Condition2="/>
  <Relationship Id="rId54" Type="http://schemas.openxmlformats.org/officeDocument/2006/relationships/hyperlink" TargetMode="External" Target="http://www3.lrs.lt/cgi-bin/preps2?Condition1=110176&amp;Condition2="/>
  <Relationship Id="rId55" Type="http://schemas.openxmlformats.org/officeDocument/2006/relationships/hyperlink" TargetMode="External" Target="http://www3.lrs.lt/cgi-bin/preps2?Condition1=111853&amp;Condition2="/>
  <Relationship Id="rId56" Type="http://schemas.openxmlformats.org/officeDocument/2006/relationships/hyperlink" TargetMode="External" Target="http://www3.lrs.lt/cgi-bin/preps2?a=131446&amp;b="/>
  <Relationship Id="rId57" Type="http://schemas.openxmlformats.org/officeDocument/2006/relationships/hyperlink" TargetMode="External" Target="http://www3.lrs.lt/cgi-bin/preps2?a=154168&amp;b="/>
  <Relationship Id="rId58" Type="http://schemas.openxmlformats.org/officeDocument/2006/relationships/hyperlink" TargetMode="External" Target="http://www3.lrs.lt/cgi-bin/preps2?a=224476&amp;b="/>
  <Relationship Id="rId59" Type="http://schemas.openxmlformats.org/officeDocument/2006/relationships/hyperlink" TargetMode="External" Target="http://www3.lrs.lt/cgi-bin/preps2?a=291838&amp;b="/>
  <Relationship Id="rId6" Type="http://schemas.openxmlformats.org/officeDocument/2006/relationships/hyperlink" TargetMode="External" Target="http://www3.lrs.lt/cgi-bin/preps2?a=374932&amp;b="/>
  <Relationship Id="rId60" Type="http://schemas.openxmlformats.org/officeDocument/2006/relationships/hyperlink" TargetMode="External" Target="http://www3.lrs.lt/cgi-bin/preps2?a=300834&amp;b="/>
  <Relationship Id="rId61" Type="http://schemas.openxmlformats.org/officeDocument/2006/relationships/hyperlink" TargetMode="External" Target="http://www3.lrs.lt/cgi-bin/preps2?a=312024&amp;b="/>
  <Relationship Id="rId62" Type="http://schemas.openxmlformats.org/officeDocument/2006/relationships/hyperlink" TargetMode="External" Target="http://www3.lrs.lt/cgi-bin/preps2?a=370351&amp;b="/>
  <Relationship Id="rId63" Type="http://schemas.openxmlformats.org/officeDocument/2006/relationships/hyperlink" TargetMode="External" Target="http://www3.lrs.lt/cgi-bin/preps2?a=374932&amp;b="/>
  <Relationship Id="rId64" Type="http://schemas.openxmlformats.org/officeDocument/2006/relationships/hyperlink" TargetMode="External" Target="http://www3.lrs.lt/cgi-bin/preps2?a=386463&amp;b="/>
  <Relationship Id="rId65" Type="http://schemas.openxmlformats.org/officeDocument/2006/relationships/hyperlink" TargetMode="External" Target="http://www3.lrs.lt/cgi-bin/preps2?a=403098&amp;b="/>
  <Relationship Id="rId66" Type="http://schemas.openxmlformats.org/officeDocument/2006/relationships/hyperlink" TargetMode="External" Target="http://www3.lrs.lt/cgi-bin/preps2?a=415907&amp;b="/>
  <Relationship Id="rId67" Type="http://schemas.openxmlformats.org/officeDocument/2006/relationships/hyperlink" TargetMode="External" Target="http://www3.lrs.lt/cgi-bin/preps2?a=403285&amp;b="/>
  <Relationship Id="rId68" Type="http://schemas.openxmlformats.org/officeDocument/2006/relationships/hyperlink" TargetMode="External" Target="http://www3.lrs.lt/cgi-bin/preps2?a=413466&amp;b="/>
  <Relationship Id="rId69" Type="http://schemas.openxmlformats.org/officeDocument/2006/relationships/hyperlink" TargetMode="External" Target="http://www3.lrs.lt/cgi-bin/preps2?a=413477&amp;b="/>
  <Relationship Id="rId7" Type="http://schemas.openxmlformats.org/officeDocument/2006/relationships/hyperlink" TargetMode="External" Target="http://www3.lrs.lt/cgi-bin/preps2?a=413466&amp;b="/>
  <Relationship Id="rId70" Type="http://schemas.openxmlformats.org/officeDocument/2006/relationships/hyperlink" TargetMode="External" Target="http://www3.lrs.lt/cgi-bin/preps2?a=436948&amp;b="/>
  <Relationship Id="rId71" Type="http://schemas.openxmlformats.org/officeDocument/2006/relationships/hyperlink" TargetMode="External" Target="http://www3.lrs.lt/cgi-bin/preps2?a=449242&amp;b="/>
  <Relationship Id="rId72" Type="http://schemas.openxmlformats.org/officeDocument/2006/relationships/hyperlink" TargetMode="External" Target="http://www3.lrs.lt/cgi-bin/preps2?a=154168&amp;b="/>
  <Relationship Id="rId73" Type="http://schemas.openxmlformats.org/officeDocument/2006/relationships/hyperlink" TargetMode="External" Target="http://www3.lrs.lt/cgi-bin/preps2?a=291838&amp;b="/>
  <Relationship Id="rId74" Type="http://schemas.openxmlformats.org/officeDocument/2006/relationships/hyperlink" TargetMode="External" Target="http://www3.lrs.lt/cgi-bin/preps2?Condition1=105660&amp;Condition2="/>
  <Relationship Id="rId75" Type="http://schemas.openxmlformats.org/officeDocument/2006/relationships/hyperlink" TargetMode="External" Target="http://www3.lrs.lt/cgi-bin/preps2?a=413466&amp;b="/>
  <Relationship Id="rId76" Type="http://schemas.openxmlformats.org/officeDocument/2006/relationships/hyperlink" TargetMode="External" Target="http://www3.lrs.lt/cgi-bin/preps2?a=436948&amp;b="/>
  <Relationship Id="rId77" Type="http://schemas.openxmlformats.org/officeDocument/2006/relationships/customXml" Target="../customXml/item1.xml"/>
  <Relationship Id="rId8" Type="http://schemas.openxmlformats.org/officeDocument/2006/relationships/hyperlink" TargetMode="External" Target="http://www3.lrs.lt/cgi-bin/preps2?a=436948&amp;b="/>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fd1cf7d664bf4bef8720e2fd3a2589c8">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c8d7a7af13764fd2a3a9dab57d54c6ed"/>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65806c4aec1a4f87b1d4c91ab7f5e1e3">
          <Part Type="strDalis" Nr="1" Abbr="5 str. 1 d." DocPartId="24643503c3f6482987114b58136752cf" PartId="c6e743050cc24f849698de5ec81861f4"/>
          <Part Type="strDalis" Nr="2" Abbr="5 str. 2 d." DocPartId="cdc6cf749f314545b9e4ca0b394daacc" PartId="88d1591cd456407c80f8a8dc09e041ab"/>
          <Part Type="strDalis" Nr="3" Abbr="5 str. 3 d." DocPartId="e168f177f36f4774a75f97d28cb1e26f" PartId="04d58364419a411abee029bd7643aab4"/>
          <Part Type="strDalis" Nr="4" Abbr="5 str. 4 d." DocPartId="031b5e553ed24d29854dbb74bf7855c5" PartId="5550114a7a844984bfab57ef8d6fe4da"/>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39845ad515154db9aa43239ea266b418"/>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2d775fe085334314a169591c6f4974e4"/>
          </Part>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d7e7365f3ac47c6ae9d66d3e76c57da"/>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e0a8f9ecd73b4e6e86b7337e36235184"/>
          <Part Type="strDalis" Nr="17" Abbr="5 str. 17 d." DocPartId="53f886120fe24f1daf4a8e40b05b634e" PartId="89b44ade16094ecf9f7158700b191a7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LNSS biudžetinių ir viešųjų įstaigų, jų padalinių, filialų vadovų ir sveikatos priežiūros specialistų priėmimo į darbą tvarka" DocPartId="a8efbd586cd44d37801e2026a7a5b313" PartId="2cf94eb495cc4ed9bfb039cd0b99c811">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57bdefb5b95f484fa1396eda782aa601"/>
          <Part Type="strDalis" Nr="7" Abbr="15 str. 7 d." DocPartId="612ad550f0c04fb6a8959d320f68c35e" PartId="296edf1708c14b5c8766326ba2e6f2aa"/>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0fa839f3c6084a17bbbb4dac6b173cff"/>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336b77c5fa5d4a6fbb7f9ae8667aad4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14bf32f8389549d5acbde58d672e70d6"/>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e032d4ea078b4a1a8c0f88351d8440c2"/>
          <Part Type="strDalis" Nr="3" Abbr="25 str. 3 d." DocPartId="67ffb2b2f6cb4add898d46f5da4a0553" PartId="89f1bae3cc85446bb530ab0f9763c277"/>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c113088fa25f4f4c8c08ef4728605542"/>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Title="" DocPartId="a2f71509794b4cbeb8e79cdcc281e2c4" PartId="68c2edec94c9461988a5cdc7dc6162a0"/>
            <Part Type="strDalis" Nr="3" Abbr="3 d." Title="" DocPartId="238f40ff67d14b6fb7b929b0025009c4" PartId="acc834100d8c41a899e99f685ba25182"/>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9708727b4160482fb0eab3310a2fdaba"/>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Title="" DocPartId="2c4f2386c43d4a12856fe9a524fe7e4b" PartId="ee276431016b41819f3b53dfa3f7d3d5"/>
            <Part Type="strPunktas" Nr="12" Abbr="12 p." Title="" DocPartId="d45c95b75eef4938adeb613d810b1cd0" PartId="ca2bf9a0bc684e089425e596ce11b4f9"/>
            <Part Type="strPunktas" Nr="13" Abbr="13 p." Title="" DocPartId="7e249a6d03a64981bba843c14b755f70" PartId="5e9c2388498a4fdf80f3c2977e0b26e8"/>
            <Part Type="strPunktas" Nr="14" Abbr="14 p." Title="" DocPartId="bb1f2272fe25413281136d6a2ac65d4a" PartId="c4474913698f415fa5565580244a9f45"/>
            <Part Type="strPunktas" Nr="15" Abbr="15 p." Title="" DocPartId="6aa5ed3903f54114ab9eafce063d8943" PartId="1be573b2ef9f4ff49957a67233868818"/>
            <Part Type="strPunktas" Nr="16" Abbr="16 p." Title="" DocPartId="d4cb87870ffd4dae93f04a46b3de753c" PartId="7f8c59b8babd460abf941ffc93ba4012"/>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335a0fb9df140e6a8535575bc61b8d1"/>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44f15e0efb5f4ca5a1191bf0f21631d2"/>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3" Abbr="59 str. 3 d." DocPartId="3ff3f70abcae4b0ea3a11ff20800c22e" PartId="1f02ef4e1da64682a09bacf8f250d37d"/>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Nr="" Abbr="" Title="Pakeitimų sąrašas" DocPartId="441de82dc7fe4b558d85f2cf402f99b6" PartId="5d2905324fcc4c259a3835265b80986d"/>
</Parts>
</file>

<file path=customXml/itemProps1.xml><?xml version="1.0" encoding="utf-8"?>
<ds:datastoreItem xmlns:ds="http://schemas.openxmlformats.org/officeDocument/2006/customXml" ds:itemID="{7CFEF712-437E-4CDC-8895-CC736454B96E}">
  <ds:schemaRefs>
    <ds:schemaRef ds:uri="http://lrs.lt/TAIS/DocParts"/>
  </ds:schemaRefs>
</ds:datastoreItem>
</file>

<file path=docProps/app.xml><?xml version="1.0" encoding="utf-8"?>
<Properties xmlns="http://schemas.openxmlformats.org/officeDocument/2006/extended-properties">
  <Template>Normal.dotm</Template>
  <TotalTime>63</TotalTime>
  <Pages>27</Pages>
  <Words>68471</Words>
  <Characters>39030</Characters>
  <Application>Microsoft Office Word</Application>
  <DocSecurity>0</DocSecurity>
  <Lines>325</Lines>
  <Paragraphs>214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107287</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2016-01-18T12:18:00Z</dcterms:modified>
  <revision>9</revision>
  <dc:title>Redagavo: Ramunė Lūžaitė (1997</dc:title>
</coreProperties>
</file>