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2014-03-08 iki 2014-09-25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089A16422DD2">
        <w:r w:rsidRPr="00532B9F">
          <w:rPr>
            <w:rFonts w:ascii="Times New Roman" w:eastAsia="MS Mincho" w:hAnsi="Times New Roman"/>
            <w:sz w:val="20"/>
            <w:i/>
            <w:iCs/>
            <w:color w:val="0000FF" w:themeColor="hyperlink"/>
            <w:u w:val="single"/>
          </w:rPr>
          <w:t>37-1382</w:t>
        </w:r>
      </w:fldSimple>
      <w:r>
        <w:rPr>
          <w:rFonts w:ascii="Times New Roman" w:eastAsia="MS Mincho" w:hAnsi="Times New Roman"/>
          <w:sz w:val="20"/>
          <w:i/>
          <w:iCs/>
        </w:rPr>
        <w:t>, i. k. 1072210ISAK00003-97</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756CE7BB">
          <v:shapetype id="_x0000_t201" coordsize="21600,21600" o:spt="201" path="m,l,21600r21600,l21600,xe">
            <v:stroke joinstyle="miter"/>
            <v:path shadowok="f" o:extrusionok="f" strokeok="f" fillok="f" o:connecttype="rect"/>
            <o:lock v:ext="edit" shapetype="t"/>
          </v:shapetype>
          <v:shape id="_x0000_s1045" type="#_x0000_t201" style="position:absolute;left:0;text-align:left;margin-left:-85.05pt;margin-top:-56.7pt;width:.75pt;height:.75pt;z-index:251657728;visibility:hidden;mso-position-horizontal-relative:text;mso-position-vertical-relative:text" stroked="f">
            <v:imagedata r:id="rId15" o:title=""/>
          </v:shape>
          <w:control r:id="rId16" w:name="Control 21" w:shapeid="_x0000_s1045"/>
        </w:pict>
      </w:r>
      <w:r>
        <w:rPr>
          <w:b/>
        </w:rPr>
        <w:t>LIETUVOS RESPUBLIKOS SUSISIEKIMO MINISTRO</w:t>
      </w:r>
    </w:p>
    <w:p>
      <w:pPr>
        <w:jc w:val="center"/>
      </w:pPr>
    </w:p>
    <w:p>
      <w:pPr>
        <w:jc w:val="center"/>
        <w:rPr>
          <w:b/>
        </w:rPr>
      </w:pPr>
      <w:r>
        <w:rPr>
          <w:b/>
        </w:rPr>
        <w:t>Į S A K Y M A S</w:t>
      </w:r>
    </w:p>
    <w:p>
      <w:pPr>
        <w:jc w:val="center"/>
        <w:rPr>
          <w:b/>
        </w:rPr>
      </w:pPr>
      <w:r>
        <w:rPr>
          <w:b/>
        </w:rPr>
        <w:t>DĖL VINJEČIŲ FORMOS, JŲ REIKALAVIMŲ, ĮSIGIJIMO IR NAUDOJIMO TVARKOS APRAŠO PATVIRTINIMO</w:t>
      </w:r>
    </w:p>
    <w:p>
      <w:pPr>
        <w:jc w:val="center"/>
      </w:pPr>
    </w:p>
    <w:p>
      <w:pPr>
        <w:jc w:val="center"/>
      </w:pPr>
      <w:r>
        <w:t>2007 m. kovo 23 d. Nr. 3-97</w:t>
      </w:r>
    </w:p>
    <w:p>
      <w:pPr>
        <w:jc w:val="center"/>
      </w:pPr>
      <w:r>
        <w:t>Vilnius</w:t>
      </w:r>
    </w:p>
    <w:p>
      <w:pPr>
        <w:ind w:firstLine="709"/>
        <w:jc w:val="both"/>
      </w:pPr>
    </w:p>
    <w:p>
      <w:pPr>
        <w:widowControl w:val="0"/>
        <w:ind w:firstLine="709"/>
        <w:jc w:val="both"/>
      </w:pPr>
      <w:r>
        <w:rPr>
          <w:color w:val="000000"/>
          <w:szCs w:val="24"/>
          <w:lang w:eastAsia="lt-LT"/>
        </w:rPr>
        <w:t xml:space="preserve">Vadovaudamasis Lietuvos Respublikoje užsienio šalyse, iš jų ir Europos Sąjungos valstybės narėse, įregistruotų transporto priemonių savininkų ar valdytojų naudotojo mokesčio dydžių, mokėjimo, administravimo ir kontrolės tvarkos aprašo, patvirtinto Lietuvos Respublikos Vyriausybės 2005 m. balandžio 21 d. nutarimu Nr. 447 (Žin., 2005, Nr. 53-1779; 2006, Nr. </w:t>
      </w:r>
      <w:hyperlink r:id="rId17" w:tgtFrame="_blank" w:history="1">
        <w:r>
          <w:rPr>
            <w:color w:val="0000FF" w:themeColor="hyperlink"/>
            <w:szCs w:val="24"/>
            <w:u w:val="single"/>
            <w:lang w:eastAsia="lt-LT"/>
          </w:rPr>
          <w:t>124-4689</w:t>
        </w:r>
      </w:hyperlink>
      <w:r>
        <w:rPr>
          <w:color w:val="000000"/>
          <w:szCs w:val="24"/>
          <w:lang w:eastAsia="lt-LT"/>
        </w:rPr>
        <w:t xml:space="preserve">; 2007, Nr. </w:t>
      </w:r>
      <w:hyperlink r:id="rId18" w:tgtFrame="_blank" w:history="1">
        <w:r>
          <w:rPr>
            <w:color w:val="0000FF" w:themeColor="hyperlink"/>
            <w:szCs w:val="24"/>
            <w:u w:val="single"/>
            <w:lang w:eastAsia="lt-LT"/>
          </w:rPr>
          <w:t>110-4502</w:t>
        </w:r>
      </w:hyperlink>
      <w:r>
        <w:rPr>
          <w:color w:val="000000"/>
          <w:szCs w:val="24"/>
          <w:lang w:eastAsia="lt-LT"/>
        </w:rPr>
        <w:t>), 14 punktu: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1</w:t>
      </w:r>
      <w:r>
        <w:t xml:space="preserve">. </w:t>
      </w:r>
      <w:r>
        <w:rPr>
          <w:spacing w:val="60"/>
        </w:rPr>
        <w:t>Tvirtinu</w:t>
      </w:r>
      <w:r>
        <w:t xml:space="preserve"> Vinječių formos, jų reikalavimų, įsigijimo ir naudojimo tvarkos aprašą (pridedama).</w:t>
      </w:r>
    </w:p>
    <w:p>
      <w:pPr>
        <w:widowControl w:val="0"/>
        <w:shd w:val="clear" w:color="auto" w:fill="FFFFFF"/>
        <w:ind w:firstLine="709"/>
        <w:jc w:val="both"/>
      </w:pPr>
      <w:r>
        <w:t>2</w:t>
      </w:r>
      <w:r>
        <w:t xml:space="preserve">. </w:t>
      </w:r>
      <w:r>
        <w:rPr>
          <w:spacing w:val="60"/>
        </w:rPr>
        <w:t>Nustata</w:t>
      </w:r>
      <w:r>
        <w:t>u, kad:</w:t>
      </w:r>
    </w:p>
    <w:p>
      <w:pPr>
        <w:widowControl w:val="0"/>
        <w:shd w:val="clear" w:color="auto" w:fill="FFFFFF"/>
        <w:ind w:firstLine="709"/>
        <w:jc w:val="both"/>
      </w:pPr>
      <w:r>
        <w:t>2.1</w:t>
      </w:r>
      <w:r>
        <w:t xml:space="preserve">. vinječių gamybos ir platinimo paslaugų pirkimą Lietuvos Respublikos viešųjų pirkimų įstatymo (Žin., 1996, Nr. </w:t>
      </w:r>
      <w:hyperlink r:id="rId19" w:tgtFrame="_blank" w:history="1">
        <w:r>
          <w:rPr>
            <w:color w:val="0000FF" w:themeColor="hyperlink"/>
            <w:u w:val="single"/>
          </w:rPr>
          <w:t>84-2000</w:t>
        </w:r>
      </w:hyperlink>
      <w:r>
        <w:t xml:space="preserve">; 2006, Nr. </w:t>
      </w:r>
      <w:hyperlink r:id="rId20" w:tgtFrame="_blank" w:history="1">
        <w:r>
          <w:rPr>
            <w:color w:val="0000FF" w:themeColor="hyperlink"/>
            <w:u w:val="single"/>
          </w:rPr>
          <w:t>4-102</w:t>
        </w:r>
      </w:hyperlink>
      <w:r>
        <w:t>) nustatyta tvarka organizuoja Lietuvos automobilių kelių direkcija prie Susisiekimo ministerijos;</w:t>
      </w:r>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2013-08-08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3</w:t>
      </w:r>
      <w:r>
        <w:t xml:space="preserve">. </w:t>
      </w:r>
      <w:r>
        <w:rPr>
          <w:spacing w:val="60"/>
        </w:rPr>
        <w:t>Pripažįstu</w:t>
      </w:r>
      <w:r>
        <w:t xml:space="preserve"> netekusiu galios Lietuvos Respublikos susisiekimo ministro 2006 m. balandžio 20 d. įsakymo Nr. 3-150 „Dėl Mokesčio už Lietuvos Respublikoje įregistruotas krovinines transporto priemones mokėjimo, administravimo ir kontrolės įgyvendinimo tvarkos, Transporto priemonių savininkų ar valdytojų naudotojo mokesčio mokėjimo, administravimo ir kontrolės įgyvendinimo tvarkos, Mokesčio už važiavimą valstybinės reikšmės keliais didžiagabaritėmis ir (ar) sunkiasvorėmis transporto priemonėmis mokėjimo, administravimo, kontrolės ir leidimų važiuoti jomis valstybinės reikšmės keliais išdavimo tvarkos aprašų patvirtinimo“ (Žin., 2006, Nr. </w:t>
      </w:r>
      <w:hyperlink r:id="rId21" w:tgtFrame="_blank" w:history="1">
        <w:r>
          <w:rPr>
            <w:color w:val="0000FF" w:themeColor="hyperlink"/>
            <w:u w:val="single"/>
          </w:rPr>
          <w:t>49-1783</w:t>
        </w:r>
      </w:hyperlink>
      <w:r>
        <w:t>) 1.2 punktą.</w:t>
      </w:r>
    </w:p>
    <w:p>
      <w:pPr>
        <w:widowControl w:val="0"/>
        <w:shd w:val="clear" w:color="auto" w:fill="FFFFFF"/>
        <w:ind w:firstLine="709"/>
        <w:jc w:val="both"/>
      </w:pPr>
      <w:r>
        <w:t>4</w:t>
      </w:r>
      <w:r>
        <w:t>. Šis įsakymas įsigalioja nuo 2007 m. liepos 1 dienos.</w:t>
      </w:r>
    </w:p>
    <w:p>
      <w:pPr>
        <w:tabs>
          <w:tab w:val="right" w:pos="9639"/>
        </w:tabs>
      </w:pPr>
    </w:p>
    <w:p>
      <w:pPr>
        <w:tabs>
          <w:tab w:val="right" w:pos="9639"/>
        </w:tabs>
      </w:pPr>
    </w:p>
    <w:p>
      <w:pPr>
        <w:tabs>
          <w:tab w:val="right" w:pos="9639"/>
        </w:tabs>
      </w:pPr>
      <w:r>
        <w:rPr>
          <w:caps/>
        </w:rPr>
        <w:t>SUSISIEKIMO MINISTRAS</w:t>
        <w:tab/>
        <w:t>ALGIRDAS BUTKEVIČIUS</w:t>
      </w:r>
    </w:p>
    <w:p>
      <w:pPr>
        <w:widowControl w:val="0"/>
        <w:shd w:val="clear" w:color="auto" w:fill="FFFFFF"/>
        <w:ind w:left="5103" w:hanging="1"/>
      </w:pPr>
      <w:r>
        <w:br w:type="page"/>
        <w:t>PATVIRTINTA</w:t>
      </w:r>
    </w:p>
    <w:p>
      <w:pPr>
        <w:widowControl w:val="0"/>
        <w:shd w:val="clear" w:color="auto" w:fill="FFFFFF"/>
        <w:ind w:firstLine="5102"/>
      </w:pPr>
      <w:r>
        <w:t xml:space="preserve">Lietuvos Respublikos susisiekimo ministro </w:t>
      </w:r>
    </w:p>
    <w:p>
      <w:pPr>
        <w:widowControl w:val="0"/>
        <w:shd w:val="clear" w:color="auto" w:fill="FFFFFF"/>
        <w:ind w:firstLine="5102"/>
      </w:pPr>
      <w:r>
        <w:t>2007 m. kovo 23 d. įsakymu Nr. 3-97</w:t>
      </w:r>
    </w:p>
    <w:p>
      <w:pPr>
        <w:jc w:val="center"/>
      </w:pPr>
    </w:p>
    <w:p>
      <w:pPr>
        <w:widowControl w:val="0"/>
        <w:shd w:val="clear" w:color="auto" w:fill="FFFFFF"/>
        <w:jc w:val="center"/>
      </w:pPr>
      <w:r>
        <w:rPr>
          <w:b/>
          <w:bCs/>
        </w:rPr>
        <w:t>VINJEČIŲ FORMOS, JŲ REIKALAVIMŲ, ĮSIGIJIMO IR NAUDOJIMO TVARKOS APRAŠAS</w:t>
      </w:r>
    </w:p>
    <w:p>
      <w:pPr>
        <w:ind w:firstLine="709"/>
        <w:jc w:val="both"/>
      </w:pPr>
    </w:p>
    <w:p>
      <w:pPr>
        <w:widowControl w:val="0"/>
        <w:shd w:val="clear" w:color="auto" w:fill="FFFFFF"/>
        <w:ind w:firstLine="709"/>
        <w:jc w:val="both"/>
      </w:pPr>
      <w:r>
        <w:t>1</w:t>
      </w:r>
      <w:r>
        <w:t>. Šis Vinječių formos, jų reikalavimų, įsigijimo ir naudojimo tvarkos aprašas (toliau – Aprašas) nustato vinječių formą, jų reikalavimus, įsigijimo ir naudojimo tvarką.</w:t>
      </w:r>
    </w:p>
    <w:p>
      <w:pPr>
        <w:widowControl w:val="0"/>
        <w:ind w:firstLine="709"/>
        <w:jc w:val="both"/>
      </w:pPr>
      <w:r>
        <w:t>2</w:t>
      </w:r>
      <w:r>
        <w:t>. Vinjetė – Lietuvos Respublikoje, užsienio šalyse, iš jų ir Europos Sąjungos valstybėse narėse, įregistruotų (taip pat ir laikinai) transporto priemonių savininkų ar valdytojų naudotojo mokesčio (toliau – naudotojo mokestis) sumokėjimą patvirtinantis dokumentas, suteikiantis teisę važiuoti Lietuvos Respublikos magistraliniais keliais:</w:t>
      </w:r>
    </w:p>
    <w:p>
      <w:pPr>
        <w:widowControl w:val="0"/>
        <w:ind w:firstLine="709"/>
        <w:jc w:val="both"/>
      </w:pPr>
      <w:r>
        <w:t>2.1</w:t>
      </w:r>
      <w:r>
        <w:t>. Vinjetė yra vieno lapo dokumentas, susidedantis iš dviejų dalių: 1) pagrindinės (6x7 cm formato) ir 2) kontrolinio kupono (3x7 cm formato). Vinjetės pagrindinės dalies centre yra Lietuvos Respublikos valstybės kontūras. Ji turi apsaugos elementų, seriją ir numerį. Vinječių pavyzdžiai ir transporto priemonių kategorijų logotipai pateikiami šio aprašo priede;</w:t>
      </w:r>
    </w:p>
    <w:p>
      <w:pPr>
        <w:widowControl w:val="0"/>
        <w:ind w:firstLine="709"/>
        <w:jc w:val="both"/>
      </w:pPr>
      <w:r>
        <w:rPr>
          <w:color w:val="000000"/>
          <w:szCs w:val="24"/>
          <w:lang w:eastAsia="lt-LT"/>
        </w:rPr>
        <w:t>2.2</w:t>
      </w:r>
      <w:r>
        <w:rPr>
          <w:color w:val="000000"/>
          <w:szCs w:val="24"/>
          <w:lang w:eastAsia="lt-LT"/>
        </w:rPr>
        <w:t>. Vienoje vinjetės pagrindinės dalies pusėje nurodyti galiojimo metai, mėnesiai, dienos, galiojimo laikotarpis (dienos, savaitės, mėnesio, metų); konkrečios transporto priemonių, kurioms išduodama vinjetė, kategorijos ir jų logotipai, numatyta vieta (langelis) transporto priemonės valstybiniam numeriui įrašyti. Vinjetės pagrindinės dalies kitoje pusėje pateikta naudojimosi instrukcija lietuvių ir anglų kalbomis;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ind w:firstLine="709"/>
        <w:jc w:val="both"/>
      </w:pPr>
      <w:r>
        <w:rPr>
          <w:color w:val="000000"/>
          <w:szCs w:val="24"/>
          <w:lang w:eastAsia="lt-LT"/>
        </w:rPr>
        <w:t>2.3</w:t>
      </w:r>
      <w:r>
        <w:rPr>
          <w:color w:val="000000"/>
          <w:szCs w:val="24"/>
          <w:lang w:eastAsia="lt-LT"/>
        </w:rPr>
        <w:t>. Kontrolinis kuponas turi apsaugos elementų, seriją ir numerį. Kontrolinio kupono vienoje pusėje įrašyti žodžiai „Kontrolinis kuponas“, nurodyti galiojimo metai, mėnesiai (tik metų vinjetės), galiojimo laikotarpis (dienos, savaitės, mėnesio, metų), konkrečios transporto priemonių, kurioms išduodama vinjetė, kategorijos ir jų logotipai, numatyta vieta (langelis) transporto priemonės valstybiniam numeriui įrašyti. Kontrolinio kupono antrojoje pusėje nurodytos transporto priemonių, kurioms išduodama vinjetė, kategorijos;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ind w:firstLine="709"/>
        <w:jc w:val="both"/>
      </w:pPr>
      <w:r>
        <w:rPr>
          <w:color w:val="000000"/>
          <w:szCs w:val="24"/>
          <w:lang w:eastAsia="lt-LT"/>
        </w:rPr>
        <w:t>2.4</w:t>
      </w:r>
      <w:r>
        <w:rPr>
          <w:color w:val="000000"/>
          <w:szCs w:val="24"/>
          <w:lang w:eastAsia="lt-LT"/>
        </w:rPr>
        <w:t>. Vinjetės yra 4 rūšių: dienos, savaitės, mėnesio ir metų. Dienos vinjetė galioja pažymėtą dieną iki 24 valandos (jeigu pateikiamas tos pačios dienos, kurią pažymėta vinjetė, kasos aparato kvitas, vinjetė galioja 24 val. nuo kvite nurodyto jo išdavimo laiko), savaitės – 7 dienas (pvz., nuo 2009-01-20 iki 2009-01-26 imtinai), mėnesio – iki kito mėnesio tos pačios dienos (pvz., nuo 2009-01-20 iki 2009-02-19 imtinai), metų – 12 mėnesių (pvz., nuo 2009-01-20 iki 2010-01-19 imtinai);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ind w:firstLine="709"/>
        <w:jc w:val="both"/>
      </w:pPr>
      <w:r>
        <w:rPr>
          <w:color w:val="000000"/>
          <w:szCs w:val="24"/>
          <w:lang w:eastAsia="lt-LT"/>
        </w:rPr>
        <w:t>2.5</w:t>
      </w:r>
      <w:r>
        <w:rPr>
          <w:color w:val="000000"/>
          <w:szCs w:val="24"/>
          <w:lang w:eastAsia="lt-LT"/>
        </w:rPr>
        <w:t>. Vinjetės yra skirtingų spalvų: dienos vinjetės žalios, savaitės mėlynos, mėnesio oranžinės, metų raudonos.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
      <w:pPr>
        <w:widowControl w:val="0"/>
        <w:ind w:firstLine="709"/>
        <w:jc w:val="both"/>
      </w:pPr>
      <w:r>
        <w:rPr>
          <w:color w:val="000000"/>
          <w:szCs w:val="24"/>
          <w:lang w:eastAsia="lt-LT"/>
        </w:rPr>
        <w:t>3</w:t>
      </w:r>
      <w:r>
        <w:rPr>
          <w:color w:val="000000"/>
          <w:szCs w:val="24"/>
          <w:lang w:eastAsia="lt-LT"/>
        </w:rPr>
        <w:t xml:space="preserve">. Transporto priemonių savininkai ar valdytojai (vairuotojai) naudotojo mokestį sumokėti ir įsigyti vinjetę (-es) gali degalinėse ir kitose vietose, pažymėtose specialiais ženklais. Vinjetės gali būti platinamos tik nominalinėmis kainomis, atitinkančiomis mokesčių, nustatytų pagal Lietuvos Respublikoje, užsienio šalyse, iš jų ir Europos Sąjungos valstybėse narėse, įregistruotų transporto priemonių savininkų ar valdytojų naudotojo mokesčio dydžių, mokėjimo, administravimo ir kontrolės tvarkos aprašo, patvirtinto Lietuvos Respublikos Vyriausybės 2005 m. balandžio 21 d. nutarimu Nr. 447 (Žin., 2005, Nr. </w:t>
      </w:r>
      <w:hyperlink r:id="rId22" w:tgtFrame="_blank" w:history="1">
        <w:r>
          <w:rPr>
            <w:color w:val="0000FF" w:themeColor="hyperlink"/>
            <w:szCs w:val="24"/>
            <w:u w:val="single"/>
            <w:lang w:eastAsia="lt-LT"/>
          </w:rPr>
          <w:t>53-1799</w:t>
        </w:r>
      </w:hyperlink>
      <w:r>
        <w:rPr>
          <w:color w:val="000000"/>
          <w:szCs w:val="24"/>
          <w:lang w:eastAsia="lt-LT"/>
        </w:rPr>
        <w:t>), 1 punktą, dydžius. Visi platintojai privalo turėti informacines priemones: vinječių platinimo vietą žymintį lipduką ir (ar) iškabą, naudotojo mokesčio dydžių lentelę ir bent dviem kalbomis – lietuvių ir anglų – išleistą informacinį lankstinuką.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4</w:t>
      </w:r>
      <w:r>
        <w:t>. Įsigiję atitinkamo nominalo vinjetę, transporto priemonių savininkai ar valdytojai (vairuotojai) privalo ją užpildyti naudojimosi instrukcijoje nustatyta tvarka. Vinjetės pagrindinė dalis turi būti priklijuota ant priekinio automobilio stiklo naudojimosi instrukcijoje nurodytoje vietoje. Automobilio valstybinis registracijos numeris turi būti aiškiai užrašytas nustatytose vietose ant vinjetės pagrindinės dalies bei kontrolinio kupono. Vinjetė galioja tik tada, kai ji tinkamai užpildyta, pažymėta, jos pagrindinė dalis priklijuota prie transporto priemonės priekinio stiklo, kaip nurodyta naudojimosi instrukcijoje, bei kartu pateikus kontrolinį kuponą.</w:t>
      </w:r>
    </w:p>
    <w:p>
      <w:pPr>
        <w:widowControl w:val="0"/>
        <w:ind w:firstLine="709"/>
        <w:jc w:val="both"/>
      </w:pPr>
      <w:r>
        <w:rPr>
          <w:color w:val="000000"/>
          <w:szCs w:val="24"/>
          <w:lang w:eastAsia="lt-LT"/>
        </w:rPr>
        <w:t>5</w:t>
      </w:r>
      <w:r>
        <w:rPr>
          <w:color w:val="000000"/>
          <w:szCs w:val="24"/>
          <w:lang w:eastAsia="lt-LT"/>
        </w:rPr>
        <w:t>. Vinjetės galiojimo pradžią pažymi platintojas, nurodytose vietose perforuodamas vinjetę (pažymėdamas metus (išskyrus metų vinjetes), mėnesį ir dieną). Atsiimdami vinjetę, transporto priemonių savininkai ar valdytojai (vairuotojai) turi patikrinti, ar platintojas išdavė reikalingos rūšies vinjetę ir ar tos transporto priemonės kategorijos, kurios reikia, ar teisingai pažymėjo jos galiojimo laiko pradžią. Atsakomybė už ne tos rūšies, ne tos kategorijos, neteisingai pažymėtos ar visai nepažymėtos, neteisingai užpildytos ar visai neužpildytos, taip pat prie transporto priemonės priekinio stiklo nepriklijuotos vinjetės pagrindinės dalies naudojimą tenka transporto priemonės savininkui ar valdytojui (vairuotojui).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uppressAutoHyphens/>
        <w:ind w:firstLine="709"/>
        <w:jc w:val="both"/>
      </w:pPr>
      <w:r>
        <w:rPr>
          <w:color w:val="000000"/>
        </w:rPr>
        <w:t>6</w:t>
      </w:r>
      <w:r>
        <w:rPr>
          <w:color w:val="000000"/>
        </w:rPr>
        <w:t xml:space="preserve">. Transporto priemonių savininkai ar valdytojai (vairuotojai), prieš įvažiuodami į apmokestintus magistralinius kelius, privalo priklijuoti galiojančios vinjetės pagrindinę </w:t>
      </w:r>
      <w:r>
        <w:rPr>
          <w:color w:val="000000"/>
          <w:szCs w:val="24"/>
          <w:lang w:eastAsia="lt-LT"/>
        </w:rPr>
        <w:t>lipniąją</w:t>
      </w:r>
      <w:r>
        <w:rPr>
          <w:color w:val="000000"/>
        </w:rPr>
        <w:t xml:space="preserve"> dalį prie transporto priemonės priekinio stiklo. Tais atvejais, kai įvažiavus į Lietuvos valstybės teritoriją arba išvykstant iš krovinių krovos ar fizinio ar juridinio asmens buveinės (nuolatinės transporto priemonės stovėjimo) vietos nėra degalinės ar kitos vietos, kurioje galima sumokėti naudotojo mokestį bei įsigyti vinjetę(-es), transporto priemonių savininkai ar valdytojai (vairuotojai) tai padaryti privalo artimiausioje degalinėje ar kitoje vietoje, kurioje platinamos vinjetės, vykstant pasirinktu maršrutu. Pasibaigus vinjetės galiojimo laikui, vinjetės pagrindinė dalis turi būti nuimta nuo priekinio stiklo.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C64B88AA1">
        <w:r w:rsidRPr="00532B9F">
          <w:rPr>
            <w:rFonts w:ascii="Times New Roman" w:eastAsia="MS Mincho" w:hAnsi="Times New Roman"/>
            <w:sz w:val="20"/>
            <w:i/>
            <w:iCs/>
            <w:color w:val="0000FF" w:themeColor="hyperlink"/>
            <w:u w:val="single"/>
          </w:rPr>
          <w:t>3-112</w:t>
        </w:r>
      </w:fldSimple>
      <w:r>
        <w:rPr>
          <w:rFonts w:ascii="Times New Roman" w:eastAsia="MS Mincho" w:hAnsi="Times New Roman"/>
          <w:sz w:val="20"/>
          <w:i/>
          <w:iCs/>
        </w:rPr>
        <w:t>,
2011-02-24,
Žin., 2011, Nr.
25-1227 (2011-03-01), i. k. 1112210ISAK0003-112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ind w:firstLine="709"/>
        <w:jc w:val="both"/>
        <w:rPr>
          <w:rFonts w:ascii="Tahoma" w:hAnsi="Tahoma" w:cs="Tahoma"/>
          <w:szCs w:val="24"/>
          <w:lang w:eastAsia="lt-LT"/>
        </w:rPr>
      </w:pPr>
      <w:r>
        <w:rPr>
          <w:szCs w:val="24"/>
          <w:lang w:eastAsia="lt-LT"/>
        </w:rPr>
        <w:t>7</w:t>
      </w:r>
      <w:r>
        <w:rPr>
          <w:szCs w:val="24"/>
          <w:lang w:eastAsia="lt-LT"/>
        </w:rPr>
        <w:t>. Transporto priemonių savininkai ar valdytojai (vairuotojai), įsigiję pažymėtą vinjetę, ją užpildę ir pagrindinę vinjetės dalį</w:t>
      </w:r>
      <w:r>
        <w:rPr>
          <w:b/>
          <w:bCs/>
          <w:szCs w:val="24"/>
          <w:lang w:eastAsia="lt-LT"/>
        </w:rPr>
        <w:t xml:space="preserve"> </w:t>
      </w:r>
      <w:r>
        <w:rPr>
          <w:szCs w:val="24"/>
          <w:lang w:eastAsia="lt-LT"/>
        </w:rPr>
        <w:t>priklijavę prie transporto priemonės priekinio stiklo, kaip reikalaujama naudojimosi instrukcijoje, turi teisę važiuoti šiais magistraliniais keliais:</w:t>
      </w:r>
    </w:p>
    <w:p>
      <w:pPr>
        <w:ind w:firstLine="709"/>
        <w:jc w:val="both"/>
        <w:rPr>
          <w:rFonts w:ascii="Tahoma" w:hAnsi="Tahoma" w:cs="Tahoma"/>
          <w:szCs w:val="24"/>
          <w:lang w:eastAsia="lt-LT"/>
        </w:rPr>
      </w:pPr>
      <w:r>
        <w:rPr>
          <w:szCs w:val="24"/>
          <w:lang w:eastAsia="lt-LT"/>
        </w:rPr>
        <w:t>A1 Vilnius–Kaunas–Klaipėda (10,15–91,00 km; 102,93–303,74</w:t>
      </w:r>
      <w:r>
        <w:rPr>
          <w:b/>
          <w:szCs w:val="24"/>
          <w:lang w:eastAsia="lt-LT"/>
        </w:rPr>
        <w:t xml:space="preserve"> </w:t>
      </w:r>
      <w:r>
        <w:rPr>
          <w:szCs w:val="24"/>
          <w:lang w:eastAsia="lt-LT"/>
        </w:rPr>
        <w:t>km);</w:t>
      </w:r>
    </w:p>
    <w:p>
      <w:pPr>
        <w:ind w:firstLine="709"/>
        <w:rPr>
          <w:rFonts w:ascii="Tahoma" w:hAnsi="Tahoma" w:cs="Tahoma"/>
          <w:szCs w:val="24"/>
          <w:lang w:eastAsia="lt-LT"/>
        </w:rPr>
      </w:pPr>
      <w:r>
        <w:rPr>
          <w:szCs w:val="24"/>
          <w:lang w:eastAsia="lt-LT"/>
        </w:rPr>
        <w:t>A2 Vilnius–Panevėžys (12,00–132,70 km);</w:t>
      </w:r>
    </w:p>
    <w:p>
      <w:pPr>
        <w:ind w:firstLine="709"/>
        <w:rPr>
          <w:rFonts w:ascii="Tahoma" w:hAnsi="Tahoma" w:cs="Tahoma"/>
          <w:szCs w:val="24"/>
          <w:lang w:eastAsia="lt-LT"/>
        </w:rPr>
      </w:pPr>
      <w:r>
        <w:rPr>
          <w:szCs w:val="24"/>
          <w:lang w:eastAsia="lt-LT"/>
        </w:rPr>
        <w:t>A3 Vilnius–Minskas (6,65–32,91 km);</w:t>
      </w:r>
    </w:p>
    <w:p>
      <w:pPr>
        <w:ind w:firstLine="709"/>
        <w:rPr>
          <w:rFonts w:ascii="Tahoma" w:hAnsi="Tahoma" w:cs="Tahoma"/>
          <w:szCs w:val="24"/>
          <w:lang w:val="pt-BR" w:eastAsia="lt-LT"/>
        </w:rPr>
      </w:pPr>
      <w:r>
        <w:rPr>
          <w:szCs w:val="24"/>
          <w:lang w:eastAsia="lt-LT"/>
        </w:rPr>
        <w:t>A4 Vilnius–Varėna–Gardinas (15,51–133,96 km);</w:t>
      </w:r>
    </w:p>
    <w:p>
      <w:pPr>
        <w:ind w:firstLine="709"/>
        <w:rPr>
          <w:rFonts w:ascii="Tahoma" w:hAnsi="Tahoma" w:cs="Tahoma"/>
          <w:szCs w:val="24"/>
          <w:lang w:val="pt-BR" w:eastAsia="lt-LT"/>
        </w:rPr>
      </w:pPr>
      <w:r>
        <w:rPr>
          <w:szCs w:val="24"/>
          <w:lang w:eastAsia="lt-LT"/>
        </w:rPr>
        <w:t>A5 Kaunas–Marijampolė–Suvalkai (7,60–97,06 km);</w:t>
      </w:r>
    </w:p>
    <w:p>
      <w:pPr>
        <w:ind w:firstLine="709"/>
        <w:rPr>
          <w:rFonts w:ascii="Tahoma" w:hAnsi="Tahoma" w:cs="Tahoma"/>
          <w:szCs w:val="24"/>
          <w:lang w:val="pt-BR" w:eastAsia="lt-LT"/>
        </w:rPr>
      </w:pPr>
      <w:r>
        <w:rPr>
          <w:szCs w:val="24"/>
          <w:lang w:eastAsia="lt-LT"/>
        </w:rPr>
        <w:t>A6 Kaunas–Zarasai–Daugpilis (6,02–185,40 km);</w:t>
      </w:r>
    </w:p>
    <w:p>
      <w:pPr>
        <w:ind w:firstLine="709"/>
        <w:rPr>
          <w:rFonts w:ascii="Tahoma" w:hAnsi="Tahoma" w:cs="Tahoma"/>
          <w:szCs w:val="24"/>
          <w:lang w:val="pt-BR" w:eastAsia="lt-LT"/>
        </w:rPr>
      </w:pPr>
      <w:r>
        <w:rPr>
          <w:szCs w:val="24"/>
          <w:lang w:eastAsia="lt-LT"/>
        </w:rPr>
        <w:t>A7 Marijampolė–Kybartai–Kaliningradas (2,50–41,92 km);</w:t>
      </w:r>
    </w:p>
    <w:p>
      <w:pPr>
        <w:ind w:firstLine="709"/>
        <w:rPr>
          <w:rFonts w:ascii="Tahoma" w:hAnsi="Tahoma" w:cs="Tahoma"/>
          <w:szCs w:val="24"/>
          <w:lang w:val="pt-BR" w:eastAsia="lt-LT"/>
        </w:rPr>
      </w:pPr>
      <w:r>
        <w:rPr>
          <w:szCs w:val="24"/>
          <w:lang w:eastAsia="lt-LT"/>
        </w:rPr>
        <w:t>A8 Panevėžys–Aristava–Sitkūnai (7,50–87,86 km);</w:t>
      </w:r>
    </w:p>
    <w:p>
      <w:pPr>
        <w:ind w:firstLine="709"/>
        <w:rPr>
          <w:rFonts w:ascii="Tahoma" w:hAnsi="Tahoma" w:cs="Tahoma"/>
          <w:szCs w:val="24"/>
          <w:lang w:val="pt-BR" w:eastAsia="lt-LT"/>
        </w:rPr>
      </w:pPr>
      <w:r>
        <w:rPr>
          <w:szCs w:val="24"/>
          <w:lang w:eastAsia="lt-LT"/>
        </w:rPr>
        <w:t>A9 Panevėžys–Šiauliai (5,00–75,14 km);</w:t>
      </w:r>
    </w:p>
    <w:p>
      <w:pPr>
        <w:ind w:firstLine="709"/>
        <w:rPr>
          <w:rFonts w:ascii="Tahoma" w:hAnsi="Tahoma" w:cs="Tahoma"/>
          <w:szCs w:val="24"/>
          <w:lang w:val="pt-BR" w:eastAsia="lt-LT"/>
        </w:rPr>
      </w:pPr>
      <w:r>
        <w:rPr>
          <w:szCs w:val="24"/>
          <w:lang w:eastAsia="lt-LT"/>
        </w:rPr>
        <w:t>A10 Panevėžys–Pasvalys–Ryga (4,57–66,10 km);</w:t>
      </w:r>
    </w:p>
    <w:p>
      <w:pPr>
        <w:ind w:firstLine="709"/>
        <w:rPr>
          <w:rFonts w:ascii="Tahoma" w:hAnsi="Tahoma" w:cs="Tahoma"/>
          <w:szCs w:val="24"/>
          <w:lang w:val="pt-BR" w:eastAsia="lt-LT"/>
        </w:rPr>
      </w:pPr>
      <w:r>
        <w:rPr>
          <w:szCs w:val="24"/>
          <w:lang w:eastAsia="lt-LT"/>
        </w:rPr>
        <w:t>A11 Šiauliai–Palanga (2,65–146,41 km);</w:t>
      </w:r>
    </w:p>
    <w:p>
      <w:pPr>
        <w:ind w:firstLine="709"/>
        <w:rPr>
          <w:rFonts w:ascii="Tahoma" w:hAnsi="Tahoma" w:cs="Tahoma"/>
          <w:szCs w:val="24"/>
          <w:lang w:val="pt-BR" w:eastAsia="lt-LT"/>
        </w:rPr>
      </w:pPr>
      <w:r>
        <w:rPr>
          <w:szCs w:val="24"/>
          <w:lang w:eastAsia="lt-LT"/>
        </w:rPr>
        <w:t>A12 Ryga–Šiauliai–Tauragė–Kaliningradas (0–49,70 km; 59,43–185,96 km);</w:t>
      </w:r>
    </w:p>
    <w:p>
      <w:pPr>
        <w:ind w:firstLine="709"/>
        <w:rPr>
          <w:rFonts w:ascii="Tahoma" w:hAnsi="Tahoma" w:cs="Tahoma"/>
          <w:szCs w:val="24"/>
          <w:lang w:val="pt-BR" w:eastAsia="lt-LT"/>
        </w:rPr>
      </w:pPr>
      <w:r>
        <w:rPr>
          <w:szCs w:val="24"/>
          <w:lang w:eastAsia="lt-LT"/>
        </w:rPr>
        <w:t>A13 Klaipėda–Liepoja (11,00–24,77 km; 26,75–45,15 km);</w:t>
      </w:r>
    </w:p>
    <w:p>
      <w:pPr>
        <w:ind w:firstLine="709"/>
        <w:rPr>
          <w:rFonts w:ascii="Tahoma" w:hAnsi="Tahoma" w:cs="Tahoma"/>
          <w:szCs w:val="24"/>
          <w:lang w:val="pt-BR" w:eastAsia="lt-LT"/>
        </w:rPr>
      </w:pPr>
      <w:r>
        <w:rPr>
          <w:szCs w:val="24"/>
          <w:lang w:eastAsia="lt-LT"/>
        </w:rPr>
        <w:t>A14 Vilnius–Utena (10,66–95,60 km);</w:t>
      </w:r>
    </w:p>
    <w:p>
      <w:pPr>
        <w:ind w:firstLine="709"/>
        <w:rPr>
          <w:rFonts w:ascii="Tahoma" w:hAnsi="Tahoma" w:cs="Tahoma"/>
          <w:szCs w:val="24"/>
          <w:lang w:val="pt-BR" w:eastAsia="lt-LT"/>
        </w:rPr>
      </w:pPr>
      <w:r>
        <w:rPr>
          <w:szCs w:val="24"/>
          <w:lang w:eastAsia="lt-LT"/>
        </w:rPr>
        <w:t>A15 Vilnius–Lyda (10,66–49,28 km);</w:t>
      </w:r>
    </w:p>
    <w:p>
      <w:pPr>
        <w:ind w:firstLine="709"/>
        <w:rPr>
          <w:rFonts w:ascii="Tahoma" w:hAnsi="Tahoma" w:cs="Tahoma"/>
          <w:szCs w:val="24"/>
          <w:lang w:val="pt-BR" w:eastAsia="lt-LT"/>
        </w:rPr>
      </w:pPr>
      <w:r>
        <w:rPr>
          <w:szCs w:val="24"/>
          <w:lang w:eastAsia="lt-LT"/>
        </w:rPr>
        <w:t>A16 Vilnius–Prienai–Marijampolė (15,55–135,48 km);</w:t>
      </w:r>
    </w:p>
    <w:p>
      <w:pPr>
        <w:ind w:firstLine="709"/>
        <w:rPr>
          <w:rFonts w:ascii="Tahoma" w:hAnsi="Tahoma" w:cs="Tahoma"/>
          <w:szCs w:val="24"/>
          <w:lang w:val="pt-BR" w:eastAsia="lt-LT"/>
        </w:rPr>
      </w:pPr>
      <w:r>
        <w:rPr>
          <w:szCs w:val="24"/>
          <w:lang w:eastAsia="lt-LT"/>
        </w:rPr>
        <w:t>A17 Panevėžio aplinkkelis (0–22,28 km);</w:t>
      </w:r>
    </w:p>
    <w:p>
      <w:pPr>
        <w:ind w:firstLine="709"/>
        <w:rPr>
          <w:b/>
          <w:szCs w:val="24"/>
          <w:lang w:eastAsia="lt-LT"/>
        </w:rPr>
      </w:pPr>
      <w:r>
        <w:rPr>
          <w:szCs w:val="24"/>
          <w:lang w:eastAsia="lt-LT"/>
        </w:rPr>
        <w:t>A18 Šiaulių aplinkkelis (0–17,08 km);</w:t>
      </w:r>
    </w:p>
    <w:p>
      <w:pPr>
        <w:ind w:firstLine="709"/>
        <w:jc w:val="both"/>
      </w:pPr>
      <w:r>
        <w:rPr>
          <w:szCs w:val="24"/>
          <w:lang w:eastAsia="lt-LT"/>
        </w:rPr>
        <w:t>A19 Vilniaus pietinis aplinkkelis (0,50–7,46 km).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C64B88AA1">
        <w:r w:rsidRPr="00532B9F">
          <w:rPr>
            <w:rFonts w:ascii="Times New Roman" w:eastAsia="MS Mincho" w:hAnsi="Times New Roman"/>
            <w:sz w:val="20"/>
            <w:i/>
            <w:iCs/>
            <w:color w:val="0000FF" w:themeColor="hyperlink"/>
            <w:u w:val="single"/>
          </w:rPr>
          <w:t>3-112</w:t>
        </w:r>
      </w:fldSimple>
      <w:r>
        <w:rPr>
          <w:rFonts w:ascii="Times New Roman" w:eastAsia="MS Mincho" w:hAnsi="Times New Roman"/>
          <w:sz w:val="20"/>
          <w:i/>
          <w:iCs/>
        </w:rPr>
        <w:t>,
2011-02-24,
Žin., 2011, Nr.
25-1227 (2011-03-01), i. k. 1112210ISAK0003-112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4630b0a5f211e3aeb49a67165e3ad3">
        <w:r w:rsidRPr="00532B9F">
          <w:rPr>
            <w:rFonts w:ascii="Times New Roman" w:eastAsia="MS Mincho" w:hAnsi="Times New Roman"/>
            <w:sz w:val="20"/>
            <w:i/>
            <w:iCs/>
            <w:color w:val="0000FF" w:themeColor="hyperlink"/>
            <w:u w:val="single"/>
          </w:rPr>
          <w:t>3-107-(E)</w:t>
        </w:r>
      </w:fldSimple>
      <w:r>
        <w:rPr>
          <w:rFonts w:ascii="Times New Roman" w:eastAsia="MS Mincho" w:hAnsi="Times New Roman"/>
          <w:sz w:val="20"/>
          <w:i/>
          <w:iCs/>
        </w:rPr>
        <w:t>,
2014-03-07,
paskelbta TAR 2014-03-07, i. k. 2014-02836            </w:t>
      </w:r>
    </w:p>
    <w:p/>
    <w:p>
      <w:pPr>
        <w:ind w:firstLine="709"/>
        <w:jc w:val="both"/>
      </w:pPr>
      <w:r>
        <w:rPr>
          <w:lang w:eastAsia="lt-LT"/>
        </w:rPr>
        <w:t>7</w:t>
      </w:r>
      <w:r>
        <w:rPr>
          <w:vertAlign w:val="superscript"/>
          <w:lang w:eastAsia="lt-LT"/>
        </w:rPr>
        <w:t>1</w:t>
      </w:r>
      <w:r>
        <w:rPr>
          <w:lang w:eastAsia="lt-LT"/>
        </w:rPr>
        <w:t xml:space="preserve">. Mokamo kelio pradžia žymima informaciniu kelio ženklu Nr. 626 „Kelio arba dviračių trasos numeris“ (raudonos spalvos) su papildoma lentele Nr. 840 „Mokamos paslaugos“, nustatytu Kelių eismo taisyklių, patvirtintų Lietuvos Respublikos Vyriausybės 2002 m. gruodžio 11 d. nutarimu Nr. 1950 (Žin., 2003, Nr. </w:t>
      </w:r>
      <w:hyperlink r:id="rId24" w:tgtFrame="_blank" w:history="1">
        <w:r>
          <w:rPr>
            <w:color w:val="0000FF" w:themeColor="hyperlink"/>
            <w:u w:val="single"/>
            <w:lang w:eastAsia="lt-LT"/>
          </w:rPr>
          <w:t>7-263</w:t>
        </w:r>
      </w:hyperlink>
      <w:r>
        <w:rPr>
          <w:lang w:eastAsia="lt-LT"/>
        </w:rPr>
        <w:t xml:space="preserve">; 2008, Nr. </w:t>
      </w:r>
      <w:hyperlink r:id="rId25" w:tgtFrame="_blank" w:history="1">
        <w:r>
          <w:rPr>
            <w:color w:val="0000FF" w:themeColor="hyperlink"/>
            <w:u w:val="single"/>
            <w:lang w:eastAsia="lt-LT"/>
          </w:rPr>
          <w:t>88-3530</w:t>
        </w:r>
      </w:hyperlink>
      <w:r>
        <w:rPr>
          <w:lang w:eastAsia="lt-LT"/>
        </w:rPr>
        <w:t>), 1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
      <w:pPr>
        <w:widowControl w:val="0"/>
        <w:suppressAutoHyphens/>
        <w:ind w:firstLine="709"/>
        <w:jc w:val="both"/>
      </w:pPr>
      <w:r>
        <w:rPr>
          <w:color w:val="000000"/>
        </w:rPr>
        <w:t>8</w:t>
      </w:r>
      <w:r>
        <w:rPr>
          <w:color w:val="000000"/>
        </w:rPr>
        <w:t>. Naudotojo mokestis netaikomas, jei mokama kelio dalis naudojama kaip apylanka, kuri pažymėta specialiais ženklais, taip pat kertant mokamą kelią, žiedinėse sankryžose, taip pat žemės ūkio veiklos subjektams, kurie užsiima žemdirbyste ir kurių metinės pajamos iš žemės ūkio veiklos sudaro daugiau kaip 50 procentų visų gautų pajamų, kai jie važiuoja iki savo dirbamo žemės lauko ir grįžta iš jo. Jeigu dėl nustatytos eismo tvarkos (kelio atitvarų, skiriamosios juostos ar kt.) nėra galimybės kirsti mokamo kelio stačiu kampu kelių sankryžoje arba atlikti posūkio iš vieno nemokamo kelio į kitą nemokamą kelią ir taip priverstinai įvažiuojama į mokamą kelią, važiuoti mokama kelio dalimi nesumokėjus naudotojo mokesčio leidžiama iki artimiausios apsisukimo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C64B88AA1">
        <w:r w:rsidRPr="00532B9F">
          <w:rPr>
            <w:rFonts w:ascii="Times New Roman" w:eastAsia="MS Mincho" w:hAnsi="Times New Roman"/>
            <w:sz w:val="20"/>
            <w:i/>
            <w:iCs/>
            <w:color w:val="0000FF" w:themeColor="hyperlink"/>
            <w:u w:val="single"/>
          </w:rPr>
          <w:t>3-112</w:t>
        </w:r>
      </w:fldSimple>
      <w:r>
        <w:rPr>
          <w:rFonts w:ascii="Times New Roman" w:eastAsia="MS Mincho" w:hAnsi="Times New Roman"/>
          <w:sz w:val="20"/>
          <w:i/>
          <w:iCs/>
        </w:rPr>
        <w:t>,
2011-02-24,
Žin., 2011, Nr.
25-1227 (2011-03-01), i. k. 1112210ISAK0003-112            </w:t>
      </w:r>
    </w:p>
    <w:p/>
    <w:p>
      <w:pPr>
        <w:widowControl w:val="0"/>
        <w:shd w:val="clear" w:color="auto" w:fill="FFFFFF"/>
        <w:ind w:firstLine="709"/>
        <w:jc w:val="both"/>
      </w:pPr>
      <w:r>
        <w:t>9</w:t>
      </w:r>
      <w:r>
        <w:t>. Vinjetė negalioja ir naudotojo mokestis laikomas nesumokėtu, jeigu:</w:t>
      </w:r>
    </w:p>
    <w:p>
      <w:pPr>
        <w:ind w:firstLine="709"/>
        <w:jc w:val="both"/>
      </w:pPr>
      <w:r>
        <w:t>9.1</w:t>
      </w:r>
      <w:r>
        <w:t>. vinjetė priklauso kitai kainos kategorijai</w:t>
      </w:r>
      <w:r>
        <w:rPr>
          <w:b/>
          <w:bCs/>
        </w:rPr>
        <w:t xml:space="preserve"> </w:t>
      </w:r>
      <w:r>
        <w:t>ar kitos kategorijos transporto priemonei, nei faktiškai nustatyta tikrinamai transporto priemonei, išskyrus atvejus, kai vinjetės kaina yra lygi ar</w:t>
      </w:r>
      <w:r>
        <w:rPr>
          <w:b/>
          <w:bCs/>
        </w:rPr>
        <w:t xml:space="preserve"> </w:t>
      </w:r>
      <w:r>
        <w:t xml:space="preserve">didesnė, nei reikalaujama tikrinamai transporto priemonei;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
      <w:pPr>
        <w:widowControl w:val="0"/>
        <w:shd w:val="clear" w:color="auto" w:fill="FFFFFF"/>
        <w:ind w:firstLine="709"/>
        <w:jc w:val="both"/>
      </w:pPr>
      <w:r>
        <w:t>9.2</w:t>
      </w:r>
      <w:r>
        <w:t>. vinjetės pagrindinė dalis originaliu lipniu paviršiumi nėra priklijuota prie transporto priemonės priekinio stiklo naudojimosi instrukcijoje parodytoje vietoje;</w:t>
      </w:r>
    </w:p>
    <w:p>
      <w:pPr>
        <w:widowControl w:val="0"/>
        <w:shd w:val="clear" w:color="auto" w:fill="FFFFFF"/>
        <w:ind w:firstLine="709"/>
        <w:jc w:val="both"/>
      </w:pPr>
      <w:r>
        <w:t>9.3</w:t>
      </w:r>
      <w:r>
        <w:t>. netiksliai pažymėta, visai nepažymėta vinjetės galiojimo pradžia ar pasibaigęs galiojimo laikotarpis, diena ir (ar) mėnesis pažymėti daugiau kaip 1 kartą;</w:t>
      </w:r>
    </w:p>
    <w:p>
      <w:pPr>
        <w:widowControl w:val="0"/>
        <w:shd w:val="clear" w:color="auto" w:fill="FFFFFF"/>
        <w:ind w:firstLine="709"/>
        <w:jc w:val="both"/>
      </w:pPr>
      <w:r>
        <w:t>9.4</w:t>
      </w:r>
      <w:r>
        <w:t>. vinjetės pagrindinėje dalyje ir (ar) kontroliniame kupone neaiškiai įrašytas, įrašytas daugiau kaip 1 kartą ar visai neįrašytas transporto priemonės valstybinis registracijos numeris arba jis neatitinka tikrinamos transporto priemonės valstybinio registracijos numerio, nurodyto transporto priemonės registracijos liudijime;</w:t>
      </w:r>
    </w:p>
    <w:p>
      <w:pPr>
        <w:ind w:firstLine="709"/>
        <w:jc w:val="both"/>
      </w:pPr>
      <w:r>
        <w:t>9.5</w:t>
      </w:r>
      <w:r>
        <w:t xml:space="preserve">. nesutampa vinjetės pagrindinėje dalyje ir kontroliniame kupone nurodyti duomenys (galiojimo pradžia (tik metų vinjetės), serija ir numeris, transporto priemonės valstybinis registracijos numeris);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
      <w:pPr>
        <w:widowControl w:val="0"/>
        <w:shd w:val="clear" w:color="auto" w:fill="FFFFFF"/>
        <w:ind w:firstLine="709"/>
        <w:jc w:val="both"/>
      </w:pPr>
      <w:r>
        <w:t>9.6</w:t>
      </w:r>
      <w:r>
        <w:t>. nepateikiamas kontrolinis kuponas.</w:t>
      </w:r>
    </w:p>
    <w:p>
      <w:pPr>
        <w:widowControl w:val="0"/>
        <w:shd w:val="clear" w:color="auto" w:fill="FFFFFF"/>
        <w:ind w:firstLine="709"/>
        <w:jc w:val="both"/>
      </w:pPr>
      <w:r>
        <w:t>10</w:t>
      </w:r>
      <w:r>
        <w:t>. Jei transporto priemonės patikrinimo metu nustatoma, kad yra bent viena sąlyga, išvardyta šio Aprašo 9 punkte, transporto priemonės savininkams ar valdytojams (vairuotojams) taikomos Lietuvos Respublikos administracinių teisės pažeidimų kodekse nustatytos sankcijos.</w:t>
      </w:r>
    </w:p>
    <w:p>
      <w:pPr>
        <w:pStyle w:val="PlainText"/>
        <w:ind w:firstLine="567"/>
        <w:jc w:val="both"/>
        <w:rPr>
          <w:rFonts w:ascii="Times New Roman" w:hAnsi="Times New Roman"/>
          <w:b/>
          <w:bCs/>
          <w:sz w:val="22"/>
        </w:rPr>
      </w:pPr>
      <w:r>
        <w:rPr>
          <w:rFonts w:ascii="Times New Roman" w:hAnsi="Times New Roman"/>
          <w:sz w:val="22"/>
        </w:rPr>
        <w:t>11</w:t>
      </w:r>
      <w:r>
        <w:rPr>
          <w:rFonts w:ascii="Times New Roman" w:hAnsi="Times New Roman"/>
          <w:sz w:val="22"/>
        </w:rPr>
        <w:t>.</w:t>
      </w:r>
      <w:r>
        <w:rPr>
          <w:rFonts w:ascii="Times New Roman" w:eastAsia="MS Mincho" w:hAnsi="Times New Roman"/>
          <w:sz w:val="20"/>
          <w:i/>
          <w:iCs/>
        </w:rPr>
        <w:t xml:space="preserve"> Neteko galios nuo 2008-02-10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
      <w:pPr>
        <w:widowControl w:val="0"/>
        <w:shd w:val="clear" w:color="auto" w:fill="FFFFFF"/>
        <w:ind w:firstLine="709"/>
        <w:jc w:val="both"/>
      </w:pPr>
      <w:r>
        <w:t>12</w:t>
      </w:r>
      <w:r>
        <w:t>. Vinjetės gali būti keičiamos šiais atvejais:</w:t>
      </w:r>
    </w:p>
    <w:p>
      <w:pPr>
        <w:widowControl w:val="0"/>
        <w:shd w:val="clear" w:color="auto" w:fill="FFFFFF"/>
        <w:ind w:firstLine="709"/>
        <w:jc w:val="both"/>
      </w:pPr>
      <w:r>
        <w:t>12.1</w:t>
      </w:r>
      <w:r>
        <w:t>. dėl suskilusio ar išdužusio transporto priemonės stiklo, ant kurio priklijuota vinjetės pagrindinė dalis;</w:t>
      </w:r>
    </w:p>
    <w:p>
      <w:pPr>
        <w:widowControl w:val="0"/>
        <w:ind w:firstLine="709"/>
        <w:jc w:val="both"/>
      </w:pPr>
      <w:r>
        <w:rPr>
          <w:color w:val="000000"/>
          <w:szCs w:val="24"/>
          <w:lang w:eastAsia="lt-LT"/>
        </w:rPr>
        <w:t>12.2</w:t>
      </w:r>
      <w:r>
        <w:rPr>
          <w:color w:val="000000"/>
          <w:szCs w:val="24"/>
          <w:lang w:eastAsia="lt-LT"/>
        </w:rPr>
        <w:t>. įvykus transporto priemonės avarijai ar kilus gaisrui, jei transporto priemonė sugadinama nepataisomai, taip pat sugedus transporto priemonei, kai jos remontas ekonomiškai netikslingas;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ind w:firstLine="709"/>
        <w:jc w:val="both"/>
      </w:pPr>
      <w:r>
        <w:rPr>
          <w:color w:val="000000"/>
          <w:szCs w:val="24"/>
          <w:lang w:eastAsia="lt-LT"/>
        </w:rPr>
        <w:t>12.3</w:t>
      </w:r>
      <w:r>
        <w:rPr>
          <w:color w:val="000000"/>
          <w:szCs w:val="24"/>
          <w:lang w:eastAsia="lt-LT"/>
        </w:rPr>
        <w:t>. dėl kontrolinio kupono praradimo;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12.4</w:t>
      </w:r>
      <w:r>
        <w:t>. dėl transporto priemonės vagystės;</w:t>
      </w:r>
    </w:p>
    <w:p>
      <w:pPr>
        <w:widowControl w:val="0"/>
        <w:suppressAutoHyphens/>
        <w:ind w:firstLine="709"/>
        <w:jc w:val="both"/>
        <w:textAlignment w:val="center"/>
      </w:pPr>
      <w:r>
        <w:rPr>
          <w:color w:val="000000"/>
          <w:szCs w:val="24"/>
        </w:rPr>
        <w:t>12.5</w:t>
      </w:r>
      <w:r>
        <w:rPr>
          <w:color w:val="000000"/>
          <w:szCs w:val="24"/>
        </w:rPr>
        <w:t>. suklydus įrašant į vinjetę ir/ar kontrolinį kuponą transporto priemonės valstybinį numerį;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ind w:firstLine="709"/>
        <w:jc w:val="both"/>
      </w:pPr>
      <w:r>
        <w:rPr>
          <w:color w:val="000000"/>
          <w:szCs w:val="24"/>
          <w:lang w:eastAsia="lt-LT"/>
        </w:rPr>
        <w:t>12.6</w:t>
      </w:r>
      <w:r>
        <w:rPr>
          <w:color w:val="000000"/>
          <w:szCs w:val="24"/>
          <w:lang w:eastAsia="lt-LT"/>
        </w:rPr>
        <w:t>. pardavus transporto priemonę užsienio šalių fiziniams ar juridiniams asmenims.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13</w:t>
      </w:r>
      <w:r>
        <w:t>. Norėdami pakeisti vinjetę, transporto priemonių savininkai ar valdytojai (vairuotojai) Kelių direkcijai privalo pateikti prašymą bei šiuos dokumentus:</w:t>
      </w:r>
    </w:p>
    <w:p>
      <w:pPr>
        <w:widowControl w:val="0"/>
        <w:shd w:val="clear" w:color="auto" w:fill="FFFFFF"/>
        <w:ind w:firstLine="709"/>
        <w:jc w:val="both"/>
      </w:pPr>
      <w:r>
        <w:t>13.1</w:t>
      </w:r>
      <w:r>
        <w:t>. esant šio Aprašo 12.1 punkte numatytiems atvejams:</w:t>
      </w:r>
    </w:p>
    <w:p>
      <w:pPr>
        <w:widowControl w:val="0"/>
        <w:shd w:val="clear" w:color="auto" w:fill="FFFFFF"/>
        <w:ind w:firstLine="709"/>
        <w:jc w:val="both"/>
      </w:pPr>
      <w:r>
        <w:t>13.1.1</w:t>
      </w:r>
      <w:r>
        <w:t>. kontrolinį kuponą;</w:t>
      </w:r>
    </w:p>
    <w:p>
      <w:pPr>
        <w:pStyle w:val="PlainText"/>
        <w:ind w:firstLine="567"/>
        <w:jc w:val="both"/>
        <w:rPr>
          <w:rFonts w:ascii="Times New Roman" w:hAnsi="Times New Roman"/>
          <w:b/>
          <w:bCs/>
          <w:sz w:val="22"/>
        </w:rPr>
      </w:pPr>
      <w:r>
        <w:rPr>
          <w:rFonts w:ascii="Times New Roman" w:hAnsi="Times New Roman"/>
          <w:sz w:val="22"/>
        </w:rPr>
        <w:t>13.1.2</w:t>
      </w:r>
      <w:r>
        <w:rPr>
          <w:rFonts w:ascii="Times New Roman" w:hAnsi="Times New Roman"/>
          <w:sz w:val="22"/>
        </w:rPr>
        <w:t>.</w:t>
      </w:r>
      <w:r>
        <w:rPr>
          <w:rFonts w:ascii="Times New Roman" w:eastAsia="MS Mincho" w:hAnsi="Times New Roman"/>
          <w:sz w:val="20"/>
          <w:i/>
          <w:iCs/>
        </w:rPr>
        <w:t xml:space="preserve"> Neteko galios nuo 2010-01-13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shd w:val="clear" w:color="auto" w:fill="FFFFFF"/>
        <w:ind w:firstLine="709"/>
        <w:jc w:val="both"/>
      </w:pPr>
      <w:r>
        <w:t>13.1.3</w:t>
      </w:r>
      <w:r>
        <w:t>. transporto priemonės registracijos liudijimą;</w:t>
      </w:r>
    </w:p>
    <w:p>
      <w:pPr>
        <w:ind w:firstLine="709"/>
        <w:jc w:val="both"/>
      </w:pPr>
      <w:r>
        <w:rPr>
          <w:lang w:eastAsia="lt-LT"/>
        </w:rPr>
        <w:t>13.1.4</w:t>
      </w:r>
      <w:r>
        <w:rPr>
          <w:lang w:eastAsia="lt-LT"/>
        </w:rPr>
        <w:t xml:space="preserve">. vinjetės įsigijimo kasos </w:t>
      </w:r>
      <w:r>
        <w:rPr>
          <w:color w:val="000000"/>
          <w:szCs w:val="24"/>
        </w:rPr>
        <w:t>aparato kvitą</w:t>
      </w:r>
      <w:r>
        <w:rPr>
          <w:lang w:eastAsia="lt-LT"/>
        </w:rPr>
        <w:t>, sąskaitą faktūrą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shd w:val="clear" w:color="auto" w:fill="FFFFFF"/>
        <w:ind w:firstLine="709"/>
        <w:jc w:val="both"/>
      </w:pPr>
      <w:r>
        <w:t>13.2</w:t>
      </w:r>
      <w:r>
        <w:t>. esant šio Aprašo 12.2 punkte numatytiems atvejams:</w:t>
      </w:r>
    </w:p>
    <w:p>
      <w:pPr>
        <w:widowControl w:val="0"/>
        <w:ind w:firstLine="709"/>
        <w:jc w:val="both"/>
      </w:pPr>
      <w:r>
        <w:rPr>
          <w:color w:val="000000"/>
          <w:szCs w:val="24"/>
          <w:lang w:eastAsia="lt-LT"/>
        </w:rPr>
        <w:t>13.2.1</w:t>
      </w:r>
      <w:r>
        <w:rPr>
          <w:color w:val="000000"/>
          <w:szCs w:val="24"/>
          <w:lang w:eastAsia="lt-LT"/>
        </w:rPr>
        <w:t>. kontrolinį kuponą, jeigu jis nebuvo sunaikintas gaisro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ind w:firstLine="709"/>
        <w:jc w:val="both"/>
      </w:pPr>
      <w:r>
        <w:rPr>
          <w:color w:val="000000"/>
          <w:szCs w:val="24"/>
          <w:lang w:eastAsia="lt-LT"/>
        </w:rPr>
        <w:t>13.2.2</w:t>
      </w:r>
      <w:r>
        <w:rPr>
          <w:color w:val="000000"/>
          <w:szCs w:val="24"/>
          <w:lang w:eastAsia="lt-LT"/>
        </w:rPr>
        <w:t>. valstybės įmonės „Regitra“ pažymą apie transporto priemonės išregistravimą iš Kelių transporto priemonių registro duomenų bazės;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ind w:firstLine="709"/>
        <w:jc w:val="both"/>
      </w:pPr>
      <w:r>
        <w:rPr>
          <w:color w:val="000000"/>
          <w:szCs w:val="24"/>
          <w:lang w:eastAsia="lt-LT"/>
        </w:rPr>
        <w:t>13.2.3</w:t>
      </w:r>
      <w:r>
        <w:rPr>
          <w:color w:val="000000"/>
          <w:szCs w:val="24"/>
          <w:lang w:eastAsia="lt-LT"/>
        </w:rPr>
        <w:t>. įmonės, kuri turi teisę verstis utilizavimo veikla, pažymą apie priimtą utilizuoti transporto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BBC64B88AA1">
        <w:r w:rsidRPr="00532B9F">
          <w:rPr>
            <w:rFonts w:ascii="Times New Roman" w:eastAsia="MS Mincho" w:hAnsi="Times New Roman"/>
            <w:sz w:val="20"/>
            <w:i/>
            <w:iCs/>
            <w:color w:val="0000FF" w:themeColor="hyperlink"/>
            <w:u w:val="single"/>
          </w:rPr>
          <w:t>3-112</w:t>
        </w:r>
      </w:fldSimple>
      <w:r>
        <w:rPr>
          <w:rFonts w:ascii="Times New Roman" w:eastAsia="MS Mincho" w:hAnsi="Times New Roman"/>
          <w:sz w:val="20"/>
          <w:i/>
          <w:iCs/>
        </w:rPr>
        <w:t>,
2011-02-24,
Žin., 2011, Nr.
25-1227 (2011-03-01), i. k. 1112210ISAK0003-112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13.2.4</w:t>
      </w:r>
      <w:r>
        <w:t>. transporto priemonės registracijos liudijimą;</w:t>
      </w:r>
    </w:p>
    <w:p>
      <w:pPr>
        <w:ind w:firstLine="709"/>
        <w:jc w:val="both"/>
      </w:pPr>
      <w:r>
        <w:rPr>
          <w:lang w:eastAsia="lt-LT"/>
        </w:rPr>
        <w:t>13.2.5</w:t>
      </w:r>
      <w:r>
        <w:rPr>
          <w:lang w:eastAsia="lt-LT"/>
        </w:rPr>
        <w:t>. vinjetės įsigijimo kasos aparato kvitą, sąskaitą faktūrą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shd w:val="clear" w:color="auto" w:fill="FFFFFF"/>
        <w:ind w:firstLine="709"/>
        <w:jc w:val="both"/>
      </w:pPr>
      <w:r>
        <w:t>13.3</w:t>
      </w:r>
      <w:r>
        <w:t>. esant šio Aprašo 12.3 punkte numatytiems atvejams:</w:t>
      </w:r>
    </w:p>
    <w:p>
      <w:pPr>
        <w:widowControl w:val="0"/>
        <w:suppressAutoHyphens/>
        <w:ind w:firstLine="709"/>
        <w:jc w:val="both"/>
        <w:textAlignment w:val="center"/>
      </w:pPr>
      <w:r>
        <w:rPr>
          <w:color w:val="000000"/>
          <w:szCs w:val="24"/>
        </w:rPr>
        <w:t>13.3.1</w:t>
      </w:r>
      <w:r>
        <w:rPr>
          <w:color w:val="000000"/>
          <w:szCs w:val="24"/>
        </w:rPr>
        <w:t>. vinjetės pagrindinę dalį, kad būtų matomi bent 3 skaičiai iš 7 skaičių serijos bei raidė;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shd w:val="clear" w:color="auto" w:fill="FFFFFF"/>
        <w:ind w:firstLine="709"/>
        <w:jc w:val="both"/>
      </w:pPr>
      <w:r>
        <w:t>13.3.2</w:t>
      </w:r>
      <w:r>
        <w:t>. pažymą iš policijos apie vagystę;</w:t>
      </w:r>
    </w:p>
    <w:p>
      <w:pPr>
        <w:widowControl w:val="0"/>
        <w:ind w:firstLine="709"/>
        <w:jc w:val="both"/>
      </w:pPr>
      <w:r>
        <w:rPr>
          <w:color w:val="000000"/>
          <w:szCs w:val="24"/>
          <w:lang w:eastAsia="lt-LT"/>
        </w:rPr>
        <w:t>13.3.3</w:t>
      </w:r>
      <w:r>
        <w:rPr>
          <w:color w:val="000000"/>
          <w:szCs w:val="24"/>
          <w:lang w:eastAsia="lt-LT"/>
        </w:rPr>
        <w:t>. transporto priemonės registracijos liudijimą;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ind w:firstLine="709"/>
        <w:jc w:val="both"/>
      </w:pPr>
      <w:r>
        <w:rPr>
          <w:lang w:eastAsia="lt-LT"/>
        </w:rPr>
        <w:t>13.3.4</w:t>
      </w:r>
      <w:r>
        <w:rPr>
          <w:lang w:eastAsia="lt-LT"/>
        </w:rPr>
        <w:t>. vinjetės įsigijimo kasos aparato kvitą, sąskaitą faktūrą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shd w:val="clear" w:color="auto" w:fill="FFFFFF"/>
        <w:ind w:firstLine="709"/>
        <w:jc w:val="both"/>
      </w:pPr>
      <w:r>
        <w:t>13.4</w:t>
      </w:r>
      <w:r>
        <w:t>. esant šio Aprašo 12.4 punkte numatytiems atvejams:</w:t>
      </w:r>
    </w:p>
    <w:p>
      <w:pPr>
        <w:widowControl w:val="0"/>
        <w:shd w:val="clear" w:color="auto" w:fill="FFFFFF"/>
        <w:ind w:firstLine="709"/>
        <w:jc w:val="both"/>
      </w:pPr>
      <w:r>
        <w:t>13.4.1</w:t>
      </w:r>
      <w:r>
        <w:t>. kontrolinį kuponą, jeigu jis nebuvo prarastas įvykio metu;</w:t>
      </w:r>
    </w:p>
    <w:p>
      <w:pPr>
        <w:widowControl w:val="0"/>
        <w:suppressAutoHyphens/>
        <w:ind w:firstLine="709"/>
        <w:jc w:val="both"/>
        <w:textAlignment w:val="center"/>
      </w:pPr>
      <w:r>
        <w:rPr>
          <w:color w:val="000000"/>
          <w:szCs w:val="24"/>
        </w:rPr>
        <w:t>13.4.2</w:t>
      </w:r>
      <w:r>
        <w:rPr>
          <w:color w:val="000000"/>
          <w:szCs w:val="24"/>
        </w:rPr>
        <w:t>. dokumentą iš policijos ar draudimo bendrovės apie atliktą įvykio tyrimą;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shd w:val="clear" w:color="auto" w:fill="FFFFFF"/>
        <w:ind w:firstLine="709"/>
        <w:jc w:val="both"/>
      </w:pPr>
      <w:r>
        <w:t>13.4.3</w:t>
      </w:r>
      <w:r>
        <w:t>. transporto priemonės registracijos liudijimą, jeigu jis nebuvo prarastas įvykio metu;</w:t>
      </w:r>
    </w:p>
    <w:p>
      <w:pPr>
        <w:widowControl w:val="0"/>
        <w:suppressAutoHyphens/>
        <w:ind w:firstLine="709"/>
        <w:jc w:val="both"/>
        <w:textAlignment w:val="center"/>
      </w:pPr>
      <w:r>
        <w:rPr>
          <w:color w:val="000000"/>
          <w:szCs w:val="24"/>
        </w:rPr>
        <w:t>13.4.4</w:t>
      </w:r>
      <w:r>
        <w:rPr>
          <w:color w:val="000000"/>
          <w:szCs w:val="24"/>
        </w:rPr>
        <w:t>. vinjetės įsigijimo kasos aparato kvitą, sąskaitą faktūrą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ind w:firstLine="709"/>
        <w:jc w:val="both"/>
        <w:rPr>
          <w:lang w:eastAsia="lt-LT"/>
        </w:rPr>
      </w:pPr>
      <w:r>
        <w:rPr>
          <w:lang w:eastAsia="lt-LT"/>
        </w:rPr>
        <w:t>13.5</w:t>
      </w:r>
      <w:r>
        <w:rPr>
          <w:lang w:eastAsia="lt-LT"/>
        </w:rPr>
        <w:t>. esant šio Aprašo 12.5 punkte numatytiems atvejams:</w:t>
      </w:r>
    </w:p>
    <w:p>
      <w:pPr>
        <w:ind w:firstLine="709"/>
        <w:jc w:val="both"/>
        <w:rPr>
          <w:lang w:eastAsia="lt-LT"/>
        </w:rPr>
      </w:pPr>
      <w:r>
        <w:rPr>
          <w:lang w:eastAsia="lt-LT"/>
        </w:rPr>
        <w:t>13.5.1</w:t>
      </w:r>
      <w:r>
        <w:rPr>
          <w:lang w:eastAsia="lt-LT"/>
        </w:rPr>
        <w:t>. vinjetę;</w:t>
      </w:r>
    </w:p>
    <w:p>
      <w:pPr>
        <w:ind w:firstLine="709"/>
        <w:jc w:val="both"/>
        <w:rPr>
          <w:lang w:eastAsia="lt-LT"/>
        </w:rPr>
      </w:pPr>
      <w:r>
        <w:rPr>
          <w:lang w:eastAsia="lt-LT"/>
        </w:rPr>
        <w:t>13.5.2</w:t>
      </w:r>
      <w:r>
        <w:rPr>
          <w:lang w:eastAsia="lt-LT"/>
        </w:rPr>
        <w:t>. transporto priemonės, kuriai norėta įsigyti vinjetę, registracijos liudijimą;</w:t>
      </w:r>
    </w:p>
    <w:p>
      <w:pPr>
        <w:pStyle w:val="PlainText"/>
        <w:ind w:firstLine="567"/>
        <w:jc w:val="both"/>
        <w:rPr>
          <w:rFonts w:ascii="Times New Roman" w:hAnsi="Times New Roman"/>
          <w:b/>
          <w:bCs/>
          <w:sz w:val="22"/>
        </w:rPr>
      </w:pPr>
      <w:r>
        <w:rPr>
          <w:rFonts w:ascii="Times New Roman" w:hAnsi="Times New Roman"/>
          <w:sz w:val="22"/>
        </w:rPr>
        <w:t>13.5.3</w:t>
      </w:r>
      <w:r>
        <w:rPr>
          <w:rFonts w:ascii="Times New Roman" w:hAnsi="Times New Roman"/>
          <w:sz w:val="22"/>
        </w:rPr>
        <w:t>.</w:t>
      </w:r>
      <w:r>
        <w:rPr>
          <w:rFonts w:ascii="Times New Roman" w:eastAsia="MS Mincho" w:hAnsi="Times New Roman"/>
          <w:sz w:val="20"/>
          <w:i/>
          <w:iCs/>
        </w:rPr>
        <w:t xml:space="preserve"> Neteko galios nuo 2010-01-13</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ind w:firstLine="709"/>
        <w:jc w:val="both"/>
      </w:pPr>
      <w:r>
        <w:rPr>
          <w:lang w:eastAsia="lt-LT"/>
        </w:rPr>
        <w:t>13.5.4</w:t>
      </w:r>
      <w:r>
        <w:rPr>
          <w:lang w:eastAsia="lt-LT"/>
        </w:rPr>
        <w:t>. vinjetės įsigijimo kasos aparato kvitą, sąskaitą faktūrą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
      <w:pPr>
        <w:widowControl w:val="0"/>
        <w:ind w:firstLine="709"/>
        <w:jc w:val="both"/>
        <w:rPr>
          <w:color w:val="000000"/>
          <w:szCs w:val="24"/>
          <w:lang w:eastAsia="lt-LT"/>
        </w:rPr>
      </w:pPr>
      <w:r>
        <w:rPr>
          <w:color w:val="000000"/>
          <w:szCs w:val="24"/>
          <w:lang w:eastAsia="lt-LT"/>
        </w:rPr>
        <w:t>13.6</w:t>
      </w:r>
      <w:r>
        <w:rPr>
          <w:color w:val="000000"/>
          <w:szCs w:val="24"/>
          <w:lang w:eastAsia="lt-LT"/>
        </w:rPr>
        <w:t>. esant šio Aprašo 12.6 punkte numatytiems atvejams:</w:t>
      </w:r>
    </w:p>
    <w:p>
      <w:pPr>
        <w:widowControl w:val="0"/>
        <w:ind w:firstLine="709"/>
        <w:jc w:val="both"/>
        <w:rPr>
          <w:color w:val="000000"/>
          <w:szCs w:val="24"/>
          <w:lang w:eastAsia="lt-LT"/>
        </w:rPr>
      </w:pPr>
      <w:r>
        <w:rPr>
          <w:color w:val="000000"/>
          <w:szCs w:val="24"/>
          <w:lang w:eastAsia="lt-LT"/>
        </w:rPr>
        <w:t>13.6.1</w:t>
      </w:r>
      <w:r>
        <w:rPr>
          <w:color w:val="000000"/>
          <w:szCs w:val="24"/>
          <w:lang w:eastAsia="lt-LT"/>
        </w:rPr>
        <w:t>. transporto priemonės pirkimo ir pardavimo sutartį;</w:t>
      </w:r>
    </w:p>
    <w:p>
      <w:pPr>
        <w:widowControl w:val="0"/>
        <w:ind w:firstLine="709"/>
        <w:jc w:val="both"/>
        <w:rPr>
          <w:color w:val="000000"/>
          <w:szCs w:val="24"/>
          <w:lang w:eastAsia="lt-LT"/>
        </w:rPr>
      </w:pPr>
      <w:r>
        <w:rPr>
          <w:color w:val="000000"/>
          <w:szCs w:val="24"/>
          <w:lang w:eastAsia="lt-LT"/>
        </w:rPr>
        <w:t>13.6.2</w:t>
      </w:r>
      <w:r>
        <w:rPr>
          <w:color w:val="000000"/>
          <w:szCs w:val="24"/>
          <w:lang w:eastAsia="lt-LT"/>
        </w:rPr>
        <w:t>. valstybės įmonės „Regitra“ pažymą apie transporto priemonės išregistravimą iš Kelių transporto priemonių registro duomenų bazės;</w:t>
      </w:r>
    </w:p>
    <w:p>
      <w:pPr>
        <w:widowControl w:val="0"/>
        <w:ind w:firstLine="709"/>
        <w:jc w:val="both"/>
        <w:rPr>
          <w:color w:val="000000"/>
          <w:szCs w:val="24"/>
          <w:lang w:eastAsia="lt-LT"/>
        </w:rPr>
      </w:pPr>
      <w:r>
        <w:rPr>
          <w:color w:val="000000"/>
          <w:szCs w:val="24"/>
          <w:lang w:eastAsia="lt-LT"/>
        </w:rPr>
        <w:t>13.6.3</w:t>
      </w:r>
      <w:r>
        <w:rPr>
          <w:color w:val="000000"/>
          <w:szCs w:val="24"/>
          <w:lang w:eastAsia="lt-LT"/>
        </w:rPr>
        <w:t>. kontrolinį kuponą;</w:t>
      </w:r>
    </w:p>
    <w:p>
      <w:pPr>
        <w:widowControl w:val="0"/>
        <w:ind w:firstLine="709"/>
        <w:jc w:val="both"/>
        <w:rPr>
          <w:color w:val="000000"/>
          <w:szCs w:val="24"/>
          <w:lang w:eastAsia="lt-LT"/>
        </w:rPr>
      </w:pPr>
      <w:r>
        <w:rPr>
          <w:color w:val="000000"/>
          <w:szCs w:val="24"/>
          <w:lang w:eastAsia="lt-LT"/>
        </w:rPr>
        <w:t>13.6.4</w:t>
      </w:r>
      <w:r>
        <w:rPr>
          <w:color w:val="000000"/>
          <w:szCs w:val="24"/>
          <w:lang w:eastAsia="lt-LT"/>
        </w:rPr>
        <w:t>. transporto priemonės registracijos liudijimo kopiją;</w:t>
      </w:r>
    </w:p>
    <w:p>
      <w:pPr>
        <w:widowControl w:val="0"/>
        <w:ind w:firstLine="709"/>
        <w:jc w:val="both"/>
      </w:pPr>
      <w:r>
        <w:rPr>
          <w:color w:val="000000"/>
          <w:szCs w:val="24"/>
          <w:lang w:eastAsia="lt-LT"/>
        </w:rPr>
        <w:t>13.6.5</w:t>
      </w:r>
      <w:r>
        <w:rPr>
          <w:color w:val="000000"/>
          <w:szCs w:val="24"/>
          <w:lang w:eastAsia="lt-LT"/>
        </w:rPr>
        <w:t>. vinjetės įsigijimo kasos aparato kvitą, sąskaitą faktūrą ar pan.</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uppressAutoHyphens/>
        <w:ind w:firstLine="709"/>
        <w:jc w:val="both"/>
        <w:textAlignment w:val="center"/>
      </w:pPr>
      <w:r>
        <w:rPr>
          <w:color w:val="000000"/>
          <w:szCs w:val="24"/>
        </w:rPr>
        <w:t>14</w:t>
      </w:r>
      <w:r>
        <w:rPr>
          <w:color w:val="000000"/>
          <w:szCs w:val="24"/>
        </w:rPr>
        <w:t>. Transporto priemonių savininkai ar valdytojai (vairuotojai) prašymą ir reikiamus dokumentus Kelių direkcijai dėl vinjetės keitimo esant 12.5 punkte nurodytam atvejui privalo pateikti ne vėliau kaip per 5 darbo dienas nuo vinjetės įsigijimo dienos. Keisti pateikiama vinjetė privalo būti originali, t.y. vinjetės kontrolinis kuponas negali būti atskirtas (atplėštas) nuo vinjetės pagrindinės dalies, vinjetė atklijuota nuo pagrindo, kitaip techniškai pažeista (išskyrus galiojimo datos pažymėjimą). Taip pat pateikiamoje keisti vinjetėje transporto priemonės valstybinis numeris negali būti taisytas ir (ar) įrašytas daugiau kaip vieną kartą.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
      <w:pPr>
        <w:widowControl w:val="0"/>
        <w:ind w:firstLine="709"/>
        <w:jc w:val="both"/>
      </w:pPr>
      <w:r>
        <w:rPr>
          <w:color w:val="000000"/>
          <w:szCs w:val="24"/>
          <w:lang w:eastAsia="lt-LT"/>
        </w:rPr>
        <w:t>15</w:t>
      </w:r>
      <w:r>
        <w:rPr>
          <w:color w:val="000000"/>
          <w:szCs w:val="24"/>
          <w:lang w:eastAsia="lt-LT"/>
        </w:rPr>
        <w:t>. Vinjetė, išskyrus dienos, keičiama Kelių direkcijoje vinjetės galiojimo laikotarpiu. Pakeistoje vinjetėje išlieka tas pats galiojimo laikas. Šio Aprašo 12.1 ir 12.3 punktuose numatytais atvejais pakeista vinjetė išduodama tai pačiai transporto priemonei, 12.2, 12.4, 12.5 ir 12.6 punktuose numatytais atvejais – kitai, bet tos pačios kategorijos transporto priemonei. Jeigu prie prašymo pakeisti metų vinjetę nepateikiamas vinjetės įsigijimo kasos aparato kvitas, sąskaita faktūra ar pan. arba jeigu iš pateiktų dokumentų negalima nustatyti tikslios vinjetės pirkimo datos, naujai išduodamos vinjetės galiojimo pradžia žymima nuo mėnesio, pažymėto kontroliniame kupone, pirmosios dienos. Savaitės ir mėnesio vinjetės 12.6 punkte numatytu atveju nekeičiamos, kitais atvejais – tik pateikus vinjetės įsigijimo kasos aparato kvitą, sąskaitą faktūrą ar pan. Keičiant vinjetę papildomai mokesčio mokėti nereikia.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232BE5A915">
        <w:r w:rsidRPr="00532B9F">
          <w:rPr>
            <w:rFonts w:ascii="Times New Roman" w:eastAsia="MS Mincho" w:hAnsi="Times New Roman"/>
            <w:sz w:val="20"/>
            <w:i/>
            <w:iCs/>
            <w:color w:val="0000FF" w:themeColor="hyperlink"/>
            <w:u w:val="single"/>
          </w:rPr>
          <w:t>3-21</w:t>
        </w:r>
      </w:fldSimple>
      <w:r>
        <w:rPr>
          <w:rFonts w:ascii="Times New Roman" w:eastAsia="MS Mincho" w:hAnsi="Times New Roman"/>
          <w:sz w:val="20"/>
          <w:i/>
          <w:iCs/>
        </w:rPr>
        <w:t>,
2010-01-05,
Žin., 2010, Nr.
4-178 (2010-01-12), i. k. 1102210ISAK00003-21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widowControl w:val="0"/>
        <w:shd w:val="clear" w:color="auto" w:fill="FFFFFF"/>
        <w:ind w:firstLine="709"/>
        <w:jc w:val="both"/>
      </w:pPr>
      <w:r>
        <w:t>16</w:t>
      </w:r>
      <w:r>
        <w:t>. Keičiant transporto priemonės valstybinius registracijos numerius, vinjetė tebegalioja, nors ant jos pažymėtas senasis registracijos numeris. Transporto priemonės patikrinimo metu transporto priemonės savininkas ar valdytojas (vairuotojas) privalo pateikti dokumentus, įrodančius, kad vinjetėje įrašytas valstybinis numeris priklausė tai pačiai transporto priemonei.</w:t>
      </w:r>
    </w:p>
    <w:p>
      <w:pPr>
        <w:widowControl w:val="0"/>
        <w:shd w:val="clear" w:color="auto" w:fill="FFFFFF"/>
        <w:ind w:firstLine="709"/>
        <w:jc w:val="both"/>
      </w:pPr>
      <w:r>
        <w:t>17</w:t>
      </w:r>
      <w:r>
        <w:t xml:space="preserve">. Transporto priemonių savininkai – žemės ūkio veiklos subjektai, siekdami įrodyti, kad jiems taikomos savininkų ar valdytojų naudotojo mokesčio lengvatos, turi pateikti Žemės ūkio veiklos subjektų pajamų dalies, gaunamos iš žemės ūkio veiklos, įvertinimo metodikos, patvirtintos žemės ūkio ministro 2003 m. vasario 26 d. įsakymu Nr. 3D-66 (Žin., 2003, Nr. </w:t>
      </w:r>
      <w:hyperlink r:id="rId23" w:tgtFrame="_blank" w:history="1">
        <w:r>
          <w:rPr>
            <w:color w:val="0000FF" w:themeColor="hyperlink"/>
            <w:u w:val="single"/>
          </w:rPr>
          <w:t>22-936</w:t>
        </w:r>
      </w:hyperlink>
      <w:r>
        <w:t>), priede nurodytą pažymą apie žemės ūkio veiklos subjekto pajamas per praėjusius kalendorinius metus.</w:t>
      </w:r>
    </w:p>
    <w:p>
      <w:pPr>
        <w:ind w:firstLine="709"/>
        <w:jc w:val="both"/>
      </w:pPr>
      <w:r>
        <w:rPr>
          <w:lang w:eastAsia="lt-LT"/>
        </w:rPr>
        <w:t>18</w:t>
      </w:r>
      <w:r>
        <w:rPr>
          <w:lang w:eastAsia="lt-LT"/>
        </w:rPr>
        <w:t>. Transporto priemonių savininkams ar valdytojams naudotojo mokestis negrąžinamas.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BAC8474F95A">
        <w:r w:rsidRPr="00532B9F">
          <w:rPr>
            <w:rFonts w:ascii="Times New Roman" w:eastAsia="MS Mincho" w:hAnsi="Times New Roman"/>
            <w:sz w:val="20"/>
            <w:i/>
            <w:iCs/>
            <w:color w:val="0000FF" w:themeColor="hyperlink"/>
            <w:u w:val="single"/>
          </w:rPr>
          <w:t>3-260</w:t>
        </w:r>
      </w:fldSimple>
      <w:r>
        <w:rPr>
          <w:rFonts w:ascii="Times New Roman" w:eastAsia="MS Mincho" w:hAnsi="Times New Roman"/>
          <w:sz w:val="20"/>
          <w:i/>
          <w:iCs/>
        </w:rPr>
        <w:t>,
2009-06-11,
Žin., 2009, Nr.
72-2941 (2009-06-18), i. k. 1092210ISAK0003-260        </w:t>
      </w:r>
    </w:p>
    <w:p/>
    <w:p>
      <w:pPr>
        <w:widowControl w:val="0"/>
        <w:shd w:val="clear" w:color="auto" w:fill="FFFFFF"/>
        <w:tabs>
          <w:tab w:val="left" w:pos="4860"/>
        </w:tabs>
        <w:ind w:firstLine="709"/>
      </w:pPr>
      <w:r>
        <w:t>SUDERINTA</w:t>
        <w:tab/>
        <w:t>SUDERINTA</w:t>
      </w:r>
    </w:p>
    <w:p>
      <w:pPr>
        <w:widowControl w:val="0"/>
        <w:shd w:val="clear" w:color="auto" w:fill="FFFFFF"/>
        <w:tabs>
          <w:tab w:val="left" w:pos="4860"/>
        </w:tabs>
        <w:ind w:firstLine="709"/>
      </w:pPr>
      <w:r>
        <w:t>Muitinės departamento prie Finansų</w:t>
        <w:tab/>
        <w:t>Valstybinės kelių transporto inspekcijos</w:t>
      </w:r>
    </w:p>
    <w:p>
      <w:pPr>
        <w:widowControl w:val="0"/>
        <w:shd w:val="clear" w:color="auto" w:fill="FFFFFF"/>
        <w:tabs>
          <w:tab w:val="left" w:pos="4860"/>
        </w:tabs>
        <w:ind w:firstLine="709"/>
      </w:pPr>
      <w:r>
        <w:t>ministerijos generalinis direktorius</w:t>
        <w:tab/>
        <w:t>prie Susisiekimo ministerijos viršininkas</w:t>
      </w:r>
    </w:p>
    <w:p>
      <w:pPr>
        <w:widowControl w:val="0"/>
        <w:shd w:val="clear" w:color="auto" w:fill="FFFFFF"/>
        <w:tabs>
          <w:tab w:val="left" w:pos="4860"/>
        </w:tabs>
        <w:ind w:firstLine="709"/>
      </w:pPr>
      <w:r>
        <w:t>Rimutis Klevečka</w:t>
        <w:tab/>
        <w:t>Vidmantas Žukauskas</w:t>
      </w:r>
    </w:p>
    <w:p>
      <w:pPr>
        <w:widowControl w:val="0"/>
        <w:shd w:val="clear" w:color="auto" w:fill="FFFFFF"/>
        <w:tabs>
          <w:tab w:val="left" w:pos="4860"/>
        </w:tabs>
        <w:ind w:firstLine="709"/>
      </w:pPr>
      <w:r>
        <w:t>2007 m. kovo 19 d.</w:t>
        <w:tab/>
        <w:t>2007 m. kovo 14 d.</w:t>
      </w:r>
    </w:p>
    <w:p>
      <w:pPr>
        <w:widowControl w:val="0"/>
        <w:shd w:val="clear" w:color="auto" w:fill="FFFFFF"/>
        <w:tabs>
          <w:tab w:val="left" w:pos="4860"/>
          <w:tab w:val="left" w:pos="4900"/>
        </w:tabs>
        <w:ind w:firstLine="709"/>
      </w:pPr>
    </w:p>
    <w:p>
      <w:pPr>
        <w:widowControl w:val="0"/>
        <w:shd w:val="clear" w:color="auto" w:fill="FFFFFF"/>
        <w:tabs>
          <w:tab w:val="left" w:pos="4860"/>
          <w:tab w:val="left" w:pos="4900"/>
        </w:tabs>
        <w:ind w:firstLine="709"/>
      </w:pPr>
      <w:r>
        <w:t>SUDERINTA</w:t>
      </w:r>
    </w:p>
    <w:p>
      <w:pPr>
        <w:widowControl w:val="0"/>
        <w:shd w:val="clear" w:color="auto" w:fill="FFFFFF"/>
        <w:tabs>
          <w:tab w:val="left" w:pos="4860"/>
          <w:tab w:val="left" w:pos="4900"/>
        </w:tabs>
        <w:ind w:firstLine="709"/>
      </w:pPr>
      <w:r>
        <w:t>Lietuvos policijos</w:t>
      </w:r>
    </w:p>
    <w:p>
      <w:pPr>
        <w:widowControl w:val="0"/>
        <w:shd w:val="clear" w:color="auto" w:fill="FFFFFF"/>
        <w:tabs>
          <w:tab w:val="left" w:pos="4860"/>
          <w:tab w:val="left" w:pos="4900"/>
        </w:tabs>
        <w:ind w:firstLine="709"/>
      </w:pPr>
      <w:r>
        <w:t>generalinis komisaras</w:t>
      </w:r>
    </w:p>
    <w:p>
      <w:pPr>
        <w:widowControl w:val="0"/>
        <w:shd w:val="clear" w:color="auto" w:fill="FFFFFF"/>
        <w:tabs>
          <w:tab w:val="left" w:pos="4860"/>
          <w:tab w:val="left" w:pos="4900"/>
        </w:tabs>
        <w:ind w:firstLine="709"/>
      </w:pPr>
      <w:r>
        <w:t>Vytautas Grigaravičius</w:t>
      </w:r>
    </w:p>
    <w:p>
      <w:pPr>
        <w:widowControl w:val="0"/>
        <w:shd w:val="clear" w:color="auto" w:fill="FFFFFF"/>
        <w:tabs>
          <w:tab w:val="left" w:pos="4860"/>
          <w:tab w:val="left" w:pos="4900"/>
        </w:tabs>
        <w:ind w:firstLine="709"/>
      </w:pPr>
      <w:r>
        <w:t>2007 m. kovo 19 d.</w:t>
      </w:r>
    </w:p>
    <w:p>
      <w:pPr>
        <w:widowControl w:val="0"/>
        <w:jc w:val="center"/>
      </w:pPr>
      <w:r>
        <w:t>______________</w:t>
      </w:r>
    </w:p>
    <w:p>
      <w:pPr>
        <w:widowControl w:val="0"/>
        <w:ind w:firstLine="709"/>
        <w:jc w:val="both"/>
      </w:pPr>
    </w:p>
    <w:p>
      <w:pPr>
        <w:widowControl w:val="0"/>
        <w:ind w:firstLine="709"/>
      </w:pPr>
    </w:p>
    <w:p>
      <w:pPr>
        <w:ind w:left="4535"/>
        <w:rPr>
          <w:szCs w:val="24"/>
          <w:lang w:eastAsia="lt-LT"/>
        </w:rPr>
      </w:pPr>
      <w:r>
        <w:rPr>
          <w:rFonts w:ascii="Franklin Gothic Medium Cond" w:hAnsi="Franklin Gothic Medium Cond"/>
          <w:caps/>
          <w:color w:val="000000"/>
          <w:szCs w:val="24"/>
          <w:lang w:eastAsia="lt-LT"/>
        </w:rPr>
        <w:br w:type="page"/>
      </w:r>
      <w:r>
        <w:rPr>
          <w:szCs w:val="24"/>
          <w:lang w:eastAsia="lt-LT"/>
        </w:rPr>
        <w:t xml:space="preserve">Vinječių formos, jų reikalavimų, įsigijimo ir naudojimo tvarkos aprašo </w:t>
      </w:r>
    </w:p>
    <w:p>
      <w:pPr>
        <w:ind w:left="4535"/>
        <w:rPr>
          <w:szCs w:val="24"/>
          <w:lang w:eastAsia="lt-LT"/>
        </w:rPr>
      </w:pPr>
      <w:r>
        <w:rPr>
          <w:szCs w:val="24"/>
          <w:lang w:eastAsia="lt-LT"/>
        </w:rPr>
        <w:t>priedas</w:t>
      </w:r>
    </w:p>
    <w:p>
      <w:pPr>
        <w:ind w:left="4535"/>
        <w:rPr>
          <w:szCs w:val="24"/>
          <w:lang w:eastAsia="lt-LT"/>
        </w:rPr>
      </w:pPr>
    </w:p>
    <w:p>
      <w:pPr>
        <w:jc w:val="center"/>
        <w:rPr>
          <w:b/>
          <w:szCs w:val="24"/>
          <w:lang w:eastAsia="lt-LT"/>
        </w:rPr>
      </w:pPr>
      <w:r>
        <w:rPr>
          <w:b/>
          <w:szCs w:val="24"/>
          <w:lang w:eastAsia="lt-LT"/>
        </w:rPr>
        <w:t>VINJEČIŲ PAVYZDŽIAI IR TRANSPORTO PRIEMONIŲ KATEGORIJŲ LOGOTIPAI</w:t>
      </w:r>
    </w:p>
    <w:p>
      <w:pPr>
        <w:jc w:val="center"/>
        <w:rPr>
          <w:b/>
          <w:szCs w:val="24"/>
          <w:lang w:eastAsia="lt-LT"/>
        </w:rPr>
      </w:pPr>
    </w:p>
    <w:p>
      <w:pPr>
        <w:ind w:firstLine="567"/>
        <w:jc w:val="both"/>
        <w:rPr>
          <w:szCs w:val="24"/>
          <w:lang w:eastAsia="lt-LT"/>
        </w:rPr>
      </w:pPr>
      <w:r>
        <w:rPr>
          <w:szCs w:val="24"/>
          <w:lang w:eastAsia="lt-LT"/>
        </w:rPr>
        <w:t>1</w:t>
      </w:r>
      <w:r>
        <w:rPr>
          <w:szCs w:val="24"/>
          <w:lang w:eastAsia="lt-LT"/>
        </w:rPr>
        <w:t>. Dienos vinjetė.</w:t>
      </w:r>
    </w:p>
    <w:p>
      <w:pPr>
        <w:jc w:val="center"/>
        <w:rPr>
          <w:szCs w:val="24"/>
          <w:lang w:eastAsia="lt-LT"/>
        </w:rPr>
      </w:pPr>
      <w:r>
        <w:rPr>
          <w:szCs w:val="24"/>
          <w:lang w:eastAsia="lt-LT"/>
        </w:rPr>
        <w:drawing>
          <wp:inline distT="0" distB="0" distL="0" distR="0">
            <wp:extent cx="3648075" cy="2838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8075" cy="2838450"/>
                    </a:xfrm>
                    <a:prstGeom prst="rect">
                      <a:avLst/>
                    </a:prstGeom>
                    <a:noFill/>
                    <a:ln>
                      <a:noFill/>
                    </a:ln>
                  </pic:spPr>
                </pic:pic>
              </a:graphicData>
            </a:graphic>
          </wp:inline>
        </w:drawing>
      </w:r>
    </w:p>
    <w:p>
      <w:pPr>
        <w:jc w:val="center"/>
        <w:rPr>
          <w:szCs w:val="24"/>
          <w:lang w:eastAsia="lt-LT"/>
        </w:rPr>
      </w:pPr>
      <w:r>
        <w:rPr>
          <w:szCs w:val="24"/>
          <w:lang w:eastAsia="lt-LT"/>
        </w:rPr>
        <w:drawing>
          <wp:inline distT="0" distB="0" distL="0" distR="0">
            <wp:extent cx="3695700" cy="28289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5700" cy="28289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szCs w:val="24"/>
          <w:lang w:eastAsia="lt-LT"/>
        </w:rPr>
      </w:pPr>
    </w:p>
    <w:p>
      <w:pPr>
        <w:jc w:val="center"/>
        <w:rPr>
          <w:szCs w:val="24"/>
          <w:lang w:eastAsia="lt-LT"/>
        </w:rPr>
      </w:pPr>
      <w:r>
        <w:rPr>
          <w:szCs w:val="24"/>
          <w:lang w:eastAsia="lt-LT"/>
        </w:rPr>
        <w:br w:type="page"/>
      </w:r>
    </w:p>
    <w:p>
      <w:pPr>
        <w:ind w:firstLine="567"/>
        <w:jc w:val="both"/>
        <w:rPr>
          <w:szCs w:val="24"/>
          <w:lang w:eastAsia="lt-LT"/>
        </w:rPr>
      </w:pPr>
      <w:r>
        <w:rPr>
          <w:szCs w:val="24"/>
          <w:lang w:eastAsia="lt-LT"/>
        </w:rPr>
        <w:t>2</w:t>
      </w:r>
      <w:r>
        <w:rPr>
          <w:szCs w:val="24"/>
          <w:lang w:eastAsia="lt-LT"/>
        </w:rPr>
        <w:t>. Savaitės vinjetė.</w:t>
      </w:r>
    </w:p>
    <w:p>
      <w:pPr>
        <w:jc w:val="center"/>
        <w:rPr>
          <w:szCs w:val="24"/>
          <w:lang w:eastAsia="lt-LT"/>
        </w:rPr>
      </w:pPr>
      <w:r>
        <w:rPr>
          <w:szCs w:val="24"/>
          <w:lang w:eastAsia="lt-LT"/>
        </w:rPr>
        <w:drawing>
          <wp:inline distT="0" distB="0" distL="0" distR="0">
            <wp:extent cx="3686175" cy="27908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2790825"/>
                    </a:xfrm>
                    <a:prstGeom prst="rect">
                      <a:avLst/>
                    </a:prstGeom>
                    <a:noFill/>
                    <a:ln>
                      <a:noFill/>
                    </a:ln>
                  </pic:spPr>
                </pic:pic>
              </a:graphicData>
            </a:graphic>
          </wp:inline>
        </w:drawing>
      </w:r>
    </w:p>
    <w:p>
      <w:pPr>
        <w:jc w:val="center"/>
        <w:rPr>
          <w:szCs w:val="24"/>
          <w:lang w:eastAsia="lt-LT"/>
        </w:rPr>
      </w:pPr>
      <w:r>
        <w:rPr>
          <w:szCs w:val="24"/>
          <w:lang w:eastAsia="lt-LT"/>
        </w:rPr>
        <w:drawing>
          <wp:inline distT="0" distB="0" distL="0" distR="0">
            <wp:extent cx="3733800" cy="27908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0" cy="27908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szCs w:val="24"/>
          <w:lang w:eastAsia="lt-LT"/>
        </w:rPr>
      </w:pPr>
    </w:p>
    <w:p>
      <w:pPr>
        <w:jc w:val="center"/>
        <w:rPr>
          <w:szCs w:val="24"/>
          <w:lang w:eastAsia="lt-LT"/>
        </w:rPr>
      </w:pPr>
      <w:r>
        <w:rPr>
          <w:szCs w:val="24"/>
          <w:lang w:eastAsia="lt-LT"/>
        </w:rPr>
        <w:br w:type="page"/>
      </w:r>
    </w:p>
    <w:p>
      <w:pPr>
        <w:ind w:firstLine="567"/>
        <w:jc w:val="both"/>
        <w:rPr>
          <w:szCs w:val="24"/>
          <w:lang w:eastAsia="lt-LT"/>
        </w:rPr>
      </w:pPr>
      <w:r>
        <w:rPr>
          <w:szCs w:val="24"/>
          <w:lang w:eastAsia="lt-LT"/>
        </w:rPr>
        <w:t>3</w:t>
      </w:r>
      <w:r>
        <w:rPr>
          <w:szCs w:val="24"/>
          <w:lang w:eastAsia="lt-LT"/>
        </w:rPr>
        <w:t>. Mėnesio vinjetė.</w:t>
      </w:r>
    </w:p>
    <w:p>
      <w:pPr>
        <w:jc w:val="center"/>
        <w:rPr>
          <w:szCs w:val="24"/>
          <w:lang w:eastAsia="lt-LT"/>
        </w:rPr>
      </w:pPr>
      <w:r>
        <w:rPr>
          <w:szCs w:val="24"/>
          <w:lang w:eastAsia="lt-LT"/>
        </w:rPr>
        <w:drawing>
          <wp:inline distT="0" distB="0" distL="0" distR="0">
            <wp:extent cx="3686175" cy="28098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6175" cy="2809875"/>
                    </a:xfrm>
                    <a:prstGeom prst="rect">
                      <a:avLst/>
                    </a:prstGeom>
                    <a:noFill/>
                    <a:ln>
                      <a:noFill/>
                    </a:ln>
                  </pic:spPr>
                </pic:pic>
              </a:graphicData>
            </a:graphic>
          </wp:inline>
        </w:drawing>
      </w:r>
    </w:p>
    <w:p>
      <w:pPr>
        <w:jc w:val="center"/>
        <w:rPr>
          <w:szCs w:val="24"/>
          <w:lang w:eastAsia="lt-LT"/>
        </w:rPr>
      </w:pPr>
      <w:r>
        <w:rPr>
          <w:szCs w:val="24"/>
          <w:lang w:eastAsia="lt-LT"/>
        </w:rPr>
        <w:drawing>
          <wp:inline distT="0" distB="0" distL="0" distR="0">
            <wp:extent cx="3695700" cy="2838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5700" cy="2838450"/>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szCs w:val="24"/>
          <w:lang w:eastAsia="lt-LT"/>
        </w:rPr>
      </w:pPr>
    </w:p>
    <w:p>
      <w:pPr>
        <w:ind w:firstLine="567"/>
        <w:jc w:val="both"/>
        <w:rPr>
          <w:szCs w:val="24"/>
          <w:lang w:eastAsia="lt-LT"/>
        </w:rPr>
      </w:pPr>
    </w:p>
    <w:p>
      <w:pPr>
        <w:ind w:firstLine="567"/>
        <w:jc w:val="both"/>
        <w:rPr>
          <w:szCs w:val="24"/>
          <w:lang w:eastAsia="lt-LT"/>
        </w:rPr>
      </w:pPr>
      <w:r>
        <w:rPr>
          <w:szCs w:val="24"/>
          <w:lang w:eastAsia="lt-LT"/>
        </w:rPr>
        <w:br w:type="page"/>
      </w:r>
      <w:r>
        <w:rPr>
          <w:szCs w:val="24"/>
          <w:lang w:eastAsia="lt-LT"/>
        </w:rPr>
        <w:t>4</w:t>
      </w:r>
      <w:r>
        <w:rPr>
          <w:szCs w:val="24"/>
          <w:lang w:eastAsia="lt-LT"/>
        </w:rPr>
        <w:t>. Metų vinjetė.</w:t>
      </w:r>
    </w:p>
    <w:p>
      <w:pPr>
        <w:jc w:val="center"/>
        <w:rPr>
          <w:szCs w:val="24"/>
          <w:lang w:eastAsia="lt-LT"/>
        </w:rPr>
      </w:pPr>
      <w:r>
        <w:rPr>
          <w:szCs w:val="24"/>
          <w:lang w:eastAsia="lt-LT"/>
        </w:rPr>
        <w:drawing>
          <wp:inline distT="0" distB="0" distL="0" distR="0">
            <wp:extent cx="3762375" cy="283845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62375" cy="2838450"/>
                    </a:xfrm>
                    <a:prstGeom prst="rect">
                      <a:avLst/>
                    </a:prstGeom>
                    <a:noFill/>
                    <a:ln>
                      <a:noFill/>
                    </a:ln>
                  </pic:spPr>
                </pic:pic>
              </a:graphicData>
            </a:graphic>
          </wp:inline>
        </w:drawing>
      </w:r>
    </w:p>
    <w:p>
      <w:pPr>
        <w:jc w:val="center"/>
        <w:rPr>
          <w:szCs w:val="24"/>
          <w:lang w:eastAsia="lt-LT"/>
        </w:rPr>
      </w:pPr>
      <w:r>
        <w:rPr>
          <w:szCs w:val="24"/>
          <w:lang w:eastAsia="lt-LT"/>
        </w:rPr>
        <w:drawing>
          <wp:inline distT="0" distB="0" distL="0" distR="0">
            <wp:extent cx="3733800" cy="282892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33800" cy="2828925"/>
                    </a:xfrm>
                    <a:prstGeom prst="rect">
                      <a:avLst/>
                    </a:prstGeom>
                    <a:noFill/>
                    <a:ln>
                      <a:noFill/>
                    </a:ln>
                  </pic:spPr>
                </pic:pic>
              </a:graphicData>
            </a:graphic>
          </wp:inline>
        </w:drawing>
      </w:r>
    </w:p>
    <w:p>
      <w:pPr>
        <w:jc w:val="center"/>
        <w:rPr>
          <w:vanish/>
          <w:szCs w:val="24"/>
          <w:lang w:eastAsia="lt-LT"/>
        </w:rPr>
      </w:pPr>
      <w:r>
        <w:rPr>
          <w:vanish/>
          <w:szCs w:val="24"/>
          <w:lang w:eastAsia="lt-LT"/>
        </w:rPr>
        <w:t>(pav.)</w:t>
      </w:r>
    </w:p>
    <w:p>
      <w:pPr>
        <w:ind w:firstLine="567"/>
        <w:jc w:val="both"/>
        <w:rPr>
          <w:szCs w:val="24"/>
          <w:lang w:eastAsia="lt-LT"/>
        </w:rPr>
      </w:pPr>
    </w:p>
    <w:p>
      <w:pPr>
        <w:jc w:val="center"/>
        <w:rPr>
          <w:szCs w:val="24"/>
          <w:lang w:eastAsia="lt-LT"/>
        </w:rPr>
      </w:pPr>
      <w:r>
        <w:rPr>
          <w:szCs w:val="24"/>
          <w:lang w:eastAsia="lt-LT"/>
        </w:rPr>
        <w:br w:type="page"/>
      </w:r>
    </w:p>
    <w:p>
      <w:pPr>
        <w:ind w:firstLine="567"/>
        <w:jc w:val="both"/>
        <w:rPr>
          <w:szCs w:val="24"/>
          <w:lang w:eastAsia="lt-LT"/>
        </w:rPr>
      </w:pPr>
      <w:r>
        <w:rPr>
          <w:szCs w:val="24"/>
          <w:lang w:eastAsia="lt-LT"/>
        </w:rPr>
        <w:t>5</w:t>
      </w:r>
      <w:r>
        <w:rPr>
          <w:szCs w:val="24"/>
          <w:lang w:eastAsia="lt-LT"/>
        </w:rPr>
        <w:t xml:space="preserve">. </w:t>
      </w:r>
      <w:r>
        <w:rPr>
          <w:szCs w:val="24"/>
          <w:lang w:val="es-ES_tradnl" w:eastAsia="lt-LT"/>
        </w:rPr>
        <w:t xml:space="preserve">Transporto </w:t>
      </w:r>
      <w:r>
        <w:rPr>
          <w:szCs w:val="24"/>
          <w:lang w:eastAsia="lt-LT"/>
        </w:rPr>
        <w:t>priemonių kategorijų logotipai.</w:t>
      </w:r>
    </w:p>
    <w:p>
      <w:pPr>
        <w:ind w:firstLine="567"/>
        <w:jc w:val="both"/>
        <w:rPr>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2213"/>
        <w:gridCol w:w="631"/>
        <w:gridCol w:w="1981"/>
        <w:gridCol w:w="4245"/>
      </w:tblGrid>
      <w:tr>
        <w:trPr>
          <w:cantSplit/>
          <w:trHeight w:val="23"/>
        </w:trPr>
        <w:tc>
          <w:tcPr>
            <w:tcW w:w="2213" w:type="dxa"/>
            <w:tcBorders>
              <w:top w:val="nil"/>
              <w:left w:val="nil"/>
              <w:bottom w:val="single" w:sz="6" w:space="0" w:color="auto"/>
              <w:right w:val="single" w:sz="6" w:space="0" w:color="auto"/>
            </w:tcBorders>
          </w:tcPr>
          <w:p>
            <w:pPr>
              <w:rPr>
                <w:b/>
                <w:bCs/>
                <w:szCs w:val="24"/>
                <w:lang w:eastAsia="lt-LT"/>
              </w:rPr>
            </w:pPr>
            <w:r>
              <w:rPr>
                <w:b/>
                <w:bCs/>
                <w:szCs w:val="24"/>
                <w:lang w:eastAsia="lt-LT"/>
              </w:rPr>
              <w:t>Autobusai</w:t>
            </w:r>
          </w:p>
        </w:tc>
        <w:tc>
          <w:tcPr>
            <w:tcW w:w="631" w:type="dxa"/>
            <w:vMerge w:val="restart"/>
            <w:tcBorders>
              <w:top w:val="single" w:sz="6" w:space="0" w:color="auto"/>
              <w:left w:val="single" w:sz="6" w:space="0" w:color="auto"/>
              <w:right w:val="single" w:sz="6" w:space="0" w:color="auto"/>
            </w:tcBorders>
            <w:vAlign w:val="center"/>
          </w:tcPr>
          <w:p>
            <w:pPr>
              <w:jc w:val="center"/>
              <w:rPr>
                <w:b/>
                <w:bCs/>
                <w:szCs w:val="24"/>
                <w:lang w:eastAsia="lt-LT"/>
              </w:rPr>
            </w:pPr>
            <w:r>
              <w:rPr>
                <w:b/>
                <w:bCs/>
                <w:szCs w:val="24"/>
                <w:lang w:eastAsia="lt-LT"/>
              </w:rPr>
              <w:t>M</w:t>
            </w:r>
            <w:r>
              <w:rPr>
                <w:b/>
                <w:bCs/>
                <w:szCs w:val="24"/>
                <w:vertAlign w:val="subscript"/>
                <w:lang w:eastAsia="lt-LT"/>
              </w:rPr>
              <w:t>2</w:t>
            </w:r>
          </w:p>
        </w:tc>
        <w:tc>
          <w:tcPr>
            <w:tcW w:w="1981" w:type="dxa"/>
            <w:vMerge w:val="restart"/>
            <w:tcBorders>
              <w:top w:val="single" w:sz="6" w:space="0" w:color="auto"/>
              <w:left w:val="single" w:sz="4" w:space="0" w:color="auto"/>
              <w:right w:val="nil"/>
            </w:tcBorders>
          </w:tcPr>
          <w:p>
            <w:pPr>
              <w:jc w:val="center"/>
              <w:rPr>
                <w:szCs w:val="24"/>
                <w:lang w:eastAsia="lt-LT"/>
              </w:rPr>
            </w:pPr>
            <w:r>
              <w:rPr>
                <w:szCs w:val="24"/>
                <w:lang w:eastAsia="lt-LT"/>
              </w:rPr>
              <w:drawing>
                <wp:inline distT="0" distB="0" distL="0" distR="0">
                  <wp:extent cx="685800" cy="51435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pPr>
              <w:jc w:val="center"/>
              <w:rPr>
                <w:vanish/>
                <w:szCs w:val="24"/>
                <w:lang w:eastAsia="lt-LT"/>
              </w:rPr>
            </w:pPr>
            <w:r>
              <w:rPr>
                <w:vanish/>
                <w:szCs w:val="24"/>
                <w:lang w:eastAsia="lt-LT"/>
              </w:rPr>
              <w:t>(ženklas)</w:t>
            </w:r>
          </w:p>
        </w:tc>
        <w:tc>
          <w:tcPr>
            <w:tcW w:w="4245" w:type="dxa"/>
            <w:vMerge w:val="restart"/>
            <w:tcBorders>
              <w:top w:val="single" w:sz="6" w:space="0" w:color="auto"/>
              <w:left w:val="single" w:sz="4" w:space="0" w:color="auto"/>
              <w:right w:val="nil"/>
            </w:tcBorders>
          </w:tcPr>
          <w:p>
            <w:pPr>
              <w:rPr>
                <w:szCs w:val="24"/>
                <w:lang w:eastAsia="lt-LT"/>
              </w:rPr>
            </w:pPr>
            <w:r>
              <w:rPr>
                <w:szCs w:val="24"/>
                <w:lang w:eastAsia="lt-LT"/>
              </w:rPr>
              <w:t>Transporto priemonės, kurios daugiau kaip 8 sėdimos vietos keleiviams, 1 sėdima vieta vairuotojui ir kurių bendroji masė ne didesnė kaip 5 tonos</w:t>
            </w:r>
          </w:p>
        </w:tc>
      </w:tr>
      <w:tr>
        <w:trPr>
          <w:cantSplit/>
          <w:trHeight w:val="23"/>
        </w:trPr>
        <w:tc>
          <w:tcPr>
            <w:tcW w:w="2213" w:type="dxa"/>
            <w:tcBorders>
              <w:top w:val="single" w:sz="6" w:space="0" w:color="auto"/>
              <w:left w:val="nil"/>
              <w:bottom w:val="nil"/>
              <w:right w:val="single" w:sz="6" w:space="0" w:color="auto"/>
            </w:tcBorders>
          </w:tcPr>
          <w:p>
            <w:pPr>
              <w:rPr>
                <w:szCs w:val="24"/>
                <w:lang w:eastAsia="lt-LT"/>
              </w:rPr>
            </w:pPr>
          </w:p>
        </w:tc>
        <w:tc>
          <w:tcPr>
            <w:tcW w:w="631" w:type="dxa"/>
            <w:vMerge/>
            <w:tcBorders>
              <w:left w:val="single" w:sz="6" w:space="0" w:color="auto"/>
              <w:bottom w:val="single" w:sz="6" w:space="0" w:color="auto"/>
              <w:right w:val="single" w:sz="6" w:space="0" w:color="auto"/>
            </w:tcBorders>
            <w:vAlign w:val="center"/>
          </w:tcPr>
          <w:p>
            <w:pPr>
              <w:jc w:val="center"/>
              <w:rPr>
                <w:szCs w:val="24"/>
                <w:lang w:eastAsia="lt-LT"/>
              </w:rPr>
            </w:pPr>
          </w:p>
        </w:tc>
        <w:tc>
          <w:tcPr>
            <w:tcW w:w="1981" w:type="dxa"/>
            <w:vMerge/>
            <w:tcBorders>
              <w:left w:val="single" w:sz="4" w:space="0" w:color="auto"/>
              <w:bottom w:val="single" w:sz="6" w:space="0" w:color="auto"/>
              <w:right w:val="nil"/>
            </w:tcBorders>
          </w:tcPr>
          <w:p>
            <w:pPr>
              <w:jc w:val="center"/>
              <w:rPr>
                <w:szCs w:val="24"/>
                <w:lang w:eastAsia="lt-LT"/>
              </w:rPr>
            </w:pPr>
          </w:p>
        </w:tc>
        <w:tc>
          <w:tcPr>
            <w:tcW w:w="4245" w:type="dxa"/>
            <w:vMerge/>
            <w:tcBorders>
              <w:left w:val="single" w:sz="4" w:space="0" w:color="auto"/>
              <w:bottom w:val="single" w:sz="6" w:space="0" w:color="auto"/>
              <w:right w:val="nil"/>
            </w:tcBorders>
          </w:tcPr>
          <w:p>
            <w:pPr>
              <w:rPr>
                <w:szCs w:val="24"/>
                <w:lang w:eastAsia="lt-LT"/>
              </w:rPr>
            </w:pPr>
          </w:p>
        </w:tc>
      </w:tr>
      <w:tr>
        <w:trPr>
          <w:cantSplit/>
          <w:trHeight w:val="23"/>
        </w:trPr>
        <w:tc>
          <w:tcPr>
            <w:tcW w:w="2213" w:type="dxa"/>
            <w:vMerge w:val="restart"/>
            <w:tcBorders>
              <w:top w:val="nil"/>
              <w:left w:val="nil"/>
              <w:right w:val="single" w:sz="6" w:space="0" w:color="auto"/>
            </w:tcBorders>
          </w:tcPr>
          <w:p>
            <w:pPr>
              <w:rPr>
                <w:szCs w:val="24"/>
                <w:lang w:eastAsia="lt-LT"/>
              </w:rPr>
            </w:pPr>
          </w:p>
        </w:tc>
        <w:tc>
          <w:tcPr>
            <w:tcW w:w="631" w:type="dxa"/>
            <w:vMerge w:val="restart"/>
            <w:tcBorders>
              <w:top w:val="single" w:sz="6" w:space="0" w:color="auto"/>
              <w:left w:val="single" w:sz="6" w:space="0" w:color="auto"/>
              <w:right w:val="single" w:sz="6" w:space="0" w:color="auto"/>
            </w:tcBorders>
            <w:vAlign w:val="center"/>
          </w:tcPr>
          <w:p>
            <w:pPr>
              <w:jc w:val="center"/>
              <w:rPr>
                <w:b/>
                <w:bCs/>
                <w:szCs w:val="24"/>
                <w:lang w:eastAsia="lt-LT"/>
              </w:rPr>
            </w:pPr>
            <w:r>
              <w:rPr>
                <w:b/>
                <w:bCs/>
                <w:szCs w:val="24"/>
                <w:lang w:eastAsia="lt-LT"/>
              </w:rPr>
              <w:t>M</w:t>
            </w:r>
            <w:r>
              <w:rPr>
                <w:b/>
                <w:bCs/>
                <w:szCs w:val="24"/>
                <w:vertAlign w:val="subscript"/>
                <w:lang w:eastAsia="lt-LT"/>
              </w:rPr>
              <w:t>3</w:t>
            </w:r>
          </w:p>
        </w:tc>
        <w:tc>
          <w:tcPr>
            <w:tcW w:w="1981" w:type="dxa"/>
            <w:tcBorders>
              <w:top w:val="single" w:sz="6" w:space="0" w:color="auto"/>
              <w:left w:val="single" w:sz="4" w:space="0" w:color="auto"/>
              <w:bottom w:val="single" w:sz="4" w:space="0" w:color="auto"/>
              <w:right w:val="nil"/>
            </w:tcBorders>
            <w:shd w:val="clear" w:color="auto" w:fill="auto"/>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752475" cy="485775"/>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pPr>
              <w:rPr>
                <w:szCs w:val="24"/>
                <w:lang w:eastAsia="lt-LT"/>
              </w:rPr>
            </w:pPr>
            <w:r>
              <w:rPr>
                <w:szCs w:val="24"/>
                <w:lang w:eastAsia="lt-LT"/>
              </w:rPr>
              <w:t>Transporto priemonės, kurios daugiau kaip 8 sėdimos vietos keleiviams (bet ne daugiau kaip 22 sėdimos vietos keleiviams), 1 sėdima vieta vairuotojui ir kurių bendroji masė ne didesnė kaip 5 tonos (įskaitytinai)</w:t>
            </w:r>
          </w:p>
        </w:tc>
      </w:tr>
      <w:tr>
        <w:trPr>
          <w:cantSplit/>
          <w:trHeight w:val="23"/>
        </w:trPr>
        <w:tc>
          <w:tcPr>
            <w:tcW w:w="2213" w:type="dxa"/>
            <w:vMerge/>
            <w:tcBorders>
              <w:left w:val="nil"/>
              <w:bottom w:val="nil"/>
              <w:right w:val="single" w:sz="6" w:space="0" w:color="auto"/>
            </w:tcBorders>
          </w:tcPr>
          <w:p>
            <w:pPr>
              <w:jc w:val="center"/>
              <w:rPr>
                <w:szCs w:val="24"/>
                <w:lang w:eastAsia="lt-LT"/>
              </w:rPr>
            </w:pPr>
          </w:p>
        </w:tc>
        <w:tc>
          <w:tcPr>
            <w:tcW w:w="631" w:type="dxa"/>
            <w:vMerge/>
            <w:tcBorders>
              <w:left w:val="single" w:sz="6" w:space="0" w:color="auto"/>
              <w:bottom w:val="single" w:sz="6" w:space="0" w:color="auto"/>
              <w:right w:val="single" w:sz="6" w:space="0" w:color="auto"/>
            </w:tcBorders>
            <w:vAlign w:val="center"/>
          </w:tcPr>
          <w:p>
            <w:pPr>
              <w:jc w:val="center"/>
              <w:rPr>
                <w:szCs w:val="24"/>
                <w:lang w:eastAsia="lt-LT"/>
              </w:rPr>
            </w:pPr>
          </w:p>
        </w:tc>
        <w:tc>
          <w:tcPr>
            <w:tcW w:w="1981" w:type="dxa"/>
            <w:tcBorders>
              <w:top w:val="single" w:sz="4" w:space="0" w:color="auto"/>
              <w:left w:val="single" w:sz="4" w:space="0" w:color="auto"/>
              <w:bottom w:val="single" w:sz="6" w:space="0" w:color="auto"/>
              <w:right w:val="nil"/>
            </w:tcBorders>
            <w:shd w:val="clear" w:color="auto" w:fill="auto"/>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838200" cy="45720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pPr>
              <w:rPr>
                <w:szCs w:val="24"/>
                <w:lang w:eastAsia="lt-LT"/>
              </w:rPr>
            </w:pPr>
            <w:r>
              <w:rPr>
                <w:szCs w:val="24"/>
                <w:lang w:eastAsia="lt-LT"/>
              </w:rPr>
              <w:t>Transporto priemonės, kurios daugiau kaip 22 sėdimos vietos keleiviams, 1 sėdima vieta vairuotojui</w:t>
            </w:r>
          </w:p>
        </w:tc>
      </w:tr>
    </w:tbl>
    <w:p>
      <w:pPr>
        <w:rPr>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2167"/>
        <w:gridCol w:w="677"/>
        <w:gridCol w:w="1981"/>
        <w:gridCol w:w="4245"/>
      </w:tblGrid>
      <w:tr>
        <w:trPr>
          <w:cantSplit/>
          <w:trHeight w:val="23"/>
        </w:trPr>
        <w:tc>
          <w:tcPr>
            <w:tcW w:w="2167" w:type="dxa"/>
            <w:vMerge w:val="restart"/>
            <w:tcBorders>
              <w:top w:val="nil"/>
              <w:left w:val="nil"/>
              <w:bottom w:val="single" w:sz="4" w:space="0" w:color="auto"/>
              <w:right w:val="single" w:sz="6" w:space="0" w:color="auto"/>
            </w:tcBorders>
          </w:tcPr>
          <w:p>
            <w:pPr>
              <w:rPr>
                <w:b/>
                <w:bCs/>
                <w:szCs w:val="24"/>
                <w:lang w:eastAsia="lt-LT"/>
              </w:rPr>
            </w:pPr>
            <w:r>
              <w:rPr>
                <w:b/>
                <w:bCs/>
                <w:szCs w:val="24"/>
                <w:lang w:eastAsia="lt-LT"/>
              </w:rPr>
              <w:t>Krovininės kelių transporto priemonės ir jų junginiai</w:t>
            </w:r>
          </w:p>
        </w:tc>
        <w:tc>
          <w:tcPr>
            <w:tcW w:w="677" w:type="dxa"/>
            <w:tcBorders>
              <w:top w:val="single" w:sz="6" w:space="0" w:color="auto"/>
              <w:left w:val="single" w:sz="6" w:space="0" w:color="auto"/>
              <w:bottom w:val="single" w:sz="6" w:space="0" w:color="auto"/>
              <w:right w:val="single" w:sz="6" w:space="0" w:color="auto"/>
            </w:tcBorders>
            <w:vAlign w:val="center"/>
          </w:tcPr>
          <w:p>
            <w:pPr>
              <w:jc w:val="center"/>
              <w:rPr>
                <w:b/>
                <w:bCs/>
                <w:szCs w:val="24"/>
                <w:lang w:eastAsia="lt-LT"/>
              </w:rPr>
            </w:pPr>
            <w:r>
              <w:rPr>
                <w:b/>
                <w:bCs/>
                <w:szCs w:val="24"/>
                <w:lang w:eastAsia="lt-LT"/>
              </w:rPr>
              <w:t>N</w:t>
            </w:r>
            <w:r>
              <w:rPr>
                <w:b/>
                <w:bCs/>
                <w:szCs w:val="24"/>
                <w:vertAlign w:val="subscript"/>
                <w:lang w:eastAsia="lt-LT"/>
              </w:rPr>
              <w:t>1</w:t>
            </w:r>
          </w:p>
        </w:tc>
        <w:tc>
          <w:tcPr>
            <w:tcW w:w="1981" w:type="dxa"/>
            <w:tcBorders>
              <w:top w:val="single" w:sz="6" w:space="0" w:color="auto"/>
              <w:left w:val="single" w:sz="4" w:space="0" w:color="auto"/>
              <w:bottom w:val="single" w:sz="6" w:space="0" w:color="auto"/>
              <w:right w:val="nil"/>
            </w:tcBorders>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638175" cy="390525"/>
                  <wp:effectExtent l="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pPr>
              <w:rPr>
                <w:szCs w:val="24"/>
                <w:lang w:eastAsia="lt-LT"/>
              </w:rPr>
            </w:pPr>
            <w:r>
              <w:rPr>
                <w:szCs w:val="24"/>
                <w:lang w:eastAsia="lt-LT"/>
              </w:rPr>
              <w:t>Iki 3,5 tonos (įskaitytinai) bendrosios masės</w:t>
            </w:r>
          </w:p>
        </w:tc>
      </w:tr>
      <w:tr>
        <w:trPr>
          <w:cantSplit/>
          <w:trHeight w:val="278"/>
        </w:trPr>
        <w:tc>
          <w:tcPr>
            <w:tcW w:w="2167" w:type="dxa"/>
            <w:vMerge/>
            <w:tcBorders>
              <w:left w:val="nil"/>
              <w:bottom w:val="single" w:sz="4" w:space="0" w:color="auto"/>
              <w:right w:val="single" w:sz="6" w:space="0" w:color="auto"/>
            </w:tcBorders>
          </w:tcPr>
          <w:p>
            <w:pPr>
              <w:rPr>
                <w:szCs w:val="24"/>
                <w:lang w:eastAsia="lt-LT"/>
              </w:rPr>
            </w:pPr>
          </w:p>
        </w:tc>
        <w:tc>
          <w:tcPr>
            <w:tcW w:w="677" w:type="dxa"/>
            <w:vMerge w:val="restart"/>
            <w:tcBorders>
              <w:top w:val="single" w:sz="6" w:space="0" w:color="auto"/>
              <w:left w:val="single" w:sz="6" w:space="0" w:color="auto"/>
              <w:right w:val="single" w:sz="6" w:space="0" w:color="auto"/>
            </w:tcBorders>
            <w:vAlign w:val="center"/>
          </w:tcPr>
          <w:p>
            <w:pPr>
              <w:jc w:val="center"/>
              <w:rPr>
                <w:b/>
                <w:bCs/>
                <w:szCs w:val="24"/>
                <w:lang w:eastAsia="lt-LT"/>
              </w:rPr>
            </w:pPr>
            <w:r>
              <w:rPr>
                <w:b/>
                <w:bCs/>
                <w:szCs w:val="24"/>
                <w:lang w:eastAsia="lt-LT"/>
              </w:rPr>
              <w:t>N</w:t>
            </w:r>
            <w:r>
              <w:rPr>
                <w:b/>
                <w:bCs/>
                <w:szCs w:val="24"/>
                <w:vertAlign w:val="subscript"/>
                <w:lang w:eastAsia="lt-LT"/>
              </w:rPr>
              <w:t>2</w:t>
            </w:r>
          </w:p>
        </w:tc>
        <w:tc>
          <w:tcPr>
            <w:tcW w:w="1981" w:type="dxa"/>
            <w:vMerge w:val="restart"/>
            <w:tcBorders>
              <w:top w:val="single" w:sz="6" w:space="0" w:color="auto"/>
              <w:left w:val="single" w:sz="4" w:space="0" w:color="auto"/>
              <w:right w:val="nil"/>
            </w:tcBorders>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704850" cy="409575"/>
                  <wp:effectExtent l="0" t="0" r="0"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409575"/>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45" w:type="dxa"/>
            <w:vMerge w:val="restart"/>
            <w:tcBorders>
              <w:top w:val="single" w:sz="6" w:space="0" w:color="auto"/>
              <w:left w:val="single" w:sz="4" w:space="0" w:color="auto"/>
              <w:right w:val="nil"/>
            </w:tcBorders>
          </w:tcPr>
          <w:p>
            <w:pPr>
              <w:rPr>
                <w:szCs w:val="24"/>
                <w:lang w:eastAsia="lt-LT"/>
              </w:rPr>
            </w:pPr>
            <w:r>
              <w:rPr>
                <w:szCs w:val="24"/>
                <w:lang w:eastAsia="lt-LT"/>
              </w:rPr>
              <w:t>Nuo 3,5 iki 12 tonų (įskaitytinai) bendrosios masės</w:t>
            </w:r>
          </w:p>
        </w:tc>
      </w:tr>
      <w:tr>
        <w:trPr>
          <w:cantSplit/>
          <w:trHeight w:val="277"/>
        </w:trPr>
        <w:tc>
          <w:tcPr>
            <w:tcW w:w="2167" w:type="dxa"/>
            <w:tcBorders>
              <w:top w:val="single" w:sz="4" w:space="0" w:color="auto"/>
              <w:left w:val="nil"/>
              <w:bottom w:val="nil"/>
              <w:right w:val="single" w:sz="6" w:space="0" w:color="auto"/>
            </w:tcBorders>
          </w:tcPr>
          <w:p>
            <w:pPr>
              <w:rPr>
                <w:szCs w:val="24"/>
                <w:lang w:eastAsia="lt-LT"/>
              </w:rPr>
            </w:pPr>
          </w:p>
        </w:tc>
        <w:tc>
          <w:tcPr>
            <w:tcW w:w="677" w:type="dxa"/>
            <w:vMerge/>
            <w:tcBorders>
              <w:left w:val="single" w:sz="6" w:space="0" w:color="auto"/>
              <w:bottom w:val="single" w:sz="6" w:space="0" w:color="auto"/>
              <w:right w:val="single" w:sz="6" w:space="0" w:color="auto"/>
            </w:tcBorders>
            <w:vAlign w:val="center"/>
          </w:tcPr>
          <w:p>
            <w:pPr>
              <w:jc w:val="center"/>
              <w:rPr>
                <w:b/>
                <w:bCs/>
                <w:szCs w:val="24"/>
                <w:lang w:eastAsia="lt-LT"/>
              </w:rPr>
            </w:pPr>
          </w:p>
        </w:tc>
        <w:tc>
          <w:tcPr>
            <w:tcW w:w="1981" w:type="dxa"/>
            <w:vMerge/>
            <w:tcBorders>
              <w:left w:val="single" w:sz="4" w:space="0" w:color="auto"/>
              <w:bottom w:val="single" w:sz="6" w:space="0" w:color="auto"/>
              <w:right w:val="nil"/>
            </w:tcBorders>
          </w:tcPr>
          <w:p>
            <w:pPr>
              <w:jc w:val="center"/>
              <w:rPr>
                <w:szCs w:val="24"/>
                <w:lang w:eastAsia="lt-LT"/>
              </w:rPr>
            </w:pPr>
          </w:p>
        </w:tc>
        <w:tc>
          <w:tcPr>
            <w:tcW w:w="4245" w:type="dxa"/>
            <w:vMerge/>
            <w:tcBorders>
              <w:left w:val="single" w:sz="4" w:space="0" w:color="auto"/>
              <w:bottom w:val="single" w:sz="6" w:space="0" w:color="auto"/>
              <w:right w:val="nil"/>
            </w:tcBorders>
          </w:tcPr>
          <w:p>
            <w:pPr>
              <w:rPr>
                <w:b/>
                <w:bCs/>
                <w:i/>
                <w:iCs/>
                <w:szCs w:val="24"/>
                <w:lang w:eastAsia="lt-LT"/>
              </w:rPr>
            </w:pPr>
          </w:p>
        </w:tc>
      </w:tr>
      <w:tr>
        <w:trPr>
          <w:cantSplit/>
          <w:trHeight w:val="23"/>
        </w:trPr>
        <w:tc>
          <w:tcPr>
            <w:tcW w:w="2167" w:type="dxa"/>
            <w:tcBorders>
              <w:top w:val="nil"/>
              <w:left w:val="nil"/>
              <w:bottom w:val="nil"/>
              <w:right w:val="single" w:sz="6" w:space="0" w:color="auto"/>
            </w:tcBorders>
          </w:tcPr>
          <w:p>
            <w:pPr>
              <w:rPr>
                <w:szCs w:val="24"/>
                <w:lang w:eastAsia="lt-LT"/>
              </w:rPr>
            </w:pPr>
          </w:p>
        </w:tc>
        <w:tc>
          <w:tcPr>
            <w:tcW w:w="677" w:type="dxa"/>
            <w:tcBorders>
              <w:top w:val="single" w:sz="6" w:space="0" w:color="auto"/>
              <w:left w:val="single" w:sz="6" w:space="0" w:color="auto"/>
              <w:bottom w:val="single" w:sz="4" w:space="0" w:color="auto"/>
              <w:right w:val="single" w:sz="6" w:space="0" w:color="auto"/>
            </w:tcBorders>
            <w:vAlign w:val="center"/>
          </w:tcPr>
          <w:p>
            <w:pPr>
              <w:jc w:val="center"/>
              <w:rPr>
                <w:b/>
                <w:bCs/>
                <w:szCs w:val="24"/>
                <w:lang w:eastAsia="lt-LT"/>
              </w:rPr>
            </w:pPr>
            <w:r>
              <w:rPr>
                <w:b/>
                <w:bCs/>
                <w:szCs w:val="24"/>
                <w:lang w:eastAsia="lt-LT"/>
              </w:rPr>
              <w:t>N</w:t>
            </w:r>
            <w:r>
              <w:rPr>
                <w:b/>
                <w:bCs/>
                <w:szCs w:val="24"/>
                <w:vertAlign w:val="subscript"/>
                <w:lang w:eastAsia="lt-LT"/>
              </w:rPr>
              <w:t>3</w:t>
            </w:r>
          </w:p>
        </w:tc>
        <w:tc>
          <w:tcPr>
            <w:tcW w:w="1981" w:type="dxa"/>
            <w:tcBorders>
              <w:top w:val="single" w:sz="6" w:space="0" w:color="auto"/>
              <w:left w:val="single" w:sz="4" w:space="0" w:color="auto"/>
              <w:bottom w:val="single" w:sz="6" w:space="0" w:color="auto"/>
              <w:right w:val="nil"/>
            </w:tcBorders>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952500" cy="533400"/>
                  <wp:effectExtent l="0" t="0" r="0"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pPr>
              <w:rPr>
                <w:szCs w:val="24"/>
                <w:lang w:eastAsia="lt-LT"/>
              </w:rPr>
            </w:pPr>
            <w:r>
              <w:rPr>
                <w:szCs w:val="24"/>
                <w:lang w:eastAsia="lt-LT"/>
              </w:rPr>
              <w:t>Nuo 12 iki 40 tonų (įskaitytinai) bendrosios masės</w:t>
            </w:r>
          </w:p>
        </w:tc>
      </w:tr>
      <w:tr>
        <w:trPr>
          <w:cantSplit/>
          <w:trHeight w:val="23"/>
        </w:trPr>
        <w:tc>
          <w:tcPr>
            <w:tcW w:w="2167" w:type="dxa"/>
            <w:tcBorders>
              <w:top w:val="nil"/>
              <w:left w:val="nil"/>
              <w:bottom w:val="nil"/>
              <w:right w:val="single" w:sz="6" w:space="0" w:color="auto"/>
            </w:tcBorders>
          </w:tcPr>
          <w:p>
            <w:pPr>
              <w:rPr>
                <w:szCs w:val="24"/>
                <w:lang w:eastAsia="lt-LT"/>
              </w:rPr>
            </w:pPr>
          </w:p>
        </w:tc>
        <w:tc>
          <w:tcPr>
            <w:tcW w:w="677" w:type="dxa"/>
            <w:tcBorders>
              <w:top w:val="single" w:sz="4" w:space="0" w:color="auto"/>
              <w:left w:val="single" w:sz="6" w:space="0" w:color="auto"/>
              <w:bottom w:val="single" w:sz="4" w:space="0" w:color="auto"/>
              <w:right w:val="single" w:sz="6" w:space="0" w:color="auto"/>
            </w:tcBorders>
            <w:vAlign w:val="center"/>
          </w:tcPr>
          <w:p>
            <w:pPr>
              <w:jc w:val="center"/>
              <w:rPr>
                <w:szCs w:val="24"/>
                <w:lang w:eastAsia="lt-LT"/>
              </w:rPr>
            </w:pPr>
          </w:p>
        </w:tc>
        <w:tc>
          <w:tcPr>
            <w:tcW w:w="1981" w:type="dxa"/>
            <w:tcBorders>
              <w:top w:val="single" w:sz="6" w:space="0" w:color="auto"/>
              <w:left w:val="single" w:sz="4" w:space="0" w:color="auto"/>
              <w:bottom w:val="single" w:sz="6" w:space="0" w:color="auto"/>
              <w:right w:val="nil"/>
            </w:tcBorders>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952500" cy="533400"/>
                  <wp:effectExtent l="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pPr>
              <w:rPr>
                <w:szCs w:val="24"/>
                <w:lang w:eastAsia="lt-LT"/>
              </w:rPr>
            </w:pPr>
            <w:r>
              <w:rPr>
                <w:szCs w:val="24"/>
                <w:lang w:eastAsia="lt-LT"/>
              </w:rPr>
              <w:t>Vežant triašiu vilkiku su dviaše ar triaše puspriekabe 20, 30, 40, 45 pėdų konteinerius, pagamintus pagal ISO standartus, -iki 44 tonų bendrosios masės</w:t>
            </w:r>
          </w:p>
        </w:tc>
      </w:tr>
      <w:tr>
        <w:trPr>
          <w:cantSplit/>
          <w:trHeight w:val="23"/>
        </w:trPr>
        <w:tc>
          <w:tcPr>
            <w:tcW w:w="2167" w:type="dxa"/>
            <w:tcBorders>
              <w:top w:val="nil"/>
              <w:left w:val="nil"/>
              <w:bottom w:val="nil"/>
              <w:right w:val="single" w:sz="6" w:space="0" w:color="auto"/>
            </w:tcBorders>
          </w:tcPr>
          <w:p>
            <w:pPr>
              <w:rPr>
                <w:szCs w:val="24"/>
                <w:lang w:eastAsia="lt-LT"/>
              </w:rPr>
            </w:pPr>
          </w:p>
        </w:tc>
        <w:tc>
          <w:tcPr>
            <w:tcW w:w="677" w:type="dxa"/>
            <w:tcBorders>
              <w:top w:val="single" w:sz="4" w:space="0" w:color="auto"/>
              <w:left w:val="single" w:sz="6" w:space="0" w:color="auto"/>
              <w:bottom w:val="single" w:sz="6" w:space="0" w:color="auto"/>
              <w:right w:val="single" w:sz="6" w:space="0" w:color="auto"/>
            </w:tcBorders>
            <w:vAlign w:val="center"/>
          </w:tcPr>
          <w:p>
            <w:pPr>
              <w:jc w:val="center"/>
              <w:rPr>
                <w:b/>
                <w:bCs/>
                <w:szCs w:val="24"/>
                <w:lang w:eastAsia="lt-LT"/>
              </w:rPr>
            </w:pPr>
            <w:r>
              <w:rPr>
                <w:b/>
                <w:bCs/>
                <w:szCs w:val="24"/>
                <w:lang w:eastAsia="lt-LT"/>
              </w:rPr>
              <w:t>N</w:t>
            </w:r>
            <w:r>
              <w:rPr>
                <w:b/>
                <w:bCs/>
                <w:szCs w:val="24"/>
                <w:vertAlign w:val="subscript"/>
                <w:lang w:eastAsia="lt-LT"/>
              </w:rPr>
              <w:t>1</w:t>
            </w:r>
            <w:r>
              <w:rPr>
                <w:b/>
                <w:bCs/>
                <w:szCs w:val="24"/>
                <w:lang w:eastAsia="lt-LT"/>
              </w:rPr>
              <w:t xml:space="preserve"> – N</w:t>
            </w:r>
            <w:r>
              <w:rPr>
                <w:b/>
                <w:bCs/>
                <w:szCs w:val="24"/>
                <w:vertAlign w:val="subscript"/>
                <w:lang w:eastAsia="lt-LT"/>
              </w:rPr>
              <w:t>3</w:t>
            </w:r>
          </w:p>
        </w:tc>
        <w:tc>
          <w:tcPr>
            <w:tcW w:w="1981" w:type="dxa"/>
            <w:tcBorders>
              <w:top w:val="single" w:sz="6" w:space="0" w:color="auto"/>
              <w:left w:val="single" w:sz="4" w:space="0" w:color="auto"/>
              <w:bottom w:val="single" w:sz="6" w:space="0" w:color="auto"/>
              <w:right w:val="nil"/>
            </w:tcBorders>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1047750" cy="447675"/>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0" cy="447675"/>
                          </a:xfrm>
                          <a:prstGeom prst="rect">
                            <a:avLst/>
                          </a:prstGeom>
                          <a:noFill/>
                          <a:ln>
                            <a:noFill/>
                          </a:ln>
                        </pic:spPr>
                      </pic:pic>
                    </a:graphicData>
                  </a:graphic>
                </wp:inline>
              </w:drawing>
            </w:r>
          </w:p>
          <w:p>
            <w:pPr>
              <w:jc w:val="center"/>
              <w:rPr>
                <w:rFonts w:ascii="Franklin Gothic Medium Cond" w:hAnsi="Franklin Gothic Medium Cond"/>
                <w:szCs w:val="24"/>
                <w:lang w:eastAsia="lt-LT"/>
              </w:rPr>
            </w:pPr>
            <w:r>
              <w:rPr>
                <w:vanish/>
                <w:szCs w:val="24"/>
                <w:lang w:eastAsia="lt-LT"/>
              </w:rPr>
              <w:t>(ženklas)</w:t>
            </w:r>
          </w:p>
        </w:tc>
        <w:tc>
          <w:tcPr>
            <w:tcW w:w="4245" w:type="dxa"/>
            <w:tcBorders>
              <w:top w:val="single" w:sz="6" w:space="0" w:color="auto"/>
              <w:left w:val="single" w:sz="4" w:space="0" w:color="auto"/>
              <w:bottom w:val="single" w:sz="6" w:space="0" w:color="auto"/>
              <w:right w:val="nil"/>
            </w:tcBorders>
          </w:tcPr>
          <w:p>
            <w:pPr>
              <w:rPr>
                <w:szCs w:val="24"/>
                <w:lang w:eastAsia="lt-LT"/>
              </w:rPr>
            </w:pPr>
            <w:r>
              <w:rPr>
                <w:szCs w:val="24"/>
                <w:lang w:eastAsia="lt-LT"/>
              </w:rPr>
              <w:t>Iki 16 tonų (įskaitytinai) bendrosios masės transporto priemonių savininkai – žemės ūkio veiklos subjektai</w:t>
            </w:r>
          </w:p>
        </w:tc>
      </w:tr>
    </w:tbl>
    <w:p>
      <w:pPr>
        <w:ind w:firstLine="567"/>
        <w:jc w:val="both"/>
        <w:rPr>
          <w:szCs w:val="24"/>
          <w:lang w:eastAsia="lt-LT"/>
        </w:rPr>
      </w:pPr>
    </w:p>
    <w:tbl>
      <w:tblPr>
        <w:tblW w:w="9070" w:type="dxa"/>
        <w:tblLayout w:type="fixed"/>
        <w:tblCellMar>
          <w:left w:w="40" w:type="dxa"/>
          <w:right w:w="40" w:type="dxa"/>
        </w:tblCellMar>
        <w:tblLook w:val="0000" w:firstRow="0" w:lastRow="0" w:firstColumn="0" w:lastColumn="0" w:noHBand="0" w:noVBand="0"/>
      </w:tblPr>
      <w:tblGrid>
        <w:gridCol w:w="2167"/>
        <w:gridCol w:w="2676"/>
        <w:gridCol w:w="4227"/>
      </w:tblGrid>
      <w:tr>
        <w:trPr>
          <w:cantSplit/>
          <w:trHeight w:val="23"/>
        </w:trPr>
        <w:tc>
          <w:tcPr>
            <w:tcW w:w="2167" w:type="dxa"/>
            <w:tcBorders>
              <w:top w:val="nil"/>
              <w:left w:val="nil"/>
              <w:bottom w:val="single" w:sz="4" w:space="0" w:color="auto"/>
              <w:right w:val="single" w:sz="4" w:space="0" w:color="auto"/>
            </w:tcBorders>
          </w:tcPr>
          <w:p>
            <w:pPr>
              <w:rPr>
                <w:b/>
                <w:bCs/>
                <w:szCs w:val="24"/>
                <w:lang w:eastAsia="lt-LT"/>
              </w:rPr>
            </w:pPr>
            <w:r>
              <w:rPr>
                <w:b/>
                <w:bCs/>
                <w:szCs w:val="24"/>
                <w:lang w:eastAsia="lt-LT"/>
              </w:rPr>
              <w:t>Spec. kelių transporto priemonės</w:t>
            </w:r>
          </w:p>
        </w:tc>
        <w:tc>
          <w:tcPr>
            <w:tcW w:w="2676" w:type="dxa"/>
            <w:vMerge w:val="restart"/>
            <w:tcBorders>
              <w:top w:val="single" w:sz="6" w:space="0" w:color="auto"/>
              <w:left w:val="single" w:sz="4" w:space="0" w:color="auto"/>
              <w:right w:val="nil"/>
            </w:tcBorders>
          </w:tcPr>
          <w:p>
            <w:pPr>
              <w:jc w:val="center"/>
              <w:rPr>
                <w:rFonts w:ascii="Franklin Gothic Medium Cond" w:hAnsi="Franklin Gothic Medium Cond"/>
                <w:szCs w:val="24"/>
                <w:lang w:eastAsia="lt-LT"/>
              </w:rPr>
            </w:pPr>
            <w:r>
              <w:rPr>
                <w:rFonts w:ascii="Franklin Gothic Medium Cond" w:hAnsi="Franklin Gothic Medium Cond"/>
                <w:szCs w:val="24"/>
                <w:lang w:eastAsia="lt-LT"/>
              </w:rPr>
              <w:drawing>
                <wp:inline distT="0" distB="0" distL="0" distR="0">
                  <wp:extent cx="1028700" cy="447675"/>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pPr>
              <w:jc w:val="center"/>
              <w:rPr>
                <w:szCs w:val="24"/>
                <w:lang w:eastAsia="lt-LT"/>
              </w:rPr>
            </w:pPr>
            <w:r>
              <w:rPr>
                <w:vanish/>
                <w:szCs w:val="24"/>
                <w:lang w:eastAsia="lt-LT"/>
              </w:rPr>
              <w:t>(ženklas)</w:t>
            </w:r>
          </w:p>
        </w:tc>
        <w:tc>
          <w:tcPr>
            <w:tcW w:w="4227" w:type="dxa"/>
            <w:vMerge w:val="restart"/>
            <w:tcBorders>
              <w:top w:val="single" w:sz="6" w:space="0" w:color="auto"/>
              <w:left w:val="single" w:sz="4" w:space="0" w:color="auto"/>
              <w:right w:val="nil"/>
            </w:tcBorders>
          </w:tcPr>
          <w:p>
            <w:pPr>
              <w:widowControl w:val="0"/>
              <w:rPr>
                <w:szCs w:val="24"/>
                <w:lang w:eastAsia="lt-LT"/>
              </w:rPr>
            </w:pPr>
            <w:r>
              <w:rPr>
                <w:szCs w:val="24"/>
                <w:lang w:eastAsia="lt-LT"/>
              </w:rPr>
              <w:t>Skirtos specialioms darbo funkcijoms atlikti, bet ne kroviniams vežti</w:t>
            </w:r>
          </w:p>
        </w:tc>
      </w:tr>
      <w:tr>
        <w:trPr>
          <w:cantSplit/>
          <w:trHeight w:val="23"/>
        </w:trPr>
        <w:tc>
          <w:tcPr>
            <w:tcW w:w="2167" w:type="dxa"/>
            <w:tcBorders>
              <w:top w:val="single" w:sz="4" w:space="0" w:color="auto"/>
              <w:left w:val="nil"/>
              <w:bottom w:val="nil"/>
              <w:right w:val="single" w:sz="4" w:space="0" w:color="auto"/>
            </w:tcBorders>
          </w:tcPr>
          <w:p>
            <w:pPr>
              <w:jc w:val="center"/>
              <w:rPr>
                <w:szCs w:val="24"/>
                <w:lang w:eastAsia="lt-LT"/>
              </w:rPr>
            </w:pPr>
          </w:p>
        </w:tc>
        <w:tc>
          <w:tcPr>
            <w:tcW w:w="2676" w:type="dxa"/>
            <w:vMerge/>
            <w:tcBorders>
              <w:left w:val="single" w:sz="4" w:space="0" w:color="auto"/>
              <w:bottom w:val="single" w:sz="6" w:space="0" w:color="auto"/>
              <w:right w:val="single" w:sz="4" w:space="0" w:color="auto"/>
            </w:tcBorders>
          </w:tcPr>
          <w:p>
            <w:pPr>
              <w:jc w:val="center"/>
              <w:rPr>
                <w:szCs w:val="24"/>
                <w:lang w:eastAsia="lt-LT"/>
              </w:rPr>
            </w:pPr>
          </w:p>
        </w:tc>
        <w:tc>
          <w:tcPr>
            <w:tcW w:w="4227" w:type="dxa"/>
            <w:vMerge/>
            <w:tcBorders>
              <w:left w:val="single" w:sz="4" w:space="0" w:color="auto"/>
              <w:bottom w:val="single" w:sz="6" w:space="0" w:color="auto"/>
              <w:right w:val="nil"/>
            </w:tcBorders>
          </w:tcPr>
          <w:p>
            <w:pPr>
              <w:rPr>
                <w:szCs w:val="24"/>
                <w:lang w:eastAsia="lt-LT"/>
              </w:rPr>
            </w:pPr>
          </w:p>
        </w:tc>
      </w:tr>
    </w:tbl>
    <w:p>
      <w:pPr>
        <w:jc w:val="both"/>
        <w:rPr>
          <w:szCs w:val="24"/>
          <w:lang w:eastAsia="lt-LT"/>
        </w:rPr>
      </w:pPr>
    </w:p>
    <w:p>
      <w:pPr>
        <w:jc w:val="center"/>
        <w:rPr>
          <w:szCs w:val="24"/>
          <w:lang w:eastAsia="lt-LT"/>
        </w:rPr>
      </w:pPr>
      <w:r>
        <w:rPr>
          <w:szCs w:val="24"/>
          <w:lang w:eastAsia="lt-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C5E56A6D3E0">
        <w:r w:rsidRPr="00532B9F">
          <w:rPr>
            <w:rFonts w:ascii="Times New Roman" w:eastAsia="MS Mincho" w:hAnsi="Times New Roman"/>
            <w:sz w:val="20"/>
            <w:i/>
            <w:iCs/>
            <w:color w:val="0000FF" w:themeColor="hyperlink"/>
            <w:u w:val="single"/>
          </w:rPr>
          <w:t>3-19</w:t>
        </w:r>
      </w:fldSimple>
      <w:r>
        <w:rPr>
          <w:rFonts w:ascii="Times New Roman" w:eastAsia="MS Mincho" w:hAnsi="Times New Roman"/>
          <w:sz w:val="20"/>
          <w:i/>
          <w:iCs/>
        </w:rPr>
        <w:t>,
2008-01-25,
Žin., 2008, Nr.
17-594 (2008-02-09), i. k. 1082210ISAK00003-19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ABD2BD7815">
        <w:r w:rsidRPr="00532B9F">
          <w:rPr>
            <w:rFonts w:ascii="Times New Roman" w:eastAsia="MS Mincho" w:hAnsi="Times New Roman"/>
            <w:sz w:val="20"/>
            <w:i/>
            <w:iCs/>
            <w:color w:val="0000FF" w:themeColor="hyperlink"/>
            <w:u w:val="single"/>
          </w:rPr>
          <w:t>3-417</w:t>
        </w:r>
      </w:fldSimple>
      <w:r>
        <w:rPr>
          <w:rFonts w:ascii="Times New Roman" w:eastAsia="MS Mincho" w:hAnsi="Times New Roman"/>
          <w:sz w:val="20"/>
          <w:i/>
          <w:iCs/>
        </w:rPr>
        <w:t>,
2013-08-01,
Žin., 2013, Nr.
86-4322 (2013-08-07), i. k. 1132210ISAK0003-417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C5E56A6D3E0">
        <w:r w:rsidRPr="00532B9F">
          <w:rPr>
            <w:rFonts w:ascii="Times New Roman" w:eastAsia="MS Mincho" w:hAnsi="Times New Roman"/>
            <w:sz w:val="20"/>
            <w:iCs/>
            <w:color w:val="0000FF" w:themeColor="hyperlink"/>
            <w:u w:val="single"/>
          </w:rPr>
          <w:t>3-19</w:t>
        </w:r>
      </w:fldSimple>
      <w:r>
        <w:rPr>
          <w:rFonts w:ascii="Times New Roman" w:eastAsia="MS Mincho" w:hAnsi="Times New Roman"/>
          <w:sz w:val="20"/>
          <w:iCs/>
        </w:rPr>
        <w:t>,
2008-01-25,
Žin., 2008, Nr.
17-594 (2008-02-09), i. k. 1082210ISAK00003-19                </w:t>
      </w:r>
    </w:p>
    <w:p>
      <w:pPr>
        <w:jc w:val="both"/>
        <w:rPr>
          <w:rFonts w:ascii="Times New Roman" w:hAnsi="Times New Roman"/>
        </w:rPr>
      </w:pPr>
      <w:r>
        <w:rPr>
          <w:rFonts w:ascii="Times New Roman" w:hAnsi="Times New Roman"/>
          <w:sz w:val="20"/>
        </w:rPr>
        <w:t>Dėl Lietuvos Respublikos susisiekimo ministro 2007 m. kovo 23 d. įsakymo Nr. 3-97 "Dėl Vinječių formos, jų reikalavimų, įsigijimo ir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BAC8474F95A">
        <w:r w:rsidRPr="00532B9F">
          <w:rPr>
            <w:rFonts w:ascii="Times New Roman" w:eastAsia="MS Mincho" w:hAnsi="Times New Roman"/>
            <w:sz w:val="20"/>
            <w:iCs/>
            <w:color w:val="0000FF" w:themeColor="hyperlink"/>
            <w:u w:val="single"/>
          </w:rPr>
          <w:t>3-260</w:t>
        </w:r>
      </w:fldSimple>
      <w:r>
        <w:rPr>
          <w:rFonts w:ascii="Times New Roman" w:eastAsia="MS Mincho" w:hAnsi="Times New Roman"/>
          <w:sz w:val="20"/>
          <w:iCs/>
        </w:rPr>
        <w:t>,
2009-06-11,
Žin., 2009, Nr.
72-2941 (2009-06-18), i. k. 1092210ISAK0003-260                </w:t>
      </w:r>
    </w:p>
    <w:p>
      <w:pPr>
        <w:jc w:val="both"/>
        <w:rPr>
          <w:rFonts w:ascii="Times New Roman" w:hAnsi="Times New Roman"/>
        </w:rPr>
      </w:pPr>
      <w:r>
        <w:rPr>
          <w:rFonts w:ascii="Times New Roman" w:hAnsi="Times New Roman"/>
          <w:sz w:val="20"/>
        </w:rPr>
        <w:t>Dėl Lietuvos Respublikos susisiekimo ministro 2007 m. kovo 23 d. įsakymo Nr. 3-97 "Dėl Vinječių formos, jų reikalavimų, įsigijimo ir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232BE5A915">
        <w:r w:rsidRPr="00532B9F">
          <w:rPr>
            <w:rFonts w:ascii="Times New Roman" w:eastAsia="MS Mincho" w:hAnsi="Times New Roman"/>
            <w:sz w:val="20"/>
            <w:iCs/>
            <w:color w:val="0000FF" w:themeColor="hyperlink"/>
            <w:u w:val="single"/>
          </w:rPr>
          <w:t>3-21</w:t>
        </w:r>
      </w:fldSimple>
      <w:r>
        <w:rPr>
          <w:rFonts w:ascii="Times New Roman" w:eastAsia="MS Mincho" w:hAnsi="Times New Roman"/>
          <w:sz w:val="20"/>
          <w:iCs/>
        </w:rPr>
        <w:t>,
2010-01-05,
Žin., 2010, Nr.
4-178 (2010-01-12), i. k. 1102210ISAK00003-21                </w:t>
      </w:r>
    </w:p>
    <w:p>
      <w:pPr>
        <w:jc w:val="both"/>
        <w:rPr>
          <w:rFonts w:ascii="Times New Roman" w:hAnsi="Times New Roman"/>
        </w:rPr>
      </w:pPr>
      <w:r>
        <w:rPr>
          <w:rFonts w:ascii="Times New Roman" w:hAnsi="Times New Roman"/>
          <w:sz w:val="20"/>
        </w:rPr>
        <w:t>Dėl Lietuvos Respublikos susisiekimo ministro 2007 m. kovo 23 d. įsakymo Nr. 3-97 "Dėl Vinječių formos, jų reikalavimų, įsigijimo ir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BC64B88AA1">
        <w:r w:rsidRPr="00532B9F">
          <w:rPr>
            <w:rFonts w:ascii="Times New Roman" w:eastAsia="MS Mincho" w:hAnsi="Times New Roman"/>
            <w:sz w:val="20"/>
            <w:iCs/>
            <w:color w:val="0000FF" w:themeColor="hyperlink"/>
            <w:u w:val="single"/>
          </w:rPr>
          <w:t>3-112</w:t>
        </w:r>
      </w:fldSimple>
      <w:r>
        <w:rPr>
          <w:rFonts w:ascii="Times New Roman" w:eastAsia="MS Mincho" w:hAnsi="Times New Roman"/>
          <w:sz w:val="20"/>
          <w:iCs/>
        </w:rPr>
        <w:t>,
2011-02-24,
Žin., 2011, Nr.
25-1227 (2011-03-01), i. k. 1112210ISAK0003-112                </w:t>
      </w:r>
    </w:p>
    <w:p>
      <w:pPr>
        <w:jc w:val="both"/>
        <w:rPr>
          <w:rFonts w:ascii="Times New Roman" w:hAnsi="Times New Roman"/>
        </w:rPr>
      </w:pPr>
      <w:r>
        <w:rPr>
          <w:rFonts w:ascii="Times New Roman" w:hAnsi="Times New Roman"/>
          <w:sz w:val="20"/>
        </w:rPr>
        <w:t>Dėl Lietuvos Respublikos susisiekimo ministro 2007 m. kovo 23 d. įsakymo Nr. 3-97 "Dėl Vinječių formos, jų reikalavimų, įsigijimo ir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7ABD2BD7815">
        <w:r w:rsidRPr="00532B9F">
          <w:rPr>
            <w:rFonts w:ascii="Times New Roman" w:eastAsia="MS Mincho" w:hAnsi="Times New Roman"/>
            <w:sz w:val="20"/>
            <w:iCs/>
            <w:color w:val="0000FF" w:themeColor="hyperlink"/>
            <w:u w:val="single"/>
          </w:rPr>
          <w:t>3-417</w:t>
        </w:r>
      </w:fldSimple>
      <w:r>
        <w:rPr>
          <w:rFonts w:ascii="Times New Roman" w:eastAsia="MS Mincho" w:hAnsi="Times New Roman"/>
          <w:sz w:val="20"/>
          <w:iCs/>
        </w:rPr>
        <w:t>,
2013-08-01,
Žin., 2013, Nr.
86-4322 (2013-08-07), i. k. 1132210ISAK0003-417                </w:t>
      </w:r>
    </w:p>
    <w:p>
      <w:pPr>
        <w:jc w:val="both"/>
        <w:rPr>
          <w:rFonts w:ascii="Times New Roman" w:hAnsi="Times New Roman"/>
        </w:rPr>
      </w:pPr>
      <w:r>
        <w:rPr>
          <w:rFonts w:ascii="Times New Roman" w:hAnsi="Times New Roman"/>
          <w:sz w:val="20"/>
        </w:rPr>
        <w:t>Dėl Lietuvos Respublikos susisiekimo ministro 2007 m. kovo 23 d. įsakymo Nr. 3-97 "Dėl Vinječių formos, jų reikalavimų, įsigijimo ir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susisiekimo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4630b0a5f211e3aeb49a67165e3ad3">
        <w:r w:rsidRPr="00532B9F">
          <w:rPr>
            <w:rFonts w:ascii="Times New Roman" w:eastAsia="MS Mincho" w:hAnsi="Times New Roman"/>
            <w:sz w:val="20"/>
            <w:iCs/>
            <w:color w:val="0000FF" w:themeColor="hyperlink"/>
            <w:u w:val="single"/>
          </w:rPr>
          <w:t>3-107-(E)</w:t>
        </w:r>
      </w:fldSimple>
      <w:r>
        <w:rPr>
          <w:rFonts w:ascii="Times New Roman" w:eastAsia="MS Mincho" w:hAnsi="Times New Roman"/>
          <w:sz w:val="20"/>
          <w:iCs/>
        </w:rPr>
        <w:t>,
2014-03-07,
paskelbta TAR 2014-03-07, i. k. 2014-02836                </w:t>
      </w:r>
    </w:p>
    <w:p>
      <w:pPr>
        <w:jc w:val="both"/>
        <w:rPr>
          <w:rFonts w:ascii="Times New Roman" w:hAnsi="Times New Roman"/>
        </w:rPr>
      </w:pPr>
      <w:r>
        <w:rPr>
          <w:rFonts w:ascii="Times New Roman" w:hAnsi="Times New Roman"/>
          <w:sz w:val="20"/>
        </w:rPr>
        <w:t>Dėl Lietuvos Respublikos susisiekimo ministro 2007 m. kovo 23 d. įsakymo Nr. 3-97 „Dėl Vinječių formos, jų reikalavimų, įsigijimo ir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Medium Cond">
    <w:panose1 w:val="020B06060304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4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C33EA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1411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0E48C578D17C"/>
  <Relationship Id="rId18" Type="http://schemas.openxmlformats.org/officeDocument/2006/relationships/hyperlink" TargetMode="External" Target="https://www.e-tar.lt/portal/lt/legalAct/TAR.8F34D138CCE4"/>
  <Relationship Id="rId19" Type="http://schemas.openxmlformats.org/officeDocument/2006/relationships/hyperlink" TargetMode="External" Target="https://www.e-tar.lt/portal/lt/legalAct/TAR.C54AFFAA7622"/>
  <Relationship Id="rId2" Type="http://schemas.openxmlformats.org/officeDocument/2006/relationships/header" Target="header2.xml"/>
  <Relationship Id="rId20" Type="http://schemas.openxmlformats.org/officeDocument/2006/relationships/hyperlink" TargetMode="External" Target="https://www.e-tar.lt/portal/lt/legalAct/TAR.C0DE35FFA738"/>
  <Relationship Id="rId21" Type="http://schemas.openxmlformats.org/officeDocument/2006/relationships/hyperlink" TargetMode="External" Target="https://www.e-tar.lt/portal/lt/legalAct/TAR.C6C45D231ED7"/>
  <Relationship Id="rId22" Type="http://schemas.openxmlformats.org/officeDocument/2006/relationships/hyperlink" TargetMode="External" Target="https://www.e-tar.lt/portal/lt/legalAct/TAR.479B13E87700"/>
  <Relationship Id="rId23" Type="http://schemas.openxmlformats.org/officeDocument/2006/relationships/hyperlink" TargetMode="External" Target="https://www.e-tar.lt/portal/lt/legalAct/TAR.4DFEFB21D901"/>
  <Relationship Id="rId24" Type="http://schemas.openxmlformats.org/officeDocument/2006/relationships/hyperlink" TargetMode="External" Target="https://www.e-tar.lt/portal/lt/legalAct/TAR.BBE7D61A0416"/>
  <Relationship Id="rId25" Type="http://schemas.openxmlformats.org/officeDocument/2006/relationships/hyperlink" TargetMode="External" Target="https://www.e-tar.lt/portal/lt/legalAct/TAR.FCE1E8F735DE"/>
  <Relationship Id="rId26" Type="http://schemas.openxmlformats.org/officeDocument/2006/relationships/image" Target="media/image2.jpeg"/>
  <Relationship Id="rId27" Type="http://schemas.openxmlformats.org/officeDocument/2006/relationships/image" Target="media/image3.jpeg"/>
  <Relationship Id="rId28" Type="http://schemas.openxmlformats.org/officeDocument/2006/relationships/image" Target="media/image4.jpeg"/>
  <Relationship Id="rId29" Type="http://schemas.openxmlformats.org/officeDocument/2006/relationships/image" Target="media/image5.jpeg"/>
  <Relationship Id="rId3" Type="http://schemas.openxmlformats.org/officeDocument/2006/relationships/footer" Target="footer1.xml"/>
  <Relationship Id="rId30" Type="http://schemas.openxmlformats.org/officeDocument/2006/relationships/image" Target="media/image6.jpeg"/>
  <Relationship Id="rId31" Type="http://schemas.openxmlformats.org/officeDocument/2006/relationships/image" Target="media/image7.jpeg"/>
  <Relationship Id="rId32" Type="http://schemas.openxmlformats.org/officeDocument/2006/relationships/image" Target="media/image8.jpeg"/>
  <Relationship Id="rId33" Type="http://schemas.openxmlformats.org/officeDocument/2006/relationships/image" Target="media/image9.jpeg"/>
  <Relationship Id="rId34" Type="http://schemas.openxmlformats.org/officeDocument/2006/relationships/image" Target="media/image10.png"/>
  <Relationship Id="rId35" Type="http://schemas.openxmlformats.org/officeDocument/2006/relationships/image" Target="media/image11.png"/>
  <Relationship Id="rId36" Type="http://schemas.openxmlformats.org/officeDocument/2006/relationships/image" Target="media/image12.png"/>
  <Relationship Id="rId37" Type="http://schemas.openxmlformats.org/officeDocument/2006/relationships/image" Target="media/image13.png"/>
  <Relationship Id="rId38" Type="http://schemas.openxmlformats.org/officeDocument/2006/relationships/image" Target="media/image14.png"/>
  <Relationship Id="rId39" Type="http://schemas.openxmlformats.org/officeDocument/2006/relationships/image" Target="media/image15.png"/>
  <Relationship Id="rId4" Type="http://schemas.openxmlformats.org/officeDocument/2006/relationships/footer" Target="footer2.xml"/>
  <Relationship Id="rId40" Type="http://schemas.openxmlformats.org/officeDocument/2006/relationships/image" Target="media/image16.png"/>
  <Relationship Id="rId41" Type="http://schemas.openxmlformats.org/officeDocument/2006/relationships/image" Target="media/image17.png"/>
  <Relationship Id="rId42" Type="http://schemas.openxmlformats.org/officeDocument/2006/relationships/image" Target="media/image18.png"/>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42</TotalTime>
  <Pages>11</Pages>
  <Words>13068</Words>
  <Characters>7450</Characters>
  <Application>Microsoft Office Word</Application>
  <DocSecurity>0</DocSecurity>
  <Lines>62</Lines>
  <Paragraphs>40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SUSISIEKIMO MINISTRO</vt:lpstr>
    </vt:vector>
  </TitlesOfParts>
  <Company/>
  <LinksUpToDate>false</LinksUpToDate>
  <CharactersWithSpaces>20478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2015-04-20T11:22:00Z</dcterms:created>
  <dc:creator>Rima</dc:creator>
  <lastModifiedBy>TAMALIŪNIENĖ Vilija</lastModifiedBy>
  <dcterms:modified xsi:type="dcterms:W3CDTF">2015-04-27T13:26:00Z</dcterms:modified>
  <revision>11</revision>
  <dc:title>LIETUVOS RESPUBLIKOS SUSISIEKIMO MINISTRO</dc:title>
</coreProperties>
</file>