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26d9e0eb75d40b1be558cbe963bcf97"/>
        <w:lock w:val="sdtLocked"/>
        <w:richText/>
      </w:sdtPr>
      <w:sdtContent>
        <w:p>
          <w:pPr>
            <w:jc w:val="both"/>
            <w:rPr>
              <w:rFonts w:ascii="Times New Roman" w:hAnsi="Times New Roman"/>
            </w:rPr>
          </w:pPr>
          <w:r>
            <w:rPr>
              <w:rFonts w:ascii="Times New Roman" w:hAnsi="Times New Roman"/>
              <w:b/>
              <w:i/>
            </w:rPr>
            <w:t>Suvestinė redakcija nuo 2016-04-29 iki 2017-03-23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w14:anchorId="0DFB4CE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226d9e0eb75d40b1be558cbe963bcf97"/>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xml:space="preserve">; 2007, Nr. </w:t>
              </w:r>
              <w:hyperlink r:id="rId18"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4"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64dd1e10d6b14ce68d8bd10b74c02d4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12.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25" w:tgtFrame="_blank" w:history="1">
                    <w:r>
                      <w:rPr>
                        <w:color w:val="0000FF" w:themeColor="hyperlink"/>
                        <w:u w:val="single"/>
                      </w:rPr>
                      <w:t>13-308</w:t>
                    </w:r>
                  </w:hyperlink>
                  <w:r>
                    <w:rPr>
                      <w:color w:val="000000"/>
                    </w:rPr>
                    <w:t xml:space="preserve">; 2000, Nr. </w:t>
                  </w:r>
                  <w:hyperlink r:id="rId26"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a91db129722b447c9e468467a34bd206"/>
        <w:lock w:val="sdtLocked"/>
        <w:richText/>
      </w:sdtPr>
      <w:sdtContent>
        <w:p>
          <w:pPr>
            <w:jc w:val="both"/>
            <w:rPr>
              <w:szCs w:val="24"/>
            </w:rPr>
            <w:sectPr>
              <w:headerReference w:type="even" r:id="rId19"/>
              <w:footerReference w:type="even" r:id="rId20"/>
              <w:footerReference w:type="default" r:id="rId21"/>
              <w:headerReference w:type="first" r:id="rId22"/>
              <w:footerReference w:type="first" r:id="rId23"/>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a91db129722b447c9e468467a34bd206"/>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a91db129722b447c9e468467a34bd206"/>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Šis reikalavimas iki 2020 metų netaikomas atrinktoms pertvarkai stacionarioms socialinės globos įstaigoms, patvirtintoms Lietuvos Respublikos socialinės apsaugos ir darbo ministro 2015 m. gegužės 5 d. įsakymu Nr. A1-271 „Dėl Atrinktų pertvarkai stacionarių socialinės globos įstaigų ir sutrikusios vystymosi kūdikių namų sąrašo patvirtinimo“ (toliau – pertvarkomos įstaigos.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25 ar daugiau vaikų su negalia) ir vaikų su negalia socialinės globos namuose (kai juose socialinę globą gauna 25 ar daugiau vaikų su negalia) slaugos paslaugos privalo būti teikiamos pačioje įstaigoje.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2413"/>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Tos pačios amžiaus grupės vaikams (išskyrus vaikams su negalia) socialinės globos įstaigoje nustatomas vienodas kišenpinigių dydis. Vaikams nuo 14 metų amžiaus mokamų kišenpinigių dydis yra ne mažesnis kaip 0,4 BSI per mėnesį (išskyrus vaikams su negalia). Vaikams su negalia kišenpinigiai mokami atsižvelgiant į jų savarankiškumo lygį, gebėjimą išreikšti savo nuomonę, priimti sprendimus. Vaikui išmokamų kišenpinigių dydis laikinai gali būti stabdomas ar mažinamas kaip drausminimo priemonė ir didinamas kaip skatinamoji priemonė.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kur vaikas išleidžia kišenpinigius, tačiau negali reikalauti iš vaiko atsiskaityti už gautus kišenpinigius pateikiant pirkinių apmokėjimo kvitus.</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ir vaikų su negalia grupinio gyvenimo namai steigiami atskirose gyvenamosiose patalpose (gyvenamajame name ar bute). Bendruomeniniai vaikų globos namai ar vaikų su negalia grupinio gyvenimo namai negali būti steigiami tame pačiame žemės sklype ar pastate su socialinės globos namais, kitais bendruomeniniais vaikų globos namais ar grupinio gyvenimo namais (išskyrus, kai steigiami daugiabučiame gyvenamajame name). Bendruomeniniai vaikų globos namai ir vaikų su negalia grupinio gyvenimo namai taip pat negali būti steigiami pastatuose (išskyrus daugiabutį gyvenamąjį namą), kuriuose veikia kitos socialinių paslaugų, sveikatos priežiūros, švietimo ar ugdymo įstaigos. Steigiant bendruomeninius vaikų globos namus ar vaikų su negalia grupinio gyvenimo namus daugiabučiame gyvenamajame name, vienoje laiptinėje negali būti daugiau nei 2 bendruomeniniai vaikų globos namai ar grupinio gyvenimo namai (jei laiptinėje yra tik du butai, bendruomeniniai vaikų globos namai ar vaikų su negalia grupinio gyvenimo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Pr>
                    <w:color w:val="000000"/>
                    <w:sz w:val="18"/>
                    <w:szCs w:val="18"/>
                  </w:rPr>
                  <w:t>socialinės globos namuose sumažinti iki 60-ies vaikų, planus. Vaikų socialinės globos namai, kuriuose 2017 m. pradžioje gyvens daugiau kaip 30 vaikų, 2016 m. turės turėti</w:t>
                </w:r>
                <w:r>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14.8.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14.10. Likusiems be tėvų globos ir socialinės rizikos vaikams naujai (nuo 2015 m.) steigiami tik bendruomeniniai vaikų globos namai, kuriuose gyvena ne daugiau kaip 8 vaikai (išskyrus atvejus, kai apgyvendinami broliai ir seserys), vaikams su negalia (išskyrus vaikus su sunkia negalia) – tik grupinio gyvenimo namai, kuriuose gyvena ne daugiau kaip 10 vaikų.</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14.13.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14.14.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nuo 2016 metų (pertvarkomose įstaigose – nuo 2020 m.)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ir turto apskaitos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2 pr."/>
        <w:tag w:val="part_60ebff75025b4ec29fb69865089d7cb2"/>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60ebff75025b4ec29fb69865089d7cb2"/>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60ebff75025b4ec29fb69865089d7cb2"/>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3 pr."/>
        <w:tag w:val="part_42eed3da9322458eaa6498e00cbe0bd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42eed3da9322458eaa6498e00cbe0bd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42eed3da9322458eaa6498e00cbe0bd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4.4.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4 pr."/>
        <w:tag w:val="part_c5342c3fb2bd43e29a1098338e18c50a"/>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c5342c3fb2bd43e29a1098338e18c50a"/>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c5342c3fb2bd43e29a1098338e18c50a"/>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ar kitomis pavojingomis užkrečiamomis ligomis, bei esant ūmiai psichozei.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ir materialinės vertybės administruojami teisės aktų nustatyta tvarka bei tvarkomi pagal socialinės globos įstaigos patvirtintą gyventojų pinigų ir kitų materialinių vertybių laikymo ir saugojimo tvarkos aprašą, kuris užtikrina asmens interesus saugant, naudojant ir apskaitant asmens pinigus ir materialines vertybes.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16.7. Naujai nuo 2016 m. liepos 1 d. asmenims su negalia (išskyrus asmenis su sunkia negalia) 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17.1. Asmuo gyvena socialinės globos namuose, kurių patalpos, t. y. gyvenamųjų kambarių, valgyklos, virtuvės, skirtos individualiam maisto gaminimui, asmens higienos patalpos, laisvalaikio organizavimo, ugdymo, bendro naudojimo patalpos (laiptinės, koridoriai ir pan.) ir kita, pritaikytos gyvenimui ir būtiniems gyventojų poreikiams tenkinti. Socialinės globos namuose virtuvėlės savarankiškam maisto gaminimuisi turi būti kiekviename pastato, kuriame įrengti daugiau kaip 5 gyvenamieji kambariai, aukšte, aprūpintos buitine technika (viryklė, šaldytuvas ir pan.), baldais (spintelės, stalas, kėdės ir pan.), įrankiais, indais, viena virtuvėle gali naudotis ne daugiau kaip 50 socialinės globos namuose socialinę globą gaunančių asmenų.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ir turto  saugaus laikymo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5 pr."/>
        <w:tag w:val="part_f82b08ae7d2c46d0b966156d631b403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f82b08ae7d2c46d0b966156d631b403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f82b08ae7d2c46d0b966156d631b4039"/>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BFFF1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3D79DE919126"/>
  <Relationship Id="rId19" Type="http://schemas.openxmlformats.org/officeDocument/2006/relationships/header" Target="header1.xml"/>
  <Relationship Id="rId2" Type="http://schemas.openxmlformats.org/officeDocument/2006/relationships/header" Target="header4.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2.xml"/>
  <Relationship Id="rId23" Type="http://schemas.openxmlformats.org/officeDocument/2006/relationships/footer" Target="footer3.xml"/>
  <Relationship Id="rId24" Type="http://schemas.openxmlformats.org/officeDocument/2006/relationships/hyperlink" TargetMode="External" Target="https://www.e-tar.lt/portal/lt/legalAct/TAR.91609F53E29E"/>
  <Relationship Id="rId25" Type="http://schemas.openxmlformats.org/officeDocument/2006/relationships/hyperlink" TargetMode="External" Target="https://www.e-tar.lt/portal/lt/legalAct/TAR.67B5099C5848"/>
  <Relationship Id="rId26" Type="http://schemas.openxmlformats.org/officeDocument/2006/relationships/hyperlink" TargetMode="External" Target="https://www.e-tar.lt/portal/lt/legalAct/TAR.78FAC7B20AD8"/>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5.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226d9e0eb75d40b1be558cbe963bcf97">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Title=""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Title=""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Title=""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Title="" DocPartId="d9fe9206a1ba4976a7fe30565fa80c4b" PartId="64dd1e10d6b14ce68d8bd10b74c02d4f"/>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a91db129722b447c9e468467a34bd206"/>
  <Part Type="priedas" Nr="2" Abbr="2 pr." Title="LIKUSIŲ BE TĖVŲ GLOBOS VAIKŲ, SOCIALINĖS RIZIKOS VAIKŲ ILGALAIKĖS (TRUMPALAIKĖS) SOCIALINĖS GLOBOS NORMOS, TAIKOMOS ŠEIMYNOMS" DocPartId="567f992bc51b4644a3715cd918b387a3" PartId="60ebff75025b4ec29fb69865089d7cb2"/>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42eed3da9322458eaa6498e00cbe0bd8"/>
  <Part Type="priedas" Nr="4" Abbr="4 pr." Title="SENYVO AMŽIAUS ASMENŲ IR SUAUGUSIŲ ASMENŲ SU NEGALIA ILGALAIKĖS (TRUMPALAIKĖS) SOCIALINĖS GLOBOS NORMOS, TAIKOMOS SOCIALINĖS GLOBOS NAMAMS IR GRUPINIO GYVENIMO NAMAMS" DocPartId="55a72a8576994dcba831c0128e6b7f6e" PartId="c5342c3fb2bd43e29a1098338e18c50a"/>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f82b08ae7d2c46d0b966156d631b4039"/>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CA3074BB-65DD-4039-985F-0D8279D43C22}">
  <ds:schemaRefs>
    <ds:schemaRef ds:uri="http://lrs.lt/TAIS/DocParts"/>
  </ds:schemaRefs>
</ds:datastoreItem>
</file>

<file path=docProps/app.xml><?xml version="1.0" encoding="utf-8"?>
<Properties xmlns="http://schemas.openxmlformats.org/officeDocument/2006/extended-properties">
  <Template>Normal.dotm</Template>
  <TotalTime>46</TotalTime>
  <Pages>134</Pages>
  <Words>302936</Words>
  <Characters>172675</Characters>
  <Application>Microsoft Office Word</Application>
  <DocSecurity>0</DocSecurity>
  <Lines>1438</Lines>
  <Paragraphs>949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474662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2016-04-29T06:26:00Z</dcterms:modified>
  <revision>10</revision>
  <dc:title>LIETUVOS RESPUBLIKOS SOCIALINĖS APSAUGOS IR DARBO MINISTRAS</dc:title>
</coreProperties>
</file>