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61eb40484e402d82cb7693d999bcdf"/>
        <w:lock w:val="sdtLocked"/>
        <w:richText/>
      </w:sdtPr>
      <w:sdtContent>
        <w:p>
          <w:pPr>
            <w:jc w:val="both"/>
            <w:rPr>
              <w:rFonts w:ascii="Times New Roman" w:hAnsi="Times New Roman"/>
            </w:rPr>
          </w:pPr>
          <w:r>
            <w:rPr>
              <w:rFonts w:ascii="Times New Roman" w:hAnsi="Times New Roman"/>
              <w:b/>
              <w:i/>
            </w:rPr>
            <w:t>Suvestinė redakcija nuo 2019-07-09 iki 2019-10-10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2019-07-09:</w:t>
          </w:r>
        </w:p>
        <w:p>
          <w:pPr>
            <w:rPr>
              <w:rFonts w:ascii="Times New Roman" w:hAnsi="Times New Roman"/>
              <w:sz w:val="20"/>
              <w:i/>
            </w:rPr>
          </w:pPr>
          <w:r>
            <w:rPr>
              <w:rFonts w:ascii="Times New Roman" w:hAnsi="Times New Roman"/>
              <w:sz w:val="20"/>
              <w:i/>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rPr>
              <w:rFonts w:ascii="Times New Roman" w:hAnsi="Times New Roman"/>
              <w:sz w:val="22"/>
            </w:rP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SOCIALINĖS GLOBOS NORMŲ APRAŠO PATVIRTINIMO</w:t>
          </w:r>
        </w:p>
        <w:p>
          <w:pPr>
            <w:jc w:val="center"/>
            <w:rPr>
              <w:szCs w:val="24"/>
            </w:rPr>
          </w:pPr>
        </w:p>
        <w:p>
          <w:pPr>
            <w:jc w:val="center"/>
            <w:rPr>
              <w:szCs w:val="24"/>
            </w:rPr>
          </w:pPr>
          <w:r>
            <w:t>2007 m. vasario 20 d. Nr. A1-46</w:t>
          </w:r>
        </w:p>
        <w:p>
          <w:pPr>
            <w:jc w:val="center"/>
            <w:rPr>
              <w:szCs w:val="24"/>
            </w:rPr>
          </w:pPr>
          <w:r>
            <w:rPr>
              <w:szCs w:val="24"/>
            </w:rPr>
            <w:t>Vilnius</w:t>
          </w:r>
        </w:p>
        <w:p>
          <w:pPr>
            <w:jc w:val="center"/>
            <w:rPr>
              <w:szCs w:val="24"/>
            </w:rPr>
          </w:pPr>
        </w:p>
        <w:sdt>
          <w:sdtPr>
            <w:alias w:val="preambule"/>
            <w:tag w:val="part_a17e829a7d1049738d568db1dba754e8"/>
            <w:lock w:val="sdtLocked"/>
            <w:richText/>
          </w:sdtPr>
          <w:sdtContent>
            <w:p>
              <w:pPr>
                <w:ind w:firstLine="851"/>
                <w:jc w:val="both"/>
                <w:rPr>
                  <w:color w:val="000000"/>
                  <w:szCs w:val="24"/>
                  <w:lang w:eastAsia="lt-LT"/>
                </w:rPr>
              </w:pPr>
              <w:r>
                <w:rPr>
                  <w:color w:val="000000"/>
                  <w:szCs w:val="24"/>
                  <w:lang w:eastAsia="lt-LT"/>
                </w:rPr>
                <w:t>Vadovaudamasis Lietuvos Respublikos Vyriausybės 2006 m. kovo 16 d. nutarimo Nr. 259 „Dėl įgaliojimų suteikimo įgyvendinant Lietuvos Respublikos socialinių paslaugų įstatymą“ 1.4 papunkčiu:</w:t>
              </w:r>
            </w:p>
          </w:sdtContent>
        </w:sdt>
        <w:sdt>
          <w:sdtPr>
            <w:alias w:val="1 p."/>
            <w:tag w:val="part_ec937bcc511b4a8495864203ee6948ca"/>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4"/>
                  <w:lang w:eastAsia="lt-LT"/>
                </w:rPr>
                <w:sectPr>
                  <w:headerReference w:type="even" r:id="rId28"/>
                  <w:headerReference w:type="default" r:id="rId29"/>
                  <w:footerReference w:type="even" r:id="rId30"/>
                  <w:footerReference w:type="default" r:id="rId31"/>
                  <w:headerReference w:type="first" r:id="rId32"/>
                  <w:footerReference w:type="first" r:id="rId33"/>
                  <w:pgSz w:w="11906" w:h="16838"/>
                  <w:pgMar w:top="1701" w:right="707" w:bottom="1701" w:left="1701" w:header="720" w:footer="720" w:gutter="0"/>
                  <w:cols w:space="720"/>
                  <w:titlePg/>
                  <w:docGrid w:linePitch="360"/>
                </w:sectPr>
              </w:pPr>
              <w:sdt>
                <w:sdtPr>
                  <w:alias w:val="Numeris"/>
                  <w:tag w:val="nr_ec937bcc511b4a8495864203ee6948ca"/>
                  <w:lock w:val="sdtLocked"/>
                  <w:richText/>
                </w:sdtPr>
                <w:sdtContent>
                  <w:r>
                    <w:rPr>
                      <w:color w:val="000000"/>
                      <w:szCs w:val="24"/>
                      <w:lang w:eastAsia="lt-LT"/>
                    </w:rPr>
                    <w:t>1</w:t>
                  </w:r>
                </w:sdtContent>
              </w:sdt>
              <w:r>
                <w:rPr>
                  <w:color w:val="000000"/>
                  <w:szCs w:val="24"/>
                  <w:lang w:eastAsia="lt-LT"/>
                </w:rPr>
                <w:t>.</w:t>
                <w:tab/>
                <w:t xml:space="preserve">T v i r t i n u </w:t>
              </w:r>
              <w:r>
                <w:rPr>
                  <w:rFonts w:ascii="TimesLT" w:hAnsi="TimesLT"/>
                  <w:color w:val="000000"/>
                  <w:sz w:val="20"/>
                  <w:szCs w:val="24"/>
                  <w:lang w:eastAsia="lt-LT"/>
                </w:rPr>
                <w:t xml:space="preserve"> </w:t>
              </w:r>
              <w:r>
                <w:rPr>
                  <w:color w:val="000000"/>
                  <w:szCs w:val="24"/>
                  <w:lang w:eastAsia="lt-LT"/>
                </w:rPr>
                <w:t>Socialinės globos normų aprašą (pridedama).</w:t>
              </w:r>
            </w:p>
          </w:sdtContent>
        </w:sdt>
        <w:sdt>
          <w:sdtPr>
            <w:alias w:val="2 p."/>
            <w:tag w:val="part_3ad348d9518e4a36bf069144dfbf25f5"/>
            <w:lock w:val="sdtLocked"/>
            <w:richText/>
          </w:sdtPr>
          <w:sdtContent>
            <w:p>
              <w:pPr>
                <w:ind w:firstLine="851"/>
                <w:jc w:val="both"/>
                <w:rPr>
                  <w:szCs w:val="24"/>
                </w:rPr>
              </w:pPr>
              <w:sdt>
                <w:sdtPr>
                  <w:alias w:val="Numeris"/>
                  <w:tag w:val="nr_3ad348d9518e4a36bf069144dfbf25f5"/>
                  <w:lock w:val="sdtLocked"/>
                  <w:richText/>
                </w:sdtPr>
                <w:sdtContent>
                  <w:r>
                    <w:rPr>
                      <w:szCs w:val="24"/>
                    </w:rPr>
                    <w:t>2</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3 p."/>
            <w:tag w:val="part_85049d3c696e4bcc9c5e5bbb270fc068"/>
            <w:lock w:val="sdtLocked"/>
            <w:richText/>
          </w:sdtPr>
          <w:sdtContent>
            <w:p>
              <w:pPr>
                <w:ind w:firstLine="851"/>
                <w:jc w:val="both"/>
                <w:rPr>
                  <w:szCs w:val="24"/>
                </w:rPr>
              </w:pPr>
              <w:sdt>
                <w:sdtPr>
                  <w:alias w:val="Numeris"/>
                  <w:tag w:val="nr_85049d3c696e4bcc9c5e5bbb270fc068"/>
                  <w:lock w:val="sdtLocked"/>
                  <w:richText/>
                </w:sdtPr>
                <w:sdtContent>
                  <w:r>
                    <w:rPr>
                      <w:szCs w:val="24"/>
                    </w:rPr>
                    <w:t>3</w:t>
                  </w:r>
                </w:sdtContent>
              </w:sdt>
              <w:r>
                <w:rPr>
                  <w:szCs w:val="24"/>
                </w:rPr>
                <w:t xml:space="preserve">. Vaikų socialinės globos </w:t>
              </w:r>
              <w:r>
                <w:rPr>
                  <w:color w:val="000000"/>
                  <w:szCs w:val="24"/>
                </w:rPr>
                <w:t xml:space="preserve">namuose, kuriems buvo skirtos Europos Sąjungos struktūrinių fondų investicijos pagal 2007–2013 m. Sanglaudos skatinimo veiksmų programos priemonę „Stacionarių socialinių paslaugų infrastruktūros plėtra“ </w:t>
              </w:r>
              <w:r>
                <w:rPr>
                  <w:szCs w:val="24"/>
                </w:rPr>
                <w:t>ar kurie buvo finansuoti iš 2004–2009 m. Europos ekonominės erdvės ir Norvegijos finansinių mechanizmų</w:t>
              </w:r>
              <w:r>
                <w:rPr>
                  <w:color w:val="000000"/>
                  <w:szCs w:val="24"/>
                </w:rPr>
                <w:t xml:space="preserve">, ilgalaikė (trumpalaikė) socialinė globa </w:t>
              </w:r>
              <w:r>
                <w:rPr>
                  <w:szCs w:val="24"/>
                </w:rPr>
                <w:t xml:space="preserve">likusiems be tėvų globos vaikams (išskyrus trumpalaikę socialinę globą iki 3 mėn.), pradėjusiems gauti šią globą iki 2020 m. sausio 1 d., </w:t>
              </w:r>
              <w:r>
                <w:rPr>
                  <w:color w:val="000000"/>
                  <w:szCs w:val="24"/>
                </w:rPr>
                <w:t xml:space="preserve">gali būti teikiama </w:t>
              </w:r>
              <w:r>
                <w:rPr>
                  <w:szCs w:val="24"/>
                </w:rPr>
                <w:t xml:space="preserve">iki 2023 m. gruodžio 31 d., netaikant </w:t>
              </w:r>
              <w:r>
                <w:rPr>
                  <w:color w:val="000000"/>
                  <w:szCs w:val="24"/>
                </w:rPr>
                <w:t>šiuo įsakymu patvirtino Socialinės globos normų aprašo 1 priedo 14.5 papunkčio. Nuo 2020 m. sausio 1 d.</w:t>
              </w:r>
              <w:r>
                <w:rPr>
                  <w:szCs w:val="24"/>
                </w:rPr>
                <w:t xml:space="preserve"> </w:t>
              </w:r>
              <w:r>
                <w:rPr>
                  <w:color w:val="000000"/>
                  <w:szCs w:val="24"/>
                </w:rPr>
                <w:t xml:space="preserve">likusiems be tėvų globos vaikams ilgalaikė socialinė globa negali būti naujai pradedama teikti šiuose socialinės globos namuose. Šie vaikų socialinės globos namai ne vėliau kaip 2020 m. sausio 1 d. turi patvirtinti su įstaigos savininko teises ir pareigas įgyvendinančia institucija suderintus priemonių, kurias įgyvendinus bus pasiektas reikalavimas nuo 2023 m. gruodžio 31 d. metų nebeteikti likusiems be tėvų globos vaikams ilgalaikės (trumpalaikės) socialinės globos </w:t>
              </w:r>
              <w:r>
                <w:rPr>
                  <w:szCs w:val="24"/>
                </w:rPr>
                <w:t>(išskyrus trumpalaikę socialinę globą iki 3 mėn.)</w:t>
              </w:r>
              <w:r>
                <w:rPr>
                  <w:color w:val="000000"/>
                  <w:szCs w:val="24"/>
                </w:rPr>
                <w:t xml:space="preserve"> vaikų socialinės globos namuose, planus.</w:t>
              </w:r>
            </w:p>
          </w:sdtContent>
        </w:sdt>
        <w:sdt>
          <w:sdtPr>
            <w:alias w:val="4 p."/>
            <w:tag w:val="part_fbcaef9172bf43359428a4fc04723259"/>
            <w:lock w:val="sdtLocked"/>
            <w:richText/>
          </w:sdtPr>
          <w:sdtContent>
            <w:p>
              <w:pPr>
                <w:tabs>
                  <w:tab w:val="left" w:pos="851"/>
                </w:tabs>
                <w:ind w:firstLine="851"/>
                <w:jc w:val="both"/>
              </w:pPr>
              <w:sdt>
                <w:sdtPr>
                  <w:alias w:val="Numeris"/>
                  <w:tag w:val="nr_fbcaef9172bf43359428a4fc04723259"/>
                  <w:lock w:val="sdtLocked"/>
                  <w:richText/>
                </w:sdtPr>
                <w:sdtContent>
                  <w:r>
                    <w:rPr>
                      <w:szCs w:val="24"/>
                    </w:rPr>
                    <w:t>4</w:t>
                  </w:r>
                </w:sdtContent>
              </w:sdt>
              <w:r>
                <w:rPr>
                  <w:szCs w:val="24"/>
                </w:rPr>
                <w:t xml:space="preserve">.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w:t>
              </w:r>
              <w:r>
                <w:rPr>
                  <w:color w:val="000000"/>
                  <w:szCs w:val="24"/>
                </w:rPr>
                <w:t xml:space="preserve">m. gruodžio 31 d. </w:t>
              </w:r>
              <w:r>
                <w:rPr>
                  <w:szCs w:val="24"/>
                </w:rPr>
                <w:t>socialinės globos namuose laisvam, savarankiškam ir saugiam judėjimui užtikrinti įrengti vertikalius keltuvus (lifto tipo keltuvus) ir / ar liftus, kurie yra pasiekiami tiesiogiai,</w:t>
              </w:r>
              <w:r>
                <w:rPr>
                  <w:rFonts w:ascii="TimesLT" w:hAnsi="TimesLT"/>
                  <w:sz w:val="20"/>
                </w:rPr>
                <w:t xml:space="preserve"> </w:t>
              </w:r>
              <w:r>
                <w:rPr>
                  <w:szCs w:val="24"/>
                </w:rPr>
                <w:t>nenaudojant jokių papildomų priemonių, išskyrus asmenines.</w:t>
              </w:r>
              <w:r>
                <w:t xml:space="preserve"> </w:t>
              </w:r>
            </w:p>
          </w:sdtContent>
        </w:sdt>
        <w:sdt>
          <w:sdtPr>
            <w:alias w:val="signatura"/>
            <w:tag w:val="part_43d83c0be9b14c93a4293d507de6727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731153db41af4f638f6d26cd2a4c8bf9"/>
        <w:lock w:val="sdtLocked"/>
        <w:richText/>
      </w:sdtPr>
      <w:sdtContent>
        <w:p>
          <w:pPr>
            <w:widowControl w:val="0"/>
            <w:ind w:left="4535"/>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31153db41af4f638f6d26cd2a4c8bf9"/>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703027e4ae5941529640a92f2a3c3432"/>
                <w:lock w:val="sdtLocked"/>
                <w:richText/>
              </w:sdtPr>
              <w:sdtContent>
                <w:p>
                  <w:pPr>
                    <w:widowControl w:val="0"/>
                    <w:tabs>
                      <w:tab w:val="left" w:pos="851"/>
                    </w:tabs>
                    <w:ind w:firstLine="567"/>
                    <w:jc w:val="both"/>
                    <w:rPr>
                      <w:color w:val="000000"/>
                    </w:rPr>
                  </w:pPr>
                  <w:sdt>
                    <w:sdtPr>
                      <w:alias w:val="Numeris"/>
                      <w:tag w:val="nr_703027e4ae5941529640a92f2a3c3432"/>
                      <w:lock w:val="sdtLocked"/>
                      <w:richText/>
                    </w:sdtPr>
                    <w:sdtContent>
                      <w:r>
                        <w:rPr>
                          <w:szCs w:val="24"/>
                        </w:rPr>
                        <w:t>2</w:t>
                      </w:r>
                    </w:sdtContent>
                  </w:sdt>
                  <w:r>
                    <w:rPr>
                      <w:szCs w:val="24"/>
                    </w:rPr>
                    <w:t>. Apraše vartojamos sąvokos atitinka Lietuvos Respublikos socialinių paslaugų įstatyme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f8e0a11b58c24a619500b6e3bac81474"/>
        <w:lock w:val="sdtLocked"/>
        <w:richText/>
      </w:sdtPr>
      <w:sdtContent>
        <w:p>
          <w:pPr>
            <w:jc w:val="both"/>
            <w:rPr>
              <w:szCs w:val="24"/>
            </w:rPr>
            <w:sectPr>
              <w:pgSz w:w="11906" w:h="16838"/>
              <w:pgMar w:top="1134" w:right="567" w:bottom="1134" w:left="1701" w:header="720" w:footer="720" w:gutter="0"/>
              <w:pgNumType w:start="1"/>
              <w:cols w:space="720"/>
              <w:titlePg/>
              <w:docGrid w:linePitch="360"/>
            </w:sectPr>
          </w:pPr>
        </w:p>
        <w:p>
          <w:pPr>
            <w:ind w:left="10206"/>
            <w:rPr>
              <w:sz w:val="20"/>
            </w:rPr>
          </w:pPr>
          <w:r>
            <w:rPr>
              <w:sz w:val="20"/>
            </w:rPr>
            <w:t xml:space="preserve">Socialinės globos normų  aprašo </w:t>
          </w:r>
        </w:p>
        <w:p>
          <w:pPr>
            <w:ind w:left="10206"/>
            <w:rPr>
              <w:sz w:val="20"/>
            </w:rPr>
          </w:pPr>
          <w:sdt>
            <w:sdtPr>
              <w:alias w:val="Numeris"/>
              <w:tag w:val="nr_f8e0a11b58c24a619500b6e3bac81474"/>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f8e0a11b58c24a619500b6e3bac81474"/>
            <w:lock w:val="sdtLocked"/>
            <w:richText/>
          </w:sdtPr>
          <w:sdtContent>
            <w:p>
              <w:pPr>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0fbbeaa16b3347f4bcf4369d78dbd47b"/>
        <w:lock w:val="sdtLocked"/>
        <w:richText/>
      </w:sdtPr>
      <w:sdtContent>
        <w:p>
          <w:pPr>
            <w:widowControl w:val="0"/>
            <w:tabs>
              <w:tab w:val="left" w:pos="2792"/>
            </w:tabs>
            <w:sectPr>
              <w:headerReference w:type="even" r:id="rId22"/>
              <w:headerReference w:type="default" r:id="rId23"/>
              <w:footerReference w:type="even" r:id="rId24"/>
              <w:footerReference w:type="default" r:id="rId25"/>
              <w:headerReference w:type="first" r:id="rId26"/>
              <w:footerReference w:type="first" r:id="rId27"/>
              <w:pgSz w:w="16839" w:h="11907" w:orient="landscape"/>
              <w:pgMar w:top="1134" w:right="567" w:bottom="1134" w:left="1701" w:header="567" w:footer="567" w:gutter="0"/>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0fbbeaa16b3347f4bcf4369d78dbd47b"/>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0fbbeaa16b3347f4bcf4369d78dbd47b"/>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00b3068dd65c4a179d4d8d5fa25b32b8"/>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00b3068dd65c4a179d4d8d5fa25b32b8"/>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00b3068dd65c4a179d4d8d5fa25b32b8"/>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4 pr."/>
        <w:tag w:val="part_8b1984bd0641496c9b8b1e2bff05577d"/>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8b1984bd0641496c9b8b1e2bff05577d"/>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8b1984bd0641496c9b8b1e2bff05577d"/>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r>
                  <w:rPr>
                    <w:szCs w:val="24"/>
                  </w:rPr>
                  <w:t>.</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slaugos ir socialinės globos namuose ilgalaikė (trumpalaikė) socialinė globa teikiama senyvo amžiaus asmenims </w:t>
                </w:r>
                <w:r>
                  <w:rPr>
                    <w:bCs/>
                    <w:sz w:val="18"/>
                    <w:szCs w:val="18"/>
                  </w:rPr>
                  <w:t>su sunkia negalia, kuriems nustatytas specialusis nuolatinės slaugos poreikis ar specialusis nuolatinės priežiūros (pagalbos) poreikis dėl protinio atsilikimo ar psichikos sutrikimo</w:t>
                </w:r>
                <w:r>
                  <w:rPr>
                    <w:sz w:val="18"/>
                    <w:szCs w:val="18"/>
                  </w:rPr>
                  <w:t>, ar suaugusiems asmenims su sunkia negalia, kuriems</w:t>
                </w:r>
                <w:r>
                  <w:rPr>
                    <w:b/>
                    <w:sz w:val="18"/>
                    <w:szCs w:val="18"/>
                  </w:rPr>
                  <w:t xml:space="preserve"> </w:t>
                </w:r>
                <w:r>
                  <w:rPr>
                    <w:sz w:val="18"/>
                    <w:szCs w:val="18"/>
                  </w:rPr>
                  <w:t xml:space="preserve">nustatytas </w:t>
                </w:r>
                <w:r>
                  <w:rPr>
                    <w:iCs/>
                    <w:sz w:val="18"/>
                    <w:szCs w:val="18"/>
                  </w:rPr>
                  <w:t>0</w:t>
                </w:r>
                <w:r>
                  <w:rPr>
                    <w:sz w:val="18"/>
                    <w:szCs w:val="18"/>
                  </w:rPr>
                  <w:t xml:space="preserve"> iki </w:t>
                </w:r>
                <w:r>
                  <w:rPr>
                    <w:iCs/>
                    <w:sz w:val="18"/>
                    <w:szCs w:val="18"/>
                  </w:rPr>
                  <w:t>25</w:t>
                </w:r>
                <w:r>
                  <w:rPr>
                    <w:sz w:val="18"/>
                    <w:szCs w:val="18"/>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18"/>
                    <w:szCs w:val="18"/>
                  </w:rPr>
                </w:pPr>
                <w:r>
                  <w:rPr>
                    <w:sz w:val="18"/>
                    <w:szCs w:val="18"/>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18"/>
                    <w:szCs w:val="18"/>
                  </w:rPr>
                </w:pPr>
                <w:r>
                  <w:rPr>
                    <w:sz w:val="18"/>
                    <w:szCs w:val="18"/>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18"/>
                    <w:szCs w:val="18"/>
                  </w:rPr>
                </w:pPr>
                <w:r>
                  <w:rPr>
                    <w:sz w:val="18"/>
                    <w:szCs w:val="18"/>
                  </w:rPr>
                  <w:t xml:space="preserve">7.2. Mirštančiajam socialinės globos </w:t>
                </w:r>
                <w:r>
                  <w:rPr>
                    <w:spacing w:val="-6"/>
                    <w:sz w:val="18"/>
                    <w:szCs w:val="18"/>
                  </w:rPr>
                  <w:t>įstaiga</w:t>
                </w:r>
                <w:r>
                  <w:rPr>
                    <w:sz w:val="18"/>
                    <w:szCs w:val="18"/>
                  </w:rPr>
                  <w:t xml:space="preserve"> garantuoja jo dvasinių, socialinių, psichologinių, fizinių, religinių reikmių tenkinimą, užtikrindama privatumą ir orumą, teisės aktų nustatyta tvarka organizuoja paliatyviąją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18"/>
                    <w:szCs w:val="18"/>
                  </w:rPr>
                </w:pPr>
                <w:r>
                  <w:rPr>
                    <w:sz w:val="18"/>
                    <w:szCs w:val="18"/>
                  </w:rPr>
                  <w:t>8.14.</w:t>
                </w:r>
                <w:r>
                  <w:rPr>
                    <w:rFonts w:ascii="TimesLT" w:hAnsi="TimesLT"/>
                    <w:szCs w:val="24"/>
                  </w:rPr>
                  <w:t xml:space="preserve"> </w:t>
                </w:r>
                <w:r>
                  <w:rPr>
                    <w:sz w:val="18"/>
                    <w:szCs w:val="18"/>
                  </w:rPr>
                  <w:t>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18"/>
                    <w:szCs w:val="18"/>
                  </w:rPr>
                </w:pPr>
                <w:r>
                  <w:rPr>
                    <w:sz w:val="18"/>
                    <w:szCs w:val="18"/>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w:t>
                </w:r>
                <w:r>
                  <w:rPr>
                    <w:sz w:val="18"/>
                    <w:szCs w:val="18"/>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18"/>
                    <w:szCs w:val="18"/>
                  </w:rPr>
                  <w:t xml:space="preserve"> įstaigos savininko teises ir pareigas įgyvendinančia institucija</w:t>
                </w:r>
                <w:r>
                  <w:rPr>
                    <w:sz w:val="18"/>
                    <w:szCs w:val="18"/>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iCs/>
                    <w:sz w:val="18"/>
                    <w:szCs w:val="18"/>
                  </w:rPr>
                  <w:t>.</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18"/>
                    <w:szCs w:val="18"/>
                  </w:rPr>
                </w:pPr>
                <w:r>
                  <w:rPr>
                    <w:sz w:val="18"/>
                    <w:szCs w:val="18"/>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16.4. Socialinės globos namai, išskyrus specializuotus slaugos ir socialinės globos namus, siekia, kad viename pastate gyventų ne daugiau kaip 150 suaugusių asmenų su negalia ar senyvo amžiaus asmenų, gaunančių ilgalaikę socialinę globą. Specializuotuose slaugos ir socialinės globos namuose gyvena ne daugiau kaip 40 asmenų. Socialinės globos namai, išskyrus specializuotus slaugos ir socialinės</w:t>
                </w:r>
                <w:r>
                  <w:rPr>
                    <w:rFonts w:ascii="TimesLT" w:hAnsi="TimesLT"/>
                    <w:sz w:val="18"/>
                    <w:szCs w:val="18"/>
                  </w:rPr>
                  <w:t xml:space="preserve"> globos namus, kuriuose viename pastate gyvena daugiau kaip 150 asmenų, privalo turėti su savininko teises ir pareigas įgyvendinančia institucija suderintus priemonių, kurias įgyvendinus bus pasiektas (ne vėliau kaip iki </w:t>
                </w:r>
                <w:r>
                  <w:rPr>
                    <w:sz w:val="18"/>
                    <w:szCs w:val="18"/>
                  </w:rPr>
                  <w:t>2020 m. gruodžio 31 d.)</w:t>
                </w:r>
                <w:r>
                  <w:rPr>
                    <w:rFonts w:ascii="TimesLT" w:hAnsi="TimesLT"/>
                    <w:sz w:val="18"/>
                    <w:szCs w:val="18"/>
                  </w:rPr>
                  <w:t xml:space="preserve"> minėtas gyventojų skaičius viename pastate, planus. </w:t>
                </w:r>
                <w:r>
                  <w:rPr>
                    <w:sz w:val="18"/>
                    <w:szCs w:val="18"/>
                  </w:rPr>
                  <w:t xml:space="preserve">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18"/>
                    <w:szCs w:val="18"/>
                  </w:rPr>
                </w:pPr>
                <w:r>
                  <w:rPr>
                    <w:sz w:val="18"/>
                    <w:szCs w:val="18"/>
                  </w:rPr>
                  <w:t>16.6. Nuo 2013 metų naujai</w:t>
                </w:r>
                <w:r>
                  <w:rPr>
                    <w:rFonts w:ascii="TimesLT" w:hAnsi="TimesLT"/>
                    <w:b/>
                    <w:sz w:val="18"/>
                    <w:szCs w:val="18"/>
                  </w:rPr>
                  <w:t xml:space="preserve"> </w:t>
                </w:r>
                <w:r>
                  <w:rPr>
                    <w:rFonts w:ascii="TimesLT" w:hAnsi="TimesLT"/>
                    <w:sz w:val="18"/>
                    <w:szCs w:val="18"/>
                  </w:rPr>
                  <w:t>steigiamuose socialinės globos namuose senyvo amžiaus asmenims viename pastate gyvena ne daugiau kaip 40 asmenų</w:t>
                </w:r>
                <w:r>
                  <w:rPr>
                    <w:sz w:val="18"/>
                    <w:szCs w:val="18"/>
                  </w:rPr>
                  <w:t xml:space="preserve">. </w:t>
                </w:r>
              </w:p>
              <w:p>
                <w:pPr>
                  <w:tabs>
                    <w:tab w:val="left" w:pos="394"/>
                  </w:tabs>
                  <w:spacing w:before="120"/>
                  <w:ind w:left="394" w:right="72" w:hanging="394"/>
                  <w:jc w:val="both"/>
                  <w:rPr>
                    <w:sz w:val="18"/>
                    <w:szCs w:val="18"/>
                  </w:rPr>
                </w:pPr>
                <w:r>
                  <w:rPr>
                    <w:sz w:val="18"/>
                    <w:szCs w:val="18"/>
                  </w:rPr>
                  <w:t>16.7. Nuo</w:t>
                </w:r>
                <w:r>
                  <w:rPr>
                    <w:rFonts w:ascii="TimesLT" w:hAnsi="TimesLT"/>
                    <w:b/>
                    <w:sz w:val="18"/>
                    <w:szCs w:val="18"/>
                  </w:rPr>
                  <w:t xml:space="preserve"> </w:t>
                </w:r>
                <w:r>
                  <w:rPr>
                    <w:rFonts w:ascii="TimesLT" w:hAnsi="TimesLT"/>
                    <w:sz w:val="18"/>
                    <w:szCs w:val="18"/>
                  </w:rPr>
                  <w:t>2016 m. liepos 1 d</w:t>
                </w:r>
                <w:r>
                  <w:rPr>
                    <w:sz w:val="18"/>
                    <w:szCs w:val="18"/>
                  </w:rPr>
                  <w:t>.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w:t>
                </w:r>
                <w:r>
                  <w:rPr>
                    <w:rFonts w:ascii="TimesLT" w:hAnsi="TimesLT"/>
                    <w:sz w:val="18"/>
                    <w:szCs w:val="18"/>
                  </w:rPr>
                  <w:t xml:space="preserve"> gyvenimo namai</w:t>
                </w:r>
                <w:r>
                  <w:rPr>
                    <w:sz w:val="18"/>
                    <w:szCs w:val="18"/>
                  </w:rPr>
                  <w:t>.</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w:t>
                </w:r>
                <w:r>
                  <w:rPr>
                    <w:rFonts w:ascii="TimesLT" w:hAnsi="TimesLT"/>
                    <w:sz w:val="18"/>
                    <w:szCs w:val="18"/>
                  </w:rPr>
                  <w:t xml:space="preserve"> </w:t>
                </w:r>
                <w:r>
                  <w:rPr>
                    <w:sz w:val="18"/>
                    <w:szCs w:val="18"/>
                  </w:rPr>
                  <w:t>nenaudojant jokių papildomų priemonių, išskyrus asmenines.</w:t>
                </w:r>
                <w:r>
                  <w:rPr>
                    <w:b/>
                    <w:sz w:val="18"/>
                    <w:szCs w:val="18"/>
                  </w:rPr>
                  <w:t xml:space="preserve"> </w:t>
                </w:r>
                <w:r>
                  <w:rPr>
                    <w:sz w:val="18"/>
                    <w:szCs w:val="18"/>
                  </w:rPr>
                  <w:t>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 xml:space="preserve">17.1 Asmuo gyvena socialinės globos namuose, kurių patalpos </w:t>
                </w:r>
                <w:r>
                  <w:rPr>
                    <w:b/>
                    <w:sz w:val="18"/>
                    <w:szCs w:val="18"/>
                  </w:rPr>
                  <w:t>(</w:t>
                </w:r>
                <w:r>
                  <w:rPr>
                    <w:sz w:val="18"/>
                    <w:szCs w:val="18"/>
                  </w:rPr>
                  <w:t xml:space="preserve">gyvenamųjų kambarių, valgyklos </w:t>
                </w:r>
                <w:r>
                  <w:rPr>
                    <w:b/>
                    <w:sz w:val="18"/>
                    <w:szCs w:val="18"/>
                  </w:rPr>
                  <w:t xml:space="preserve">/ </w:t>
                </w:r>
                <w:r>
                  <w:rPr>
                    <w:sz w:val="18"/>
                    <w:szCs w:val="18"/>
                  </w:rPr>
                  <w:t>valgomojo, virtuvės / virtuvėlės, skirtos naudotis paslaugų gavėjams, jų artimiesiems individualiai gaminti maistą ir pan., asmens higienos patalpos, laisvalaikio organizavimo, ugdymo, bendro naudojimo patalpos (laiptinės, koridoriai ir pan.) pritaikytos gyventi ir būtiniems gyventojų poreikiams tenkinti. Socialinės globos namuose virtuvėlės maistui savarankiškai gamintis turi būti kiekviename pastato, kuriame įrengti daugiau kaip 5 gyvenamieji kambariai, aukšte, specializuotuose slaugos ir socialinės globos namuose – kiekvienoje grupėje, jose turi būti buitinė technika (viryklė, šaldytuvas ir pan.), baldai (spintelės, stalas, kėdės ir pan.), įrankiai, indai, viena virtuvėle gali naudotis ne daugiau kaip 50 socialinės globos namuose socialinę globą gaunančių asmenų. Pagal socialinės globos namų galimybes ir gyventojų pageidavimu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rekonstruoti po 2013 metų, gyvenamuosiuose kambariuose gyvena 1–2 asmenys. Specializuotuose slaugos ir socialinės globos namuose gyvenamoji aplinka kuriama grupių principu, grupėje gyvena 6–10 asmenų</w:t>
                </w:r>
                <w:r>
                  <w:rPr>
                    <w:szCs w:val="24"/>
                  </w:rPr>
                  <w:t>.</w:t>
                </w:r>
                <w:r>
                  <w:rPr>
                    <w:sz w:val="18"/>
                    <w:szCs w:val="18"/>
                  </w:rPr>
                  <w:t>.</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ir (ar)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rekonstruoti ar naujai steigiamuose socialinės globos namuose tualeto ir dušo ar vonios patalpa (-os) įrengta (-os) prie kiekvieno gyvenamojo kambario ar kelių (ne daugiau kaip 3) gyvenamųjų kambarių (išskyrus kambarius, kuriuose apgyvendinami sunkią negalią turintys asmenys), specializuotuose slaugos ir socialinės globos namuose – kiekvienoje grupėje.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turto, dokumentų apskaitos, naudojimo ir saugojimo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18"/>
                    <w:szCs w:val="18"/>
                  </w:rPr>
                </w:pPr>
                <w:r>
                  <w:rPr>
                    <w:sz w:val="18"/>
                    <w:szCs w:val="18"/>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18416e704b74434da0dc7223340ba112"/>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18416e704b74434da0dc7223340ba112"/>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18416e704b74434da0dc7223340ba112"/>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0"/>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F9873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19.xml"/>
  <Relationship Id="rId19" Type="http://schemas.openxmlformats.org/officeDocument/2006/relationships/footer" Target="footer20.xml"/>
  <Relationship Id="rId2" Type="http://schemas.openxmlformats.org/officeDocument/2006/relationships/endnotes" Target="endnotes.xml"/>
  <Relationship Id="rId20" Type="http://schemas.openxmlformats.org/officeDocument/2006/relationships/header" Target="header21.xml"/>
  <Relationship Id="rId21" Type="http://schemas.openxmlformats.org/officeDocument/2006/relationships/footer" Target="footer21.xml"/>
  <Relationship Id="rId22" Type="http://schemas.openxmlformats.org/officeDocument/2006/relationships/header" Target="header34.xml"/>
  <Relationship Id="rId23" Type="http://schemas.openxmlformats.org/officeDocument/2006/relationships/header" Target="header35.xml"/>
  <Relationship Id="rId24" Type="http://schemas.openxmlformats.org/officeDocument/2006/relationships/footer" Target="footer37.xml"/>
  <Relationship Id="rId25" Type="http://schemas.openxmlformats.org/officeDocument/2006/relationships/footer" Target="footer38.xml"/>
  <Relationship Id="rId26" Type="http://schemas.openxmlformats.org/officeDocument/2006/relationships/header" Target="header36.xml"/>
  <Relationship Id="rId27" Type="http://schemas.openxmlformats.org/officeDocument/2006/relationships/footer" Target="footer39.xml"/>
  <Relationship Id="rId28" Type="http://schemas.openxmlformats.org/officeDocument/2006/relationships/header" Target="header37.xml"/>
  <Relationship Id="rId29" Type="http://schemas.openxmlformats.org/officeDocument/2006/relationships/header" Target="header38.xml"/>
  <Relationship Id="rId3" Type="http://schemas.openxmlformats.org/officeDocument/2006/relationships/fontTable" Target="fontTable.xml"/>
  <Relationship Id="rId30" Type="http://schemas.openxmlformats.org/officeDocument/2006/relationships/footer" Target="footer40.xml"/>
  <Relationship Id="rId31" Type="http://schemas.openxmlformats.org/officeDocument/2006/relationships/footer" Target="footer41.xml"/>
  <Relationship Id="rId32" Type="http://schemas.openxmlformats.org/officeDocument/2006/relationships/header" Target="header39.xml"/>
  <Relationship Id="rId33" Type="http://schemas.openxmlformats.org/officeDocument/2006/relationships/footer" Target="footer42.xml"/>
  <Relationship Id="rId34"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fd61eb40484e402d82cb7693d999bcdf">
    <Part Type="preambule" DocPartId="c331e144762142bdbaf3b5297ba4e570" PartId="a17e829a7d1049738d568db1dba754e8"/>
    <Part Type="punktas" Nr="1" Abbr="1 p." DocPartId="03887534367a4b789dccbb9c392d8495" PartId="ec937bcc511b4a8495864203ee6948ca"/>
    <Part Type="punktas" Nr="2" Abbr="2 p." DocPartId="46a36648212248ab970eaf1513b6421a" PartId="3ad348d9518e4a36bf069144dfbf25f5"/>
    <Part Type="punktas" Nr="3" Abbr="3 p." DocPartId="c951bba0b5944af9b65fad003d7ef83e" PartId="85049d3c696e4bcc9c5e5bbb270fc068"/>
    <Part Type="punktas" Nr="4" Abbr="4 p." DocPartId="504237bb6b0a410e833095c2dcefecff" PartId="fbcaef9172bf43359428a4fc04723259"/>
    <Part Type="signatura" DocPartId="b22ea12457c345bebc9adff9b8a5bbe0" PartId="43d83c0be9b14c93a4293d507de67271"/>
  </Part>
  <Part Type="patvirtinta" Title="SOCIALINĖS GLOBOS NORMŲ APRAŠAS" DocPartId="ddcdea22ef734923a6433f47bec4129c" PartId="731153db41af4f638f6d26cd2a4c8bf9">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703027e4ae5941529640a92f2a3c3432"/>
    </Part>
    <Part Type="skyrius" Nr="2" Title="„II SKYRIUS SOCIALINĖS GLOBOS NORMŲ TAIKYMO PRINCIPAI“." DocPartId="03666ec8003c4647a6bc0fca58f96cb3" PartId="a623a9660dfb444bba8c3422165cf031">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f8e0a11b58c24a619500b6e3bac81474"/>
  <Part Type="priedas" Nr="2" Abbr="2 pr." Title="„LIKUSIŲ BE TĖVŲ GLOBOS VAIKŲ, SOCIALINĘ RIZIKĄ PATIRIANČIŲ VAIKŲ ILGALAIKĖS (TRUMPALAIKĖS) SOCIALINĖS GLOBOS NORMOS, TAIKOMOS ŠEIMYNOMS“." DocPartId="567f992bc51b4644a3715cd918b387a3" PartId="0fbbeaa16b3347f4bcf4369d78dbd47b"/>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00b3068dd65c4a179d4d8d5fa25b32b8"/>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8b1984bd0641496c9b8b1e2bff05577d"/>
  <Part Type="priedas" Nr="5" Abbr="5 pr." Title="„ASMENŲ, PRIKLAUSOMŲ NUO PSICHOAKTYVIŲJŲ MEDŽIAGŲ VARTOJIMO, TRUMPALAIKĖS SOCIALINĖS GLOBOS NORMOS, TAIKOMOS LAIKINO GYVENIMO NAMAMS (PSICHOLOGINĖS BEI SOCIALINĖS REABILITACIJOS ĮSTAIGOMS)“." DocPartId="29ea9f873cd54c96b0207f48be014b1d" PartId="18416e704b74434da0dc7223340ba112"/>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D3C064D-0CBF-44B8-8A83-629E35532B93}">
  <ds:schemaRefs>
    <ds:schemaRef ds:uri="http://lrs.lt/TAIS/DocParts"/>
  </ds:schemaRefs>
</ds:datastoreItem>
</file>

<file path=customXml/itemProps3.xml><?xml version="1.0" encoding="utf-8"?>
<ds:datastoreItem xmlns:ds="http://schemas.openxmlformats.org/officeDocument/2006/customXml" ds:itemID="{C2813785-293E-489E-8115-413ED68369A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103</TotalTime>
  <Pages>138</Pages>
  <Words>313043</Words>
  <Characters>178435</Characters>
  <Application>Microsoft Office Word</Application>
  <DocSecurity>0</DocSecurity>
  <Lines>1486</Lines>
  <Paragraphs>980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490498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„Windows“ vartotojas</lastModifiedBy>
  <dcterms:modified xsi:type="dcterms:W3CDTF">2019-07-10T06:12:00Z</dcterms:modified>
  <revision>22</revision>
  <dc:title>LIETUVOS RESPUBLIKOS SOCIALINĖS APSAUGOS IR DARBO MINISTRAS</dc:title>
</coreProperties>
</file>