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2020-12-23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aea7e917720f47799927f075c22569ae"/>
        <w:lock w:val="sdtLocked"/>
        <w:richText/>
      </w:sdtPr>
      <w:sdtContent>
        <w:p>
          <w:pPr>
            <w:widowControl w:val="0"/>
            <w:ind w:left="4535"/>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aea7e917720f47799927f075c22569ae"/>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22"/>
              <w:headerReference w:type="default" r:id="rId23"/>
              <w:footerReference w:type="even" r:id="rId24"/>
              <w:footerReference w:type="default" r:id="rId25"/>
              <w:headerReference w:type="first" r:id="rId26"/>
              <w:footerReference w:type="first" r:id="rId27"/>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a12373bd90cd4402914b4bdeced48025"/>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a12373bd90cd4402914b4bdeced48025"/>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a12373bd90cd4402914b4bdeced48025"/>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4 pr."/>
        <w:tag w:val="part_c562fe5713d244adaea9d4850b3ad8b2"/>
        <w:lock w:val="sdtLocked"/>
        <w:richText/>
      </w:sdtPr>
      <w:sdtContent>
        <w:p>
          <w:pPr>
            <w:rPr>
              <w:szCs w:val="24"/>
            </w:rPr>
          </w:pPr>
          <w:r>
            <w:rPr>
              <w:szCs w:val="24"/>
            </w:rPr>
            <w:br w:type="page"/>
          </w:r>
        </w:p>
        <w:p>
          <w:pPr>
            <w:ind w:left="10773"/>
            <w:rPr>
              <w:bCs/>
              <w:szCs w:val="24"/>
            </w:rPr>
          </w:pPr>
          <w:r>
            <w:rPr>
              <w:bCs/>
              <w:szCs w:val="24"/>
            </w:rPr>
            <w:t xml:space="preserve">Socialinės globos normų  aprašo </w:t>
          </w:r>
        </w:p>
        <w:p>
          <w:pPr>
            <w:ind w:left="10773"/>
            <w:rPr>
              <w:bCs/>
              <w:szCs w:val="24"/>
            </w:rPr>
          </w:pPr>
          <w:sdt>
            <w:sdtPr>
              <w:alias w:val="Numeris"/>
              <w:tag w:val="nr_c562fe5713d244adaea9d4850b3ad8b2"/>
              <w:lock w:val="sdtLocked"/>
              <w:richText/>
            </w:sdtPr>
            <w:sdtContent>
              <w:r>
                <w:rPr>
                  <w:bCs/>
                  <w:szCs w:val="24"/>
                </w:rPr>
                <w:t>4</w:t>
              </w:r>
            </w:sdtContent>
          </w:sdt>
          <w:r>
            <w:rPr>
              <w:bCs/>
              <w:szCs w:val="24"/>
            </w:rPr>
            <w:t xml:space="preserve"> priedas </w:t>
          </w:r>
        </w:p>
        <w:p>
          <w:pPr>
            <w:tabs>
              <w:tab w:val="left" w:pos="12240"/>
            </w:tabs>
            <w:ind w:left="10773"/>
            <w:rPr>
              <w:bCs/>
              <w:szCs w:val="24"/>
            </w:rPr>
          </w:pPr>
          <w:r>
            <w:rPr>
              <w:bCs/>
              <w:szCs w:val="24"/>
            </w:rPr>
            <w:t xml:space="preserve">(Lietuvos Respublikos socialinės apsaugos  ir </w:t>
          </w:r>
        </w:p>
        <w:p>
          <w:pPr>
            <w:tabs>
              <w:tab w:val="left" w:pos="12240"/>
            </w:tabs>
            <w:ind w:left="10773"/>
            <w:rPr>
              <w:bCs/>
              <w:szCs w:val="24"/>
            </w:rPr>
          </w:pPr>
          <w:r>
            <w:rPr>
              <w:bCs/>
              <w:szCs w:val="24"/>
            </w:rPr>
            <w:t xml:space="preserve">darbo ministro 2014 m. liepos 14 d. įsakymo </w:t>
          </w:r>
        </w:p>
        <w:p>
          <w:pPr>
            <w:tabs>
              <w:tab w:val="left" w:pos="12240"/>
            </w:tabs>
            <w:ind w:left="10773"/>
            <w:rPr>
              <w:bCs/>
              <w:szCs w:val="24"/>
            </w:rPr>
          </w:pPr>
          <w:r>
            <w:rPr>
              <w:bCs/>
              <w:szCs w:val="24"/>
            </w:rPr>
            <w:t>Nr. A1-377 redakcija)</w:t>
          </w:r>
        </w:p>
        <w:p>
          <w:pPr>
            <w:tabs>
              <w:tab w:val="left" w:pos="12240"/>
            </w:tabs>
            <w:rPr>
              <w:bCs/>
              <w:sz w:val="20"/>
            </w:rPr>
          </w:pPr>
        </w:p>
        <w:sdt>
          <w:sdtPr>
            <w:alias w:val="Pavadinimas"/>
            <w:tag w:val="title_c562fe5713d244adaea9d4850b3ad8b2"/>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3"/>
            <w:gridCol w:w="1087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22"/>
                    <w:szCs w:val="22"/>
                  </w:rPr>
                  <w:t xml:space="preserve"> </w:t>
                </w:r>
                <w:r>
                  <w:rPr>
                    <w:sz w:val="22"/>
                    <w:szCs w:val="22"/>
                  </w:rPr>
                  <w:t>ir susipažinti su socialinės globos įstaigos teikiamomis paslaugomis.</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22"/>
                    <w:szCs w:val="22"/>
                  </w:rPr>
                </w:pPr>
                <w:r>
                  <w:rPr>
                    <w:sz w:val="22"/>
                    <w:szCs w:val="22"/>
                  </w:rPr>
                  <w:t xml:space="preserve">2.5. Specializuotuose slaugos ir socialinės globos namuose ilgalaikė (trumpalaikė) socialinė globa teikiama senyvo amžiaus asmenims </w:t>
                </w:r>
                <w:r>
                  <w:rPr>
                    <w:bCs/>
                    <w:sz w:val="22"/>
                    <w:szCs w:val="22"/>
                  </w:rPr>
                  <w:t>su sunkia negalia, kuriems nustatytas specialusis nuolatinės slaugos poreikis ar specialusis nuolatinės priežiūros (pagalbos) poreikis dėl protinio atsilikimo ar psichikos sutrikimo</w:t>
                </w:r>
                <w:r>
                  <w:rPr>
                    <w:sz w:val="22"/>
                    <w:szCs w:val="22"/>
                  </w:rPr>
                  <w:t>, ar suaugusiems asmenims su sunkia negalia, kuriems</w:t>
                </w:r>
                <w:r>
                  <w:rPr>
                    <w:b/>
                    <w:sz w:val="22"/>
                    <w:szCs w:val="22"/>
                  </w:rPr>
                  <w:t xml:space="preserve"> </w:t>
                </w:r>
                <w:r>
                  <w:rPr>
                    <w:sz w:val="22"/>
                    <w:szCs w:val="22"/>
                  </w:rPr>
                  <w:t xml:space="preserve">nustatytas </w:t>
                </w:r>
                <w:r>
                  <w:rPr>
                    <w:iCs/>
                    <w:sz w:val="22"/>
                    <w:szCs w:val="22"/>
                  </w:rPr>
                  <w:t>0</w:t>
                </w:r>
                <w:r>
                  <w:rPr>
                    <w:sz w:val="22"/>
                    <w:szCs w:val="22"/>
                  </w:rPr>
                  <w:t xml:space="preserve"> iki </w:t>
                </w:r>
                <w:r>
                  <w:rPr>
                    <w:iCs/>
                    <w:sz w:val="22"/>
                    <w:szCs w:val="22"/>
                  </w:rPr>
                  <w:t>25</w:t>
                </w:r>
                <w:r>
                  <w:rPr>
                    <w:sz w:val="22"/>
                    <w:szCs w:val="22"/>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22"/>
                    <w:szCs w:val="22"/>
                  </w:rPr>
                </w:pPr>
                <w:r>
                  <w:rPr>
                    <w:sz w:val="22"/>
                    <w:szCs w:val="22"/>
                  </w:rPr>
                  <w:t>16.2. Asmeniui užtikrinta, kad socialinės globos namų teritorijos, bendro naudojimo</w:t>
                </w:r>
                <w:r>
                  <w:rPr>
                    <w:color w:val="FF0000"/>
                    <w:sz w:val="22"/>
                    <w:szCs w:val="22"/>
                  </w:rPr>
                  <w:t xml:space="preserve"> </w:t>
                </w:r>
                <w:r>
                  <w:rPr>
                    <w:sz w:val="22"/>
                    <w:szCs w:val="22"/>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22"/>
                    <w:szCs w:val="22"/>
                  </w:rPr>
                </w:pPr>
                <w:r>
                  <w:rPr>
                    <w:sz w:val="22"/>
                    <w:szCs w:val="22"/>
                  </w:rPr>
                  <w:t xml:space="preserve">16.3. Asmeniui užtikrinama kiek įmanoma saugi aplinka. Socialinės globos  įstaigos</w:t>
                </w:r>
                <w:r>
                  <w:rPr>
                    <w:b/>
                    <w:sz w:val="22"/>
                    <w:szCs w:val="22"/>
                  </w:rPr>
                  <w:t xml:space="preserve"> </w:t>
                </w:r>
                <w:r>
                  <w:rPr>
                    <w:sz w:val="22"/>
                    <w:szCs w:val="22"/>
                  </w:rPr>
                  <w:t xml:space="preserve">gyvenamosiose ir bendro naudojimo patalpose yra įrengta gaisro aptikimo ir signalizavimo sistema. </w:t>
                </w:r>
              </w:p>
              <w:p>
                <w:pPr>
                  <w:tabs>
                    <w:tab w:val="left" w:pos="394"/>
                  </w:tabs>
                  <w:spacing w:before="60"/>
                  <w:ind w:left="394" w:right="72" w:hanging="394"/>
                  <w:jc w:val="both"/>
                  <w:rPr>
                    <w:sz w:val="22"/>
                    <w:szCs w:val="22"/>
                  </w:rPr>
                </w:pPr>
                <w:r>
                  <w:rPr>
                    <w:sz w:val="22"/>
                    <w:szCs w:val="22"/>
                  </w:rPr>
                  <w:t xml:space="preserve">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 globos namus, kuriuose viename pastate gyvena daugiau kaip 150 asmenų, privalo turėti su savininko teises ir pareigas įgyvendinančia institucija suderintus priemonių, kurias įgyvendinus bus pasiektas (ne vėliau kaip iki 2020 m. gruodžio 31 d.) minėtas gyventojų skaičius viename pastate, planus. 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22"/>
                    <w:szCs w:val="22"/>
                  </w:rPr>
                </w:pPr>
                <w:r>
                  <w:rPr>
                    <w:sz w:val="22"/>
                    <w:szCs w:val="22"/>
                  </w:rPr>
                  <w:t>16.6. Nuo 2013 metų naujai</w:t>
                </w:r>
                <w:r>
                  <w:rPr>
                    <w:b/>
                    <w:sz w:val="22"/>
                    <w:szCs w:val="22"/>
                  </w:rPr>
                  <w:t xml:space="preserve"> </w:t>
                </w:r>
                <w:r>
                  <w:rPr>
                    <w:sz w:val="22"/>
                    <w:szCs w:val="22"/>
                  </w:rPr>
                  <w:t xml:space="preserve">steigiamuose socialinės globos namuose senyvo amžiaus asmenims viename pastate gyvena ne daugiau kaip 40 asmenų. </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sz w:val="22"/>
                    <w:szCs w:val="22"/>
                  </w:rPr>
                </w:pPr>
                <w:r>
                  <w:rPr>
                    <w:sz w:val="22"/>
                    <w:szCs w:val="22"/>
                  </w:rPr>
                  <w:t>16.8. Socialinės globos namai asmenis (išskyrus slaugomus) gali apgyvendinti ne socialinės globos namų teritorijoje – atskiruose butuose, gyvenamuosiuose namuose (ne daugiau kaip 10 asmenų, viename kambaryje ne daugiau kaip 2 asmenys).</w:t>
                </w:r>
                <w:r>
                  <w:rPr>
                    <w:b/>
                    <w:sz w:val="22"/>
                    <w:szCs w:val="22"/>
                  </w:rPr>
                  <w:t xml:space="preserve"> </w:t>
                </w:r>
                <w:r>
                  <w:rPr>
                    <w:sz w:val="22"/>
                    <w:szCs w:val="22"/>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22"/>
                    <w:szCs w:val="22"/>
                  </w:rPr>
                </w:pPr>
                <w:r>
                  <w:rPr>
                    <w:sz w:val="22"/>
                    <w:szCs w:val="22"/>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 nenaudojant jokių papildomų priemonių, išskyrus asmenines.</w:t>
                </w:r>
                <w:r>
                  <w:rPr>
                    <w:b/>
                    <w:sz w:val="22"/>
                    <w:szCs w:val="22"/>
                  </w:rPr>
                  <w:t xml:space="preserve"> </w:t>
                </w:r>
                <w:r>
                  <w:rPr>
                    <w:sz w:val="22"/>
                    <w:szCs w:val="22"/>
                  </w:rPr>
                  <w:t>Grupinio gyvenimo namuose asmenys pagal galimybes naudojasi saugiomis bendruomenės rekreacijos zonomis, sporto aikštelėmis ir pan.</w:t>
                </w:r>
                <w:r>
                  <w:rPr>
                    <w:b/>
                    <w:sz w:val="22"/>
                    <w:szCs w:val="22"/>
                  </w:rPr>
                  <w:t xml:space="preserve"> </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22"/>
                    <w:szCs w:val="22"/>
                  </w:rPr>
                </w:pPr>
                <w:r>
                  <w:rPr>
                    <w:sz w:val="22"/>
                    <w:szCs w:val="22"/>
                  </w:rPr>
                  <w:t xml:space="preserve">17.1 </w:t>
                </w:r>
                <w:r>
                  <w:rPr>
                    <w:szCs w:val="24"/>
                    <w:lang w:eastAsia="lt-LT"/>
                  </w:rPr>
                  <w:t>Asmuo gyvena socialinės globos namuose, kurių patalpos (gyvenamųjų miegamųjų, valgyklos, virtuvės-valgomojo patalpos, skirtos naudotis socialinių paslaugų gavėjams, jų artimiesiems gaminti maistą ir pan., asmens higienos patalpos, laisvalaikio organizavimo, ugdymo, bendrojo naudojimo patalpos (laiptinės, koridoriai ir pan.)</w:t>
                </w:r>
                <w:r>
                  <w:rPr>
                    <w:szCs w:val="24"/>
                  </w:rPr>
                  <w:t xml:space="preserve"> </w:t>
                </w:r>
                <w:r>
                  <w:rPr>
                    <w:szCs w:val="24"/>
                    <w:lang w:eastAsia="lt-LT"/>
                  </w:rPr>
                  <w:t>pritaikytos gyventi ir būtiniems poreikiams tenkinti. Socialinės globos namuose virtuvėlės maistui saugiai savarankiškai arba su pagalba gamintis turi būti kiekviename pastato, kuriame įrengti daugiau kaip 5 gyvenamieji miegamieji kambariai, aukšte, specializuotuose slaugos ir socialinės globos namuose – kiekvienoje grupėje. Joje viena virtuve-valgomuoju gali naudotis ne daugiau kaip 50 socialinės globos namuose socialinės globos paslaugas gaunančių asmenų. Pagal socialinės globos namų galimybes jų gyventojų pageidavimu, užfiksuotu socialinės globos įstaigos nustatyta tvarka, gali būti įrengtos ir kitos patalpos, pvz.: maldos kambarys, biblioteka-skaitykla, pirtis, rūkomasis ir kt</w:t>
                </w:r>
                <w:r>
                  <w:rPr>
                    <w:sz w:val="22"/>
                    <w:szCs w:val="22"/>
                  </w:rPr>
                  <w:t>.</w:t>
                </w:r>
              </w:p>
              <w:p>
                <w:pPr>
                  <w:tabs>
                    <w:tab w:val="left" w:pos="394"/>
                  </w:tabs>
                  <w:spacing w:before="120"/>
                  <w:ind w:left="394" w:hanging="394"/>
                  <w:jc w:val="both"/>
                  <w:rPr>
                    <w:sz w:val="22"/>
                    <w:szCs w:val="22"/>
                  </w:rPr>
                </w:pPr>
                <w:r>
                  <w:rPr>
                    <w:sz w:val="22"/>
                    <w:szCs w:val="22"/>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22"/>
                    <w:szCs w:val="22"/>
                  </w:rPr>
                </w:pPr>
                <w:r>
                  <w:rPr>
                    <w:sz w:val="22"/>
                    <w:szCs w:val="22"/>
                  </w:rPr>
                  <w:t xml:space="preserve">17.4. Asmeniui jo gyvenamojoje aplinkoje kiek įmanoma yra užtikrinamas privatumas. </w:t>
                </w:r>
              </w:p>
              <w:p>
                <w:pPr>
                  <w:tabs>
                    <w:tab w:val="left" w:pos="394"/>
                  </w:tabs>
                  <w:ind w:left="391" w:hanging="391"/>
                  <w:jc w:val="both"/>
                  <w:rPr>
                    <w:sz w:val="22"/>
                    <w:szCs w:val="22"/>
                  </w:rPr>
                </w:pPr>
                <w:r>
                  <w:rPr>
                    <w:sz w:val="22"/>
                    <w:szCs w:val="22"/>
                  </w:rPr>
                  <w:t xml:space="preserve">17.5. </w:t>
                </w:r>
                <w:r>
                  <w:rPr>
                    <w:szCs w:val="24"/>
                    <w:lang w:eastAsia="lt-LT"/>
                  </w:rPr>
                  <w:t>Socialinės globos namuose nuo 2015 metų viename gyvenamajame miegamajame kambaryje gyvena 1–3 senyvo amžiaus asmenys ar asmenys su negalia (ne daugiau kaip 4 slaugomi asmenys). Socialinės globos namuose, pradėtuose statyti, rekonstruoti po 2013 metų, gyvenamuosiuose miegamuosiuose kambariuose gyvena 1–2 asmenys. Specializuotuose slaugos ir socialinės globos namuose gyvenamoji aplinka kuriama grupių principu, grupėje gyvena 6–10 asmenų</w:t>
                </w:r>
              </w:p>
              <w:p>
                <w:pPr>
                  <w:tabs>
                    <w:tab w:val="left" w:pos="394"/>
                  </w:tabs>
                  <w:spacing w:before="120"/>
                  <w:ind w:left="394" w:hanging="394"/>
                  <w:jc w:val="both"/>
                  <w:rPr>
                    <w:sz w:val="22"/>
                    <w:szCs w:val="22"/>
                  </w:rPr>
                </w:pPr>
                <w:r>
                  <w:rPr>
                    <w:sz w:val="22"/>
                    <w:szCs w:val="22"/>
                  </w:rPr>
                  <w:t xml:space="preserve">17.6. Asmeniui užtikrinta, kad asmens higienos patalpos </w:t>
                </w:r>
                <w:r>
                  <w:rPr>
                    <w:bCs/>
                    <w:sz w:val="22"/>
                    <w:szCs w:val="22"/>
                  </w:rPr>
                  <w:t>–</w:t>
                </w:r>
                <w:r>
                  <w:rPr>
                    <w:sz w:val="22"/>
                    <w:szCs w:val="22"/>
                  </w:rPr>
                  <w:t xml:space="preserve"> tualetai, prausimosi ir (ar) maudymosi patalpos </w:t>
                </w:r>
                <w:r>
                  <w:rPr>
                    <w:bCs/>
                    <w:sz w:val="22"/>
                    <w:szCs w:val="22"/>
                  </w:rPr>
                  <w:t>–</w:t>
                </w:r>
                <w:r>
                  <w:rPr>
                    <w:sz w:val="22"/>
                    <w:szCs w:val="22"/>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22"/>
                    <w:szCs w:val="22"/>
                  </w:rPr>
                </w:pPr>
                <w:r>
                  <w:rPr>
                    <w:sz w:val="22"/>
                    <w:szCs w:val="22"/>
                  </w:rPr>
                  <w:t xml:space="preserve">17.7. </w:t>
                </w:r>
                <w:r>
                  <w:rPr>
                    <w:sz w:val="22"/>
                    <w:szCs w:val="22"/>
                    <w:lang w:eastAsia="lt-LT"/>
                  </w:rPr>
                  <w:t>Po 2013 metų pradėtuose statyti, rekonstruoti ar naujai įsteigtuose socialinės globos namuose tualeto ir dušo ar vonios patalpa (-os) įrengta (-os) prie kiekvieno gyvenamojo miegamojo kambario ar kelių (ne daugiau kaip 3) gyvenamųjų miegamųjų kambarių (išskyrus kambarius, kuriuose apgyvendinami sunkią negalią turintys asmenys), specializuotuose slaugos ir socialinės globos namuose – kiekvienoje grupėje</w:t>
                </w:r>
                <w:r>
                  <w:rPr>
                    <w:sz w:val="22"/>
                    <w:szCs w:val="22"/>
                  </w:rPr>
                  <w:t xml:space="preserve">ir socialinės globos namuose – kiekvienoje grupėje. </w:t>
                </w:r>
              </w:p>
              <w:p>
                <w:pPr>
                  <w:tabs>
                    <w:tab w:val="left" w:pos="394"/>
                  </w:tabs>
                  <w:spacing w:before="120"/>
                  <w:ind w:left="394" w:hanging="394"/>
                  <w:jc w:val="both"/>
                  <w:rPr>
                    <w:sz w:val="22"/>
                    <w:szCs w:val="22"/>
                  </w:rPr>
                </w:pPr>
                <w:r>
                  <w:rPr>
                    <w:sz w:val="22"/>
                    <w:szCs w:val="22"/>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22"/>
                    <w:szCs w:val="22"/>
                  </w:rPr>
                </w:pPr>
                <w:r>
                  <w:rPr>
                    <w:sz w:val="22"/>
                    <w:szCs w:val="22"/>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22"/>
                    <w:szCs w:val="22"/>
                  </w:rPr>
                </w:pPr>
                <w:r>
                  <w:rPr>
                    <w:sz w:val="22"/>
                    <w:szCs w:val="22"/>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22"/>
                    <w:szCs w:val="22"/>
                  </w:rPr>
                </w:pPr>
                <w:r>
                  <w:rPr>
                    <w:sz w:val="22"/>
                    <w:szCs w:val="22"/>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22"/>
                    <w:szCs w:val="22"/>
                  </w:rPr>
                </w:pPr>
                <w:r>
                  <w:rPr>
                    <w:sz w:val="22"/>
                    <w:szCs w:val="22"/>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22"/>
                    <w:szCs w:val="22"/>
                  </w:rPr>
                </w:pPr>
                <w:r>
                  <w:rPr>
                    <w:sz w:val="22"/>
                    <w:szCs w:val="22"/>
                  </w:rPr>
                  <w:t>18.4. Judėjimo negalią turinčiam asmeniui užtikrinta, kad socialinės globos įstaiga</w:t>
                </w:r>
                <w:r>
                  <w:rPr>
                    <w:b/>
                    <w:sz w:val="22"/>
                    <w:szCs w:val="22"/>
                  </w:rPr>
                  <w:t xml:space="preserve"> </w:t>
                </w:r>
                <w:r>
                  <w:rPr>
                    <w:sz w:val="22"/>
                    <w:szCs w:val="22"/>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22.2. Personalas nuolat tobulina savo kvalifikaciją, dalyvaudamas darbuotojų kvalifikacijos tobulinimo programose, įgyja naujų žinių, reikalingų darbe. Kiekvienas socialinės globos įstaigoje</w:t>
                </w:r>
                <w:r>
                  <w:rPr>
                    <w:b/>
                    <w:sz w:val="22"/>
                    <w:szCs w:val="22"/>
                  </w:rPr>
                  <w:t xml:space="preserve"> </w:t>
                </w:r>
                <w:r>
                  <w:rPr>
                    <w:sz w:val="22"/>
                    <w:szCs w:val="22"/>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22"/>
                    <w:szCs w:val="22"/>
                  </w:rPr>
                </w:pPr>
                <w:r>
                  <w:rPr>
                    <w:sz w:val="22"/>
                    <w:szCs w:val="22"/>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7ee7764aee664363a9d62e6bde94f2a7"/>
        <w:lock w:val="sdtLocked"/>
        <w:richText/>
      </w:sdtPr>
      <w:sdtContent>
        <w:p>
          <w:pPr>
            <w:jc w:val="right"/>
            <w:sectPr>
              <w:headerReference w:type="even" r:id="rId34"/>
              <w:headerReference w:type="default" r:id="rId35"/>
              <w:footerReference w:type="even" r:id="rId36"/>
              <w:footerReference w:type="default" r:id="rId37"/>
              <w:headerReference w:type="first" r:id="rId38"/>
              <w:footerReference w:type="first" r:id="rId39"/>
              <w:pgSz w:w="16838" w:h="11906" w:orient="landscape"/>
              <w:pgMar w:top="1701" w:right="1251" w:bottom="1134" w:left="1701" w:header="720" w:footer="720" w:gutter="0"/>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7ee7764aee664363a9d62e6bde94f2a7"/>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7ee7764aee664363a9d62e6bde94f2a7"/>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5"/>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1.xml"/>
  <Relationship Id="rId17" Type="http://schemas.openxmlformats.org/officeDocument/2006/relationships/header" Target="header32.xml"/>
  <Relationship Id="rId18" Type="http://schemas.openxmlformats.org/officeDocument/2006/relationships/footer" Target="footer31.xml"/>
  <Relationship Id="rId19" Type="http://schemas.openxmlformats.org/officeDocument/2006/relationships/footer" Target="footer32.xml"/>
  <Relationship Id="rId2" Type="http://schemas.openxmlformats.org/officeDocument/2006/relationships/endnotes" Target="endnotes.xml"/>
  <Relationship Id="rId20" Type="http://schemas.openxmlformats.org/officeDocument/2006/relationships/header" Target="header33.xml"/>
  <Relationship Id="rId21" Type="http://schemas.openxmlformats.org/officeDocument/2006/relationships/footer" Target="footer33.xml"/>
  <Relationship Id="rId22" Type="http://schemas.openxmlformats.org/officeDocument/2006/relationships/header" Target="header43.xml"/>
  <Relationship Id="rId23" Type="http://schemas.openxmlformats.org/officeDocument/2006/relationships/header" Target="header44.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5.xml"/>
  <Relationship Id="rId27" Type="http://schemas.openxmlformats.org/officeDocument/2006/relationships/footer" Target="footer48.xml"/>
  <Relationship Id="rId28" Type="http://schemas.openxmlformats.org/officeDocument/2006/relationships/header" Target="header46.xml"/>
  <Relationship Id="rId29" Type="http://schemas.openxmlformats.org/officeDocument/2006/relationships/header" Target="header47.xml"/>
  <Relationship Id="rId3" Type="http://schemas.openxmlformats.org/officeDocument/2006/relationships/fontTable" Target="fontTable.xml"/>
  <Relationship Id="rId30" Type="http://schemas.openxmlformats.org/officeDocument/2006/relationships/footer" Target="footer49.xml"/>
  <Relationship Id="rId31" Type="http://schemas.openxmlformats.org/officeDocument/2006/relationships/footer" Target="footer50.xml"/>
  <Relationship Id="rId32" Type="http://schemas.openxmlformats.org/officeDocument/2006/relationships/header" Target="header48.xml"/>
  <Relationship Id="rId33" Type="http://schemas.openxmlformats.org/officeDocument/2006/relationships/footer" Target="footer51.xml"/>
  <Relationship Id="rId34" Type="http://schemas.openxmlformats.org/officeDocument/2006/relationships/header" Target="header55.xml"/>
  <Relationship Id="rId35" Type="http://schemas.openxmlformats.org/officeDocument/2006/relationships/header" Target="header56.xml"/>
  <Relationship Id="rId36" Type="http://schemas.openxmlformats.org/officeDocument/2006/relationships/footer" Target="footer58.xml"/>
  <Relationship Id="rId37" Type="http://schemas.openxmlformats.org/officeDocument/2006/relationships/footer" Target="footer59.xml"/>
  <Relationship Id="rId38" Type="http://schemas.openxmlformats.org/officeDocument/2006/relationships/header" Target="header57.xml"/>
  <Relationship Id="rId39" Type="http://schemas.openxmlformats.org/officeDocument/2006/relationships/footer" Target="footer60.xml"/>
  <Relationship Id="rId4" Type="http://schemas.openxmlformats.org/officeDocument/2006/relationships/footer" Target="footer4.xml"/>
  <Relationship Id="rId40" Type="http://schemas.openxmlformats.org/officeDocument/2006/relationships/customXml" Target="../customXml/item1.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8062655446994244be7511608b7d6170"/>
      <Part Type="papunktis" Nr="2.5" Abbr="2.5 pp." DocPartId="fc0d622222f54e87a209991fdf2c2d97" PartId="7193eccd409347f389dce2add09fc700"/>
    </Part>
    <Part Type="signatura" DocPartId="52690487362f4e56a44ee1473cb5e67c" PartId="571056b6b3b9444589bf19961cc24ab3"/>
  </Part>
  <Part Type="patvirtinta" Title="SOCIALINĖS GLOBOS NORMŲ APRAŠAS" DocPartId="ddcdea22ef734923a6433f47bec4129c" PartId="aea7e917720f47799927f075c22569ae">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a12373bd90cd4402914b4bdeced48025"/>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c562fe5713d244adaea9d4850b3ad8b2"/>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6" Abbr="6 pr." Title="ASMENINĖS APSAUGOS PRIEMONIŲ NAUDOJIMAS ESANT DĖL UŽKREČIAMŲJŲ LIGŲ PROTRŪKIO PASKELBTAI EKSTREMALIAJAI SITUACIJAI" DocPartId="554ed456c7a548aea4c1b28f0b8f7788" PartId="7ee7764aee664363a9d62e6bde94f2a7"/>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1DC2C6F-5C09-4AAA-88E8-D26F94C65EE5}">
  <ds:schemaRefs>
    <ds:schemaRef ds:uri="http://lrs.lt/TAIS/DocParts"/>
  </ds:schemaRefs>
</ds:datastoreItem>
</file>

<file path=customXml/itemProps3.xml><?xml version="1.0" encoding="utf-8"?>
<ds:datastoreItem xmlns:ds="http://schemas.openxmlformats.org/officeDocument/2006/customXml" ds:itemID="{3E037CF4-EC59-44EE-9494-987E90C39EE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122</TotalTime>
  <Pages>162</Pages>
  <Words>334978</Words>
  <Characters>190939</Characters>
  <Application>Microsoft Office Word</Application>
  <DocSecurity>0</DocSecurity>
  <Lines>1591</Lines>
  <Paragraphs>1049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524868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2020-12-28T14:56:00Z</dcterms:modified>
  <revision>33</revision>
  <dc:title>LIETUVOS RESPUBLIKOS SOCIALINĖS APSAUGOS IR DARBO MINISTRAS</dc:title>
</coreProperties>
</file>