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4b84a96116342c5a06e5e6fd6287215"/>
        <w:lock w:val="sdtLocked"/>
        <w:richText/>
      </w:sdtPr>
      <w:sdtContent>
        <w:p>
          <w:pPr>
            <w:jc w:val="both"/>
            <w:rPr>
              <w:rFonts w:ascii="Times New Roman" w:hAnsi="Times New Roman"/>
            </w:rPr>
          </w:pPr>
          <w:r>
            <w:rPr>
              <w:rFonts w:ascii="Times New Roman" w:hAnsi="Times New Roman"/>
              <w:b/>
              <w:i/>
            </w:rPr>
            <w:t>Suvestinė redakcija nuo 2015-07-16 iki 2015-11-10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w14:anchorId="1E1ED933">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e4b84a96116342c5a06e5e6fd6287215"/>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xml:space="preserve">; 2007, Nr. </w:t>
              </w:r>
              <w:hyperlink r:id="rId18"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4"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746a1712f36a481f8a2eae5d43eec278"/>
                <w:lock w:val="sdtLocked"/>
                <w:richText/>
              </w:sdtPr>
              <w:sdtContent>
                <w:p>
                  <w:pPr>
                    <w:widowControl w:val="0"/>
                    <w:ind w:firstLine="567"/>
                    <w:jc w:val="both"/>
                    <w:rPr>
                      <w:color w:val="000000"/>
                    </w:rPr>
                  </w:pPr>
                  <w:sdt>
                    <w:sdtPr>
                      <w:alias w:val="Numeris"/>
                      <w:tag w:val="nr_746a1712f36a481f8a2eae5d43eec278"/>
                      <w:lock w:val="sdtLocked"/>
                      <w:richText/>
                    </w:sdtPr>
                    <w:sdtContent>
                      <w:r>
                        <w:rPr>
                          <w:color w:val="000000"/>
                        </w:rPr>
                        <w:t>12</w:t>
                      </w:r>
                    </w:sdtContent>
                  </w:sdt>
                  <w:r>
                    <w:rPr>
                      <w:color w:val="000000"/>
                    </w:rPr>
                    <w:t>.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savivaldybę, kurios teritorijoje socialinės globos įstaiga veikia bei savivaldybes, kurių gyventojams teikiama socialinė globa ir (ar) vykdoma globos (rūpybos) priežiūra teisės aktų nustatyta tvarka.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w:t>
                  </w:r>
                  <w:r>
                    <w:rPr>
                      <w:b/>
                      <w:bCs/>
                      <w:color w:val="000000"/>
                    </w:rPr>
                    <w:t xml:space="preserve"> </w:t>
                  </w:r>
                  <w:r>
                    <w:rPr>
                      <w:color w:val="000000"/>
                    </w:rPr>
                    <w:t>tabako ir alkoholio kontrolės departamentui.</w:t>
                  </w:r>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25" w:tgtFrame="_blank" w:history="1">
                    <w:r>
                      <w:rPr>
                        <w:color w:val="0000FF" w:themeColor="hyperlink"/>
                        <w:u w:val="single"/>
                      </w:rPr>
                      <w:t>13-308</w:t>
                    </w:r>
                  </w:hyperlink>
                  <w:r>
                    <w:rPr>
                      <w:color w:val="000000"/>
                    </w:rPr>
                    <w:t xml:space="preserve">; 2000, Nr. </w:t>
                  </w:r>
                  <w:hyperlink r:id="rId26"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e0fc3e518bc7426ba5d828595167bfe8"/>
        <w:lock w:val="sdtLocked"/>
        <w:richText/>
      </w:sdtPr>
      <w:sdtContent>
        <w:p>
          <w:pPr>
            <w:jc w:val="both"/>
            <w:rPr>
              <w:szCs w:val="24"/>
            </w:rPr>
            <w:sectPr>
              <w:headerReference w:type="even" r:id="rId19"/>
              <w:footerReference w:type="even" r:id="rId20"/>
              <w:footerReference w:type="default" r:id="rId21"/>
              <w:headerReference w:type="first" r:id="rId22"/>
              <w:footerReference w:type="first" r:id="rId23"/>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e0fc3e518bc7426ba5d828595167bfe8"/>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e0fc3e518bc7426ba5d828595167bfe8"/>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 (-osi), specialieji ir kiti poreikiai, atsižvelgiant į vaiko gebėjimus, gabumus, situaciją vaiko šeimoje, socialinę riziką, negalią, ypatumus, susijusius su vaiko amžiumi, branda, etnine kilme, kalba, religija, lytimi, rasine priklausomybe ir kita. Vertinant vaiko poreikius dalyvavo visi reikalingi specialistai ir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w:t>
                </w:r>
                <w:r>
                  <w:rPr>
                    <w:color w:val="000000"/>
                    <w:sz w:val="18"/>
                    <w:szCs w:val="18"/>
                  </w:rPr>
                  <w:t>būtų</w:t>
                </w:r>
                <w:r>
                  <w:rPr>
                    <w:sz w:val="18"/>
                    <w:szCs w:val="18"/>
                  </w:rPr>
                  <w:t xml:space="preserve"> pasiekti</w:t>
                </w:r>
                <w:r>
                  <w:rPr>
                    <w:b/>
                    <w:sz w:val="18"/>
                    <w:szCs w:val="18"/>
                  </w:rPr>
                  <w:t xml:space="preserve"> </w:t>
                </w:r>
                <w:r>
                  <w:rPr>
                    <w:sz w:val="18"/>
                    <w:szCs w:val="18"/>
                  </w:rPr>
                  <w:t xml:space="preserve">užsibrėžti tikslai ir </w:t>
                </w:r>
                <w:r>
                  <w:rPr>
                    <w:color w:val="000000"/>
                    <w:sz w:val="18"/>
                    <w:szCs w:val="18"/>
                  </w:rPr>
                  <w:t>uždaviniai,</w:t>
                </w:r>
                <w:r>
                  <w:rPr>
                    <w:sz w:val="18"/>
                    <w:szCs w:val="18"/>
                  </w:rPr>
                  <w:t xml:space="preserve">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 xml:space="preserve">5.2. Vaikas individualiai pagal socialinės globos įstaigos nustatytą tvarką aprūpinamas patalyne, rankšluosčiais, rūbais, reikiamomis higienos priemonėmis ir kitais būtinais daiktais, atsižvelgiant į vaiko amžių, lytį ar neplanuotai atsiradusias aplinkybes. Vaikui, pagal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motyvaciją, laikantis bendrų gyvūnų auginimo ir laikymo taisyklių, sudarytos galimybės socialinės globos įstaigoje auginti naminį gyvūnėlį (žuvytes akvariumuose ar</w:t>
                </w:r>
                <w:r>
                  <w:rPr>
                    <w:color w:val="000000"/>
                    <w:sz w:val="18"/>
                    <w:szCs w:val="18"/>
                  </w:rPr>
                  <w:t xml:space="preserve"> pan.)</w:t>
                </w:r>
                <w:r>
                  <w:rPr>
                    <w:sz w:val="18"/>
                    <w:szCs w:val="18"/>
                  </w:rPr>
                  <w:t xml:space="preserve"> ir  juo rūpintis</w:t>
                </w:r>
                <w:r>
                  <w:rPr>
                    <w:b/>
                    <w:sz w:val="18"/>
                    <w:szCs w:val="18"/>
                  </w:rPr>
                  <w:t xml:space="preserv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daugiau kaip 25 vaikai su negalia) ir vaikų su negalia socialinės globos namuose (kai juose socialinę globą gauna daugiau kaip 25 vaikai su negalia) slaugos paslaugos privalo būti teikiamos pačioje įstaigoje teisės aktų nustatyta tvarka.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2413"/>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w:t>
                </w:r>
                <w:r>
                  <w:rPr>
                    <w:b/>
                    <w:sz w:val="18"/>
                    <w:szCs w:val="18"/>
                  </w:rPr>
                  <w:t xml:space="preserve"> </w:t>
                </w:r>
                <w:r>
                  <w:rPr>
                    <w:sz w:val="18"/>
                    <w:szCs w:val="18"/>
                  </w:rPr>
                  <w:t xml:space="preserve">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w:t>
                </w:r>
                <w:r>
                  <w:rPr>
                    <w:color w:val="000000"/>
                    <w:sz w:val="18"/>
                    <w:szCs w:val="18"/>
                  </w:rPr>
                  <w:t>V</w:t>
                </w:r>
                <w:r>
                  <w:rPr>
                    <w:sz w:val="18"/>
                    <w:szCs w:val="18"/>
                  </w:rPr>
                  <w:t xml:space="preserve">aikams nuo 14 metų amžiaus mokamų kišenpinigių dydis yra ne mažesnis kaip 0,4 BSI per mėnesį (išskyrus vaikams su negalia). </w:t>
                </w:r>
                <w:r>
                  <w:rPr>
                    <w:color w:val="000000"/>
                    <w:sz w:val="18"/>
                    <w:szCs w:val="18"/>
                  </w:rPr>
                  <w:t>Vaikams su negalia kišenpinigiai mokami atsižvelgiant į jų savarankiškumo lygį, gebėjimą išreikšti savo nuomonę, priimti sprendimus.</w:t>
                </w:r>
                <w:r>
                  <w:rPr>
                    <w:sz w:val="18"/>
                    <w:szCs w:val="18"/>
                  </w:rPr>
                  <w:t xml:space="preserve"> Vaikui išmokamų kišenpinigių dydis laikinai gali būti stabdomas ar mažinamas kaip drausminimo priemonė ir didinamas kaip skatinamoji priemonė. Vaikas pagal savo amžių ir brandą bei darbuotojai, atsakingi už vaiko ugdymąsi, žino ir gali apibūdinti vaiko kišenpinigių mokėjimo tvarką ir šių kišenpinigių tikslą </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 xml:space="preserve">14.3.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14.4.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Pr>
                    <w:color w:val="000000"/>
                    <w:sz w:val="18"/>
                    <w:szCs w:val="18"/>
                  </w:rPr>
                  <w:t>socialinės globos namuose sumažinti iki 60-ies vaikų, planus. Vaikų socialinės globos namai, kuriuose 2017 m. pradžioje gyvens daugiau kaip 30 vaikų, 2016 m. turės turėti</w:t>
                </w:r>
                <w:r>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pPr>
                  <w:spacing w:before="120"/>
                  <w:ind w:left="414" w:right="74" w:hanging="414"/>
                  <w:jc w:val="both"/>
                  <w:rPr>
                    <w:i/>
                    <w:iCs/>
                    <w:strike/>
                    <w:color w:val="000000"/>
                    <w:sz w:val="18"/>
                    <w:szCs w:val="18"/>
                  </w:rPr>
                </w:pPr>
                <w:r>
                  <w:rPr>
                    <w:sz w:val="18"/>
                    <w:szCs w:val="18"/>
                  </w:rPr>
                  <w:t>14.5.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14.6.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14.7.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14.8.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 xml:space="preserve">14.9. Likusiems be tėvų globos ir socialinės rizikos vaikams naujai (nuo 2015 m) steigiami tik bendruomeniniai vaikų globos namai, kuriuose gyvena ne daugiau kaip 8 vaikai  (išskyrus atvejus, kai apgyvendinami broliai ir seserys).</w:t>
                </w:r>
              </w:p>
              <w:p>
                <w:pPr>
                  <w:spacing w:before="120"/>
                  <w:ind w:left="414" w:right="74" w:hanging="414"/>
                  <w:jc w:val="both"/>
                  <w:rPr>
                    <w:sz w:val="18"/>
                    <w:szCs w:val="18"/>
                  </w:rPr>
                </w:pPr>
                <w:r>
                  <w:rPr>
                    <w:sz w:val="18"/>
                    <w:szCs w:val="18"/>
                  </w:rPr>
                  <w:t xml:space="preserve">14.10.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14.11.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14.12.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14.13.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14.14.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 xml:space="preserve">15.5. Vaikas apgyvendintas kambaryje, atsižvelgiant į jo poreikius, interesus ir jų suderinamumą su kitų vaikų interesais. </w:t>
                </w:r>
                <w:r>
                  <w:rPr>
                    <w:b/>
                    <w:sz w:val="18"/>
                    <w:szCs w:val="18"/>
                  </w:rPr>
                  <w:t xml:space="preserve"> </w:t>
                </w:r>
                <w:r>
                  <w:rPr>
                    <w:sz w:val="18"/>
                    <w:szCs w:val="18"/>
                  </w:rPr>
                  <w:t>Vaikų socialinės globos įstaigoje</w:t>
                </w:r>
                <w:r>
                  <w:rPr>
                    <w:b/>
                    <w:sz w:val="18"/>
                    <w:szCs w:val="18"/>
                  </w:rPr>
                  <w:t xml:space="preserve">  </w:t>
                </w:r>
                <w:r>
                  <w:rPr>
                    <w:sz w:val="18"/>
                    <w:szCs w:val="18"/>
                  </w:rPr>
                  <w:t>nuo 2016 metų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Asmeninės higienos patalpos turi vidinius užraktus. Vaikų socialinės globos namai, vaikų su negalia socialinės globos namai</w:t>
                </w:r>
                <w:r>
                  <w:rPr>
                    <w:b/>
                    <w:sz w:val="18"/>
                    <w:szCs w:val="18"/>
                  </w:rPr>
                  <w:t xml:space="preserve"> </w:t>
                </w:r>
                <w:r>
                  <w:rPr>
                    <w:sz w:val="18"/>
                    <w:szCs w:val="18"/>
                  </w:rPr>
                  <w:t xml:space="preserve">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socialinės globos įstaigoje gyvenantiems vaikams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ir turto apskaitos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2 pr."/>
        <w:tag w:val="part_754961c2af6a4340b119aa1226f9ceba"/>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754961c2af6a4340b119aa1226f9ceba"/>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754961c2af6a4340b119aa1226f9ceba"/>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3 pr."/>
        <w:tag w:val="part_55b2ee320cdd4a1c836e3c3bb5c39699"/>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55b2ee320cdd4a1c836e3c3bb5c39699"/>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55b2ee320cdd4a1c836e3c3bb5c39699"/>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4.2. ISGP senyvo amžiaus asmeniui ir suaugusiam asmeniui su negalia yra parengtas per 1 mėnesį nuo socialinės globos teikimo pradžios, vaikui – ne vėliau kaip per 1,5 mėnesio nuo socialinės globos teikimo pradžios.</w:t>
                </w:r>
              </w:p>
              <w:p>
                <w:pPr>
                  <w:widowControl w:val="0"/>
                </w:pPr>
                <w:r>
                  <w:t>4.3.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4.4.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4.5.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4.6.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Asmenų, vaikų poilsiui (miegui) dienos metu centre yra įrengtos atskiros patalpos. Dienos socialinės globos centre teikiant trumpalaikę globą (iki 5 parų per savaitę),</w:t>
                </w:r>
                <w:r>
                  <w:rPr>
                    <w:b/>
                  </w:rPr>
                  <w:t xml:space="preserve"> </w:t>
                </w:r>
                <w:r>
                  <w:t>minimalus plotas vienam paslaugų gavėjui gyvenamojoje patalpoje turi būti ne mažesnis kaip 4 m</w:t>
                </w:r>
                <w:r>
                  <w:rPr>
                    <w:vertAlign w:val="superscript"/>
                  </w:rPr>
                  <w:t>2</w:t>
                </w:r>
                <w:r>
                  <w:t>. Dušo, vonios ir prausyklos patalpomis naudojasi vyrai ir moterys pagal dienos socialinės globos centro administracijos nustatytą higienos procedūrų grafiką.</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w:t>
                </w:r>
              </w:p>
              <w:p>
                <w:pPr>
                  <w:widowControl w:val="0"/>
                </w:pPr>
                <w:r>
                  <w:t>15.1.5. įstaigoje vykdomas socialinės veiklos, laisvalaikio užimtumo, šeimos konsultavimo ar kitas programas;</w:t>
                </w:r>
              </w:p>
              <w:p>
                <w:pPr>
                  <w:widowControl w:val="0"/>
                </w:pPr>
                <w:r>
                  <w:t xml:space="preserve">15.1.6. vidaus tvarkos taisykles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4 pr."/>
        <w:tag w:val="part_b51873f4be524945ab60c2a1d155d00c"/>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b51873f4be524945ab60c2a1d155d00c"/>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b51873f4be524945ab60c2a1d155d00c"/>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Atsižvelgdami į socialinės globos įstaigoje įvertintų asmens būtinų paslaugų (asmens sveikatos priežiūros organizavimo, laisvalaikio organizavimo, socialinių įgūdžių ugdymo ir kita) poreikius, vertindami asmens individualias savybes bei ypatumus, susijusius su amžiumi, etnine kilme, kalba, religija, lytimi, rasine priklausomybe, socialinės globos įstaiga</w:t>
                </w:r>
                <w:r>
                  <w:rPr>
                    <w:b/>
                    <w:sz w:val="18"/>
                    <w:szCs w:val="18"/>
                  </w:rPr>
                  <w:t xml:space="preserve"> </w:t>
                </w:r>
                <w:r>
                  <w:rPr>
                    <w:sz w:val="18"/>
                    <w:szCs w:val="18"/>
                  </w:rPr>
                  <w:t xml:space="preserve">įsivertina savo galimybes suteikti asmeniui reikalingas paslaugas.  Jei socialinės globos įstaiga</w:t>
                </w:r>
                <w:r>
                  <w:rPr>
                    <w:b/>
                    <w:sz w:val="18"/>
                    <w:szCs w:val="18"/>
                  </w:rPr>
                  <w:t xml:space="preserve"> </w:t>
                </w:r>
                <w:r>
                  <w:rPr>
                    <w:sz w:val="18"/>
                    <w:szCs w:val="18"/>
                  </w:rPr>
                  <w:t xml:space="preserve">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2.7.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2.8. Į socialinės globos įstaigą</w:t>
                </w:r>
                <w:r>
                  <w:rPr>
                    <w:b/>
                    <w:sz w:val="18"/>
                    <w:szCs w:val="18"/>
                  </w:rPr>
                  <w:t xml:space="preserve"> </w:t>
                </w:r>
                <w:r>
                  <w:rPr>
                    <w:sz w:val="18"/>
                    <w:szCs w:val="18"/>
                  </w:rPr>
                  <w:t xml:space="preserve">nepriimami asmenys, kurie apgyvendinimo metu serga ūmiomis infekcinėmis ar kitomis pavojingomis užkrečiamomis ligomis.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2.9.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daugiau kaip 25 asmenys),  slaugos paslaugos </w:t>
                </w:r>
                <w:r>
                  <w:rPr>
                    <w:b/>
                    <w:sz w:val="18"/>
                    <w:szCs w:val="18"/>
                  </w:rPr>
                  <w:t xml:space="preserve"> </w:t>
                </w:r>
                <w:r>
                  <w:rPr>
                    <w:sz w:val="18"/>
                    <w:szCs w:val="18"/>
                  </w:rPr>
                  <w:t>privalo būti teikiamos pačioje įstaigoje</w:t>
                </w:r>
                <w:r>
                  <w:rPr>
                    <w:b/>
                    <w:sz w:val="18"/>
                    <w:szCs w:val="18"/>
                  </w:rPr>
                  <w:t xml:space="preserve"> </w:t>
                </w:r>
                <w:r>
                  <w:rPr>
                    <w:sz w:val="18"/>
                    <w:szCs w:val="18"/>
                  </w:rPr>
                  <w:t xml:space="preserve">teisės aktų nustatyta tvarka.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iCs/>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(ribotai veiksnaus) asmens globėju, rūpintoju paskirtas fizinis asmuo, socialinės globos įstaiga nuolat palaiko ryšius ir bendradarbiauja su asmens globėju, rūpintoju, o esant poreikiui, praneša atitinkamai institucijai apie netinkamai vykdomas globėjo, rūpintojo funkcijas. Žymos apie tai yra užfiksuotos  ISGP ar kituose asmens byloje pridedamuose dokumentuose. </w:t>
                </w:r>
              </w:p>
              <w:p>
                <w:pPr>
                  <w:spacing w:before="120"/>
                  <w:ind w:left="394" w:hanging="394"/>
                  <w:jc w:val="both"/>
                  <w:rPr>
                    <w:sz w:val="18"/>
                    <w:szCs w:val="18"/>
                    <w:u w:val="single"/>
                  </w:rPr>
                </w:pPr>
                <w:r>
                  <w:rPr>
                    <w:sz w:val="18"/>
                    <w:szCs w:val="18"/>
                  </w:rPr>
                  <w:t xml:space="preserve">12.2. Jeigu neveiksnaus (ribotai veiksnaus) asmens globėjas, rūpintojas yra socialinės globos įstaiga, socialinės globos įstaigos administracija užtikrina visapusišką šio asmens interesų atstovavimą, globos, rūpybos funkcijų vykdymą. </w:t>
                </w:r>
              </w:p>
              <w:p>
                <w:pPr>
                  <w:spacing w:before="120"/>
                  <w:ind w:left="394" w:hanging="394"/>
                  <w:jc w:val="both"/>
                  <w:rPr>
                    <w:sz w:val="18"/>
                    <w:szCs w:val="18"/>
                  </w:rPr>
                </w:pPr>
                <w:r>
                  <w:rPr>
                    <w:sz w:val="18"/>
                    <w:szCs w:val="18"/>
                  </w:rPr>
                  <w:t>12.3.</w:t>
                </w:r>
                <w:r>
                  <w:rPr>
                    <w:bCs/>
                    <w:sz w:val="18"/>
                    <w:szCs w:val="18"/>
                  </w:rPr>
                  <w:t xml:space="preserve"> Neveiksnaus ar ribotai veiksnaus asmens adekvati nuomonė ar jo globėjo (rūpintojo) nuomonė, siekiant užtikrinti geriausią asmens interesą, yra išklausoma ir vertinama.</w:t>
                </w:r>
                <w:r>
                  <w:rPr>
                    <w:sz w:val="18"/>
                    <w:szCs w:val="18"/>
                  </w:rPr>
                  <w:t xml:space="preserve"> </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(ribojamam veiksnumui), socialinės globos įstaiga tarpininkauja asmeniui ir kreipiasi į atitinkamas institucijas dėl neveiksnumo (riboto veiksnumo) peržiūrėjimo. Žymos apie tai yra užfiksuotos ISGP ar kituose asmens byloje pridedamuose dokumentuose. </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ir materialinės vertybės administruojami teisės aktų nustatyta tvarka bei tvarkomi pagal socialinės globos įstaigos patvirtintą gyventojų pinigų ir kitų materialinių vertybių laikymo ir saugojimo tvarkos aprašą, kuris užtikrina asmens interesus saugant, naudojant ir apskaitant asmens pinigus ir materialines vertybes.  </w:t>
                </w:r>
              </w:p>
              <w:p>
                <w:pPr>
                  <w:spacing w:before="120"/>
                  <w:ind w:left="394" w:hanging="394"/>
                  <w:jc w:val="both"/>
                  <w:rPr>
                    <w:sz w:val="18"/>
                    <w:szCs w:val="18"/>
                  </w:rPr>
                </w:pPr>
                <w:r>
                  <w:rPr>
                    <w:sz w:val="18"/>
                    <w:szCs w:val="18"/>
                  </w:rPr>
                  <w:t>12.7. Asmens saugumas jo gyvenamajame kambaryje užtikrintas nepažeidžiant jo privatumo ir orumo. Socialinės globos įstaigos</w:t>
                </w:r>
                <w:r>
                  <w:rPr>
                    <w:b/>
                    <w:sz w:val="18"/>
                    <w:szCs w:val="18"/>
                  </w:rPr>
                  <w:t xml:space="preserve"> </w:t>
                </w:r>
                <w:r>
                  <w:rPr>
                    <w:sz w:val="18"/>
                    <w:szCs w:val="18"/>
                  </w:rPr>
                  <w:t xml:space="preserve">personalas į asmens gyvenamąjį kambarį  įeina tik pasibeldęs, asmuo negali būti užrakinamas savo gyvenamajame kambaryje. Asmens gyvenamosiose patalpose nenaudojamos filmavimo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15.4. Neveiksniam (ribotai veiksniam) asmeniui laikinai išvykstant svečiuotis savo noru, socialinės globos įstaigos</w:t>
                </w:r>
                <w:r>
                  <w:rPr>
                    <w:b/>
                    <w:sz w:val="18"/>
                    <w:szCs w:val="18"/>
                  </w:rPr>
                  <w:t xml:space="preserve"> </w:t>
                </w:r>
                <w:r>
                  <w:rPr>
                    <w:sz w:val="18"/>
                    <w:szCs w:val="18"/>
                  </w:rPr>
                  <w:t xml:space="preserve">administracija su asmeniu, pas kurį neveiksnus (ribotai veiksnus) asmuo išvyksta (išskyrus teismo sprendimu paskirtą globėją, rūpintoją), sudaro sutartį, kurioje pastarasis įsipareigoja tinkamai prižiūrėti neveiksnų (ribotai veiksnų) asmenį. Ši sutartis sudaroma socialinės globos įstaigai turint asmens, pas kurį išvyksta neveiksnus (ribotai veiksnus) asmuo, gyvenamosios vietos savivaldybės išvadą dėl neveiksnų  (ribotai veiksnų) asmenį priimančio asmens (jo šeimos) galimybių tinkamai prižiūrėti neveiksnų (ribotai veiksnų) asmenį jo laikino išvykimo laikotarpiu. Neveiksnaus (ribotai veiksnaus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savo noru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b/>
                    <w:sz w:val="18"/>
                    <w:szCs w:val="18"/>
                  </w:rPr>
                </w:pPr>
                <w:r>
                  <w:rPr>
                    <w:sz w:val="18"/>
                    <w:szCs w:val="18"/>
                  </w:rPr>
                  <w:t xml:space="preserve">15.7. Neveiksnus (ribotai veiksnus) asmuo visam laikui gali išvykti tik pas teismo paskirtą globėją, rūpintoją. Socialinės globos įstaiga apie tai informuoja savivaldybę, kurioje globėjas (rūpintojas) gyvena  ir savivaldybę, kurios sprendimu asmeniui buvo pradėta teikti socialinė globa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w:t>
                </w:r>
                <w:r>
                  <w:rPr>
                    <w:b/>
                    <w:sz w:val="18"/>
                    <w:szCs w:val="18"/>
                  </w:rPr>
                  <w:t xml:space="preserve">) </w:t>
                </w:r>
                <w:r>
                  <w:rPr>
                    <w:sz w:val="18"/>
                    <w:szCs w:val="18"/>
                  </w:rPr>
                  <w:t>nuo 2015 metų</w:t>
                </w:r>
                <w:r>
                  <w:rPr>
                    <w:b/>
                    <w:sz w:val="18"/>
                    <w:szCs w:val="18"/>
                  </w:rPr>
                  <w:t xml:space="preserve"> </w:t>
                </w:r>
                <w:r>
                  <w:rPr>
                    <w:sz w:val="18"/>
                    <w:szCs w:val="18"/>
                  </w:rPr>
                  <w:t xml:space="preserve"> gyvena ne daugiau kaip 10 asmenų.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 xml:space="preserve">16.7. Naujai nuo 2015 metų  asmenims su negalia (išskyrus asmenis su sunkia negalia)</w:t>
                </w:r>
                <w:r>
                  <w:rPr>
                    <w:b/>
                    <w:sz w:val="18"/>
                    <w:szCs w:val="18"/>
                  </w:rPr>
                  <w:t xml:space="preserve"> </w:t>
                </w:r>
                <w:r>
                  <w:rPr>
                    <w:sz w:val="18"/>
                    <w:szCs w:val="18"/>
                  </w:rPr>
                  <w:t>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t. y. gyvenamųjų kambarių, valgyklos, virtuvės, skirtos individualiam maisto </w:t>
                </w:r>
                <w:r>
                  <w:rPr>
                    <w:color w:val="000000"/>
                    <w:sz w:val="18"/>
                    <w:szCs w:val="18"/>
                  </w:rPr>
                  <w:t xml:space="preserve">gaminimui, asmens higienos patalpos, laisvalaikio organizavimo, ugdymo, bendro naudojimo patalpos (laiptinės, koridoriai ir pan.) ir  kita, </w:t>
                </w:r>
                <w:r>
                  <w:rPr>
                    <w:sz w:val="18"/>
                    <w:szCs w:val="18"/>
                  </w:rPr>
                  <w:t xml:space="preserve">pritaikytos gyvenimui ir būtiniems gyventojų poreikiams tenkinti. Socialinės globos namuose virtuvėlės savarankiškam maisto gaminimuisi  turi būti kiekviename pastato aukšte, viena virtuvėle naudojasi ne daugiau kaip 50 socialinės globos namuose socialinę globą gaunančių asmenų.</w:t>
                </w:r>
                <w:r>
                  <w:rPr>
                    <w:b/>
                    <w:sz w:val="18"/>
                    <w:szCs w:val="18"/>
                  </w:rPr>
                  <w:t xml:space="preserve"> </w:t>
                </w:r>
                <w:r>
                  <w:rPr>
                    <w:sz w:val="18"/>
                    <w:szCs w:val="18"/>
                  </w:rPr>
                  <w:t xml:space="preserve">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Asmeninės higienos patalpos turi vidinius užraktus.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ar rekonstruoti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ir turto  saugaus laikymo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24.1. Socialinės globos įstaiga</w:t>
                </w:r>
                <w:r>
                  <w:rPr>
                    <w:b/>
                    <w:color w:val="000000"/>
                    <w:sz w:val="18"/>
                    <w:szCs w:val="18"/>
                  </w:rPr>
                  <w:t xml:space="preserve"> </w:t>
                </w:r>
                <w:r>
                  <w:rPr>
                    <w:color w:val="000000"/>
                    <w:sz w:val="18"/>
                    <w:szCs w:val="18"/>
                  </w:rPr>
                  <w:t xml:space="preserve">rengia ir reguliariai atnaujina informacinį biuletenį (internetinį puslapį), kuriame pateikiama informacija apie socialinės globos įstaigą, teikiamas paslaugas, personalą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5 pr."/>
        <w:tag w:val="part_d0263c93c450446a804c4b768483210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d0263c93c450446a804c4b768483210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d0263c93c450446a804c4b7684832102"/>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ISGP numatyta, kaip bus siekiama asmeniui numatytų psichologinės socialinės reabilitacijos programos priemonių įgyvendinimo, detalizuojamos paslaugos (socialinės, sveikatos priežiūros ir kitos), kurios asmeniui bus teikiamos ar organizuojamos.</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8A2FBD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3D79DE919126"/>
  <Relationship Id="rId19" Type="http://schemas.openxmlformats.org/officeDocument/2006/relationships/header" Target="header1.xml"/>
  <Relationship Id="rId2" Type="http://schemas.openxmlformats.org/officeDocument/2006/relationships/header" Target="header4.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2.xml"/>
  <Relationship Id="rId23" Type="http://schemas.openxmlformats.org/officeDocument/2006/relationships/footer" Target="footer3.xml"/>
  <Relationship Id="rId24" Type="http://schemas.openxmlformats.org/officeDocument/2006/relationships/hyperlink" TargetMode="External" Target="https://www.e-tar.lt/portal/lt/legalAct/TAR.91609F53E29E"/>
  <Relationship Id="rId25" Type="http://schemas.openxmlformats.org/officeDocument/2006/relationships/hyperlink" TargetMode="External" Target="https://www.e-tar.lt/portal/lt/legalAct/TAR.67B5099C5848"/>
  <Relationship Id="rId26" Type="http://schemas.openxmlformats.org/officeDocument/2006/relationships/hyperlink" TargetMode="External" Target="https://www.e-tar.lt/portal/lt/legalAct/TAR.78FAC7B20AD8"/>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5.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e4b84a96116342c5a06e5e6fd6287215">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Title=""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Title=""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Title=""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746a1712f36a481f8a2eae5d43eec278"/>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e0fc3e518bc7426ba5d828595167bfe8"/>
  <Part Type="priedas" Nr="2" Abbr="2 pr." Title="LIKUSIŲ BE TĖVŲ GLOBOS VAIKŲ, SOCIALINĖS RIZIKOS VAIKŲ ILGALAIKĖS (TRUMPALAIKĖS) SOCIALINĖS GLOBOS NORMOS, TAIKOMOS ŠEIMYNOMS" DocPartId="567f992bc51b4644a3715cd918b387a3" PartId="754961c2af6a4340b119aa1226f9ceba"/>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55b2ee320cdd4a1c836e3c3bb5c39699"/>
  <Part Type="priedas" Nr="4" Abbr="4 pr." Title="SENYVO AMŽIAUS ASMENŲ IR SUAUGUSIŲ ASMENŲ SU NEGALIA ILGALAIKĖS (TRUMPALAIKĖS) SOCIALINĖS GLOBOS NORMOS, TAIKOMOS SOCIALINĖS GLOBOS NAMAMS IR GRUPINIO GYVENIMO NAMAMS" DocPartId="55a72a8576994dcba831c0128e6b7f6e" PartId="b51873f4be524945ab60c2a1d155d00c"/>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d0263c93c450446a804c4b768483210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F8B1FDBD-EE70-45FD-BDC1-B9DED7A98752}">
  <ds:schemaRefs>
    <ds:schemaRef ds:uri="http://lrs.lt/TAIS/DocParts"/>
  </ds:schemaRefs>
</ds:datastoreItem>
</file>

<file path=docProps/app.xml><?xml version="1.0" encoding="utf-8"?>
<Properties xmlns="http://schemas.openxmlformats.org/officeDocument/2006/extended-properties">
  <Template>Normal.dotm</Template>
  <TotalTime>26</TotalTime>
  <Pages>132</Pages>
  <Words>294314</Words>
  <Characters>167760</Characters>
  <Application>Microsoft Office Word</Application>
  <DocSecurity>0</DocSecurity>
  <Lines>1398</Lines>
  <Paragraphs>922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461152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2015-10-19T12:38:00Z</dcterms:modified>
  <revision>6</revision>
  <dc:title>LIETUVOS RESPUBLIKOS SOCIALINĖS APSAUGOS IR DARBO MINISTRAS</dc:title>
</coreProperties>
</file>