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8e022d5d56c4f6ab6bb21a2894c39d3"/>
        <w:lock w:val="sdtLocked"/>
        <w:richText/>
      </w:sdtPr>
      <w:sdtContent>
        <w:p>
          <w:pPr>
            <w:jc w:val="both"/>
            <w:rPr>
              <w:rFonts w:ascii="Times New Roman" w:hAnsi="Times New Roman"/>
            </w:rPr>
          </w:pPr>
          <w:r>
            <w:rPr>
              <w:rFonts w:ascii="Times New Roman" w:hAnsi="Times New Roman"/>
              <w:b/>
              <w:i/>
            </w:rPr>
            <w:t>Suvestinė redakcija nuo 2025-09-26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7AB67E481C45">
            <w:r w:rsidRPr="00532B9F">
              <w:rPr>
                <w:rFonts w:ascii="Times New Roman" w:eastAsia="MS Mincho" w:hAnsi="Times New Roman"/>
                <w:sz w:val="20"/>
                <w:i/>
                <w:iCs/>
                <w:color w:val="0000FF" w:themeColor="hyperlink"/>
                <w:u w:val="single"/>
              </w:rPr>
              <w:t>10-403</w:t>
            </w:r>
          </w:fldSimple>
          <w:r>
            <w:rPr>
              <w:rFonts w:ascii="Times New Roman" w:eastAsia="MS Mincho" w:hAnsi="Times New Roman"/>
              <w:sz w:val="20"/>
              <w:i/>
              <w:iCs/>
            </w:rPr>
            <w:t>, i. k. 106301MISAK00D1-637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2025-01-01:</w:t>
          </w:r>
        </w:p>
        <w:p>
          <w:pPr>
            <w:rPr>
              <w:rFonts w:ascii="Times New Roman" w:hAnsi="Times New Roman"/>
              <w:sz w:val="20"/>
              <w:i/>
            </w:rPr>
          </w:pPr>
          <w:r>
            <w:rPr>
              <w:rFonts w:ascii="Times New Roman" w:hAnsi="Times New Roman"/>
              <w:sz w:val="20"/>
              <w:i/>
            </w:rPr>
            <w:t xml:space="preserve">Nr. </w:t>
          </w:r>
          <w:fldSimple w:instr="HYPERLINK https://www.e-tar.lt/portal/legalAct.html?documentId=a4f9d160861711efabdbb4a1fc8b0b63">
            <w:r w:rsidRPr="00532B9F">
              <w:rPr>
                <w:rFonts w:ascii="Times New Roman" w:eastAsia="MS Mincho" w:hAnsi="Times New Roman"/>
                <w:sz w:val="20"/>
                <w:i/>
                <w:iCs/>
                <w:color w:val="0000FF" w:themeColor="hyperlink"/>
                <w:u w:val="single"/>
              </w:rPr>
              <w:t>D1-334</w:t>
            </w:r>
          </w:fldSimple>
          <w:r>
            <w:rPr>
              <w:rFonts w:ascii="Times New Roman" w:eastAsia="MS Mincho" w:hAnsi="Times New Roman"/>
              <w:sz w:val="20"/>
              <w:i/>
              <w:iCs/>
            </w:rPr>
            <w:t>,
2024-10-09,
paskelbta TAR 2024-10-09, i. k. 2024-17701                </w:t>
          </w:r>
        </w:p>
        <w:p>
          <w:pPr>
            <w:rPr>
              <w:rFonts w:ascii="Times New Roman" w:hAnsi="Times New Roman"/>
              <w:sz w:val="22"/>
            </w:rPr>
          </w:pPr>
        </w:p>
        <w:p>
          <w:pPr>
            <w:suppressAutoHyphens/>
            <w:jc w:val="center"/>
            <w:rPr>
              <w:b/>
              <w:bCs/>
              <w:lang w:eastAsia="zh-CN"/>
            </w:rPr>
          </w:pPr>
          <w:r>
            <w:rPr>
              <w:b/>
              <w:bCs/>
              <w:lang w:eastAsia="zh-CN"/>
            </w:rPr>
            <w:t>LIETUVOS RESPUBLIKOS APLINKOS MINISTRAS</w:t>
          </w:r>
        </w:p>
        <w:p>
          <w:pPr>
            <w:suppressAutoHyphens/>
            <w:jc w:val="center"/>
            <w:rPr>
              <w:b/>
              <w:bCs/>
              <w:lang w:eastAsia="zh-CN"/>
            </w:rPr>
          </w:pPr>
        </w:p>
        <w:p>
          <w:pPr>
            <w:jc w:val="center"/>
            <w:textAlignment w:val="baseline"/>
            <w:rPr>
              <w:b/>
              <w:bCs/>
              <w:szCs w:val="24"/>
              <w:lang w:eastAsia="en-GB"/>
            </w:rPr>
          </w:pPr>
          <w:r>
            <w:rPr>
              <w:b/>
              <w:bCs/>
              <w:szCs w:val="24"/>
              <w:lang w:eastAsia="en-GB"/>
            </w:rPr>
            <w:t>ĮSAKYMAS</w:t>
          </w:r>
        </w:p>
        <w:p>
          <w:pPr>
            <w:tabs>
              <w:tab w:val="left" w:pos="993"/>
            </w:tabs>
            <w:ind w:firstLine="567"/>
            <w:jc w:val="center"/>
            <w:textAlignment w:val="baseline"/>
            <w:rPr>
              <w:b/>
              <w:bCs/>
              <w:lang w:eastAsia="zh-CN"/>
            </w:rPr>
          </w:pPr>
          <w:r>
            <w:rPr>
              <w:b/>
              <w:bCs/>
              <w:lang w:eastAsia="zh-CN"/>
            </w:rPr>
            <w:t>DĖL STATYBINIŲ ATLIEKŲ TVARKYMO TAISYKLIŲ PATVIRTINIMO</w:t>
          </w:r>
        </w:p>
        <w:p>
          <w:pPr>
            <w:tabs>
              <w:tab w:val="left" w:pos="993"/>
            </w:tabs>
            <w:ind w:firstLine="567"/>
            <w:jc w:val="center"/>
            <w:textAlignment w:val="baseline"/>
            <w:rPr>
              <w:b/>
              <w:bCs/>
              <w:lang w:eastAsia="zh-CN"/>
            </w:rPr>
          </w:pPr>
        </w:p>
        <w:p>
          <w:pPr>
            <w:tabs>
              <w:tab w:val="left" w:pos="993"/>
            </w:tabs>
            <w:ind w:firstLine="567"/>
            <w:jc w:val="center"/>
            <w:textAlignment w:val="baseline"/>
          </w:pPr>
          <w:r>
            <w:t>2006 m. gruodžio 29 d. Nr. D1-637</w:t>
          </w:r>
        </w:p>
        <w:p>
          <w:pPr>
            <w:tabs>
              <w:tab w:val="left" w:pos="993"/>
            </w:tabs>
            <w:ind w:firstLine="567"/>
            <w:jc w:val="center"/>
            <w:textAlignment w:val="baseline"/>
            <w:rPr>
              <w:b/>
              <w:bCs/>
              <w:lang w:eastAsia="zh-CN"/>
            </w:rPr>
          </w:pPr>
          <w:r>
            <w:t>Vilnius</w:t>
          </w:r>
        </w:p>
        <w:p>
          <w:pPr>
            <w:tabs>
              <w:tab w:val="left" w:pos="993"/>
            </w:tabs>
            <w:ind w:firstLine="567"/>
            <w:jc w:val="both"/>
            <w:textAlignment w:val="baseline"/>
            <w:rPr>
              <w:rFonts w:eastAsia="Calibri"/>
              <w:bCs/>
              <w:szCs w:val="24"/>
              <w:lang w:eastAsia="lt-LT"/>
            </w:rPr>
          </w:pPr>
        </w:p>
        <w:sdt>
          <w:sdtPr>
            <w:alias w:val="preambule"/>
            <w:tag w:val="part_5d0c210141444d138a579338f1c18cff"/>
            <w:lock w:val="sdtLocked"/>
            <w:richText/>
          </w:sdtPr>
          <w:sdtContent>
            <w:p>
              <w:pPr>
                <w:tabs>
                  <w:tab w:val="left" w:pos="993"/>
                </w:tabs>
                <w:ind w:firstLine="567"/>
                <w:jc w:val="both"/>
                <w:textAlignment w:val="baseline"/>
                <w:rPr>
                  <w:rFonts w:eastAsia="Calibri"/>
                  <w:bCs/>
                  <w:strike/>
                  <w:szCs w:val="24"/>
                  <w:lang w:eastAsia="lt-LT"/>
                </w:rPr>
              </w:pPr>
              <w:r>
                <w:rPr>
                  <w:rFonts w:eastAsia="Calibri"/>
                  <w:bCs/>
                  <w:szCs w:val="24"/>
                  <w:lang w:eastAsia="lt-LT"/>
                </w:rPr>
                <w:t>Vadovaudamasis Lietuvos Respublikos atliekų tvarkymo įstatymo 20 straipsnio 1 dalimi ir įgyvendindamas 2008 m. lapkričio 19 d. Europos Parlamento ir Tarybos direktyvos 2008/98/EB dėl atliekų ir panaikinančios kai kurias direktyvas su paskutiniais pakeitimais, padarytais</w:t>
              </w:r>
              <w:r>
                <w:rPr>
                  <w:rFonts w:ascii="Calibri" w:eastAsia="Calibri" w:hAnsi="Calibri"/>
                  <w:sz w:val="22"/>
                  <w:szCs w:val="22"/>
                </w:rPr>
                <w:t> </w:t>
              </w:r>
              <w:r>
                <w:rPr>
                  <w:rFonts w:eastAsia="Calibri"/>
                  <w:bCs/>
                  <w:szCs w:val="24"/>
                  <w:lang w:eastAsia="lt-LT"/>
                </w:rPr>
                <w:t>2023</w:t>
              </w:r>
              <w:r>
                <w:rPr>
                  <w:rFonts w:ascii="Calibri" w:eastAsia="Calibri" w:hAnsi="Calibri"/>
                  <w:sz w:val="22"/>
                  <w:szCs w:val="22"/>
                </w:rPr>
                <w:t> </w:t>
              </w:r>
              <w:r>
                <w:rPr>
                  <w:rFonts w:eastAsia="Calibri"/>
                  <w:bCs/>
                  <w:szCs w:val="24"/>
                  <w:lang w:eastAsia="lt-LT"/>
                </w:rPr>
                <w:t>m.</w:t>
              </w:r>
              <w:r>
                <w:rPr>
                  <w:rFonts w:ascii="Calibri" w:eastAsia="Calibri" w:hAnsi="Calibri"/>
                  <w:sz w:val="22"/>
                  <w:szCs w:val="22"/>
                </w:rPr>
                <w:t> </w:t>
              </w:r>
              <w:r>
                <w:rPr>
                  <w:rFonts w:eastAsia="Calibri"/>
                  <w:bCs/>
                  <w:szCs w:val="24"/>
                  <w:lang w:eastAsia="lt-LT"/>
                </w:rPr>
                <w:t>liepos</w:t>
              </w:r>
              <w:r>
                <w:rPr>
                  <w:rFonts w:ascii="Calibri" w:eastAsia="Calibri" w:hAnsi="Calibri"/>
                  <w:sz w:val="22"/>
                  <w:szCs w:val="22"/>
                </w:rPr>
                <w:t> </w:t>
              </w:r>
              <w:r>
                <w:rPr>
                  <w:rFonts w:eastAsia="Calibri"/>
                  <w:bCs/>
                  <w:szCs w:val="24"/>
                  <w:lang w:eastAsia="lt-LT"/>
                </w:rPr>
                <w:t>12 d. Europos Parlamento ir Tarybos reglamentu (ES)</w:t>
              </w:r>
              <w:r>
                <w:rPr>
                  <w:rFonts w:ascii="Calibri" w:eastAsia="Calibri" w:hAnsi="Calibri"/>
                  <w:sz w:val="22"/>
                  <w:szCs w:val="22"/>
                </w:rPr>
                <w:t> </w:t>
              </w:r>
              <w:r>
                <w:rPr>
                  <w:rFonts w:eastAsia="Calibri"/>
                  <w:bCs/>
                  <w:szCs w:val="24"/>
                  <w:lang w:eastAsia="lt-LT"/>
                </w:rPr>
                <w:t>2023/1542,</w:t>
              </w:r>
              <w:r>
                <w:rPr>
                  <w:rFonts w:ascii="Calibri" w:eastAsia="Calibri" w:hAnsi="Calibri"/>
                  <w:sz w:val="22"/>
                  <w:szCs w:val="22"/>
                </w:rPr>
                <w:t> </w:t>
              </w:r>
              <w:r>
                <w:rPr>
                  <w:rFonts w:eastAsia="Calibri"/>
                  <w:szCs w:val="24"/>
                </w:rPr>
                <w:t>2024</w:t>
              </w:r>
              <w:r>
                <w:rPr>
                  <w:rFonts w:ascii="Calibri" w:eastAsia="Calibri" w:hAnsi="Calibri"/>
                  <w:sz w:val="22"/>
                  <w:szCs w:val="22"/>
                </w:rPr>
                <w:t> </w:t>
              </w:r>
              <w:r>
                <w:rPr>
                  <w:rFonts w:eastAsia="Calibri"/>
                  <w:szCs w:val="24"/>
                </w:rPr>
                <w:t>m.</w:t>
              </w:r>
              <w:r>
                <w:rPr>
                  <w:rFonts w:ascii="Calibri" w:eastAsia="Calibri" w:hAnsi="Calibri"/>
                  <w:sz w:val="22"/>
                  <w:szCs w:val="22"/>
                </w:rPr>
                <w:t> </w:t>
              </w:r>
              <w:r>
                <w:rPr>
                  <w:rFonts w:eastAsia="Calibri"/>
                  <w:szCs w:val="24"/>
                </w:rPr>
                <w:t>vasario 7 d.</w:t>
              </w:r>
              <w:r>
                <w:rPr>
                  <w:rFonts w:ascii="Calibri" w:eastAsia="Calibri" w:hAnsi="Calibri"/>
                  <w:szCs w:val="24"/>
                </w:rPr>
                <w:t xml:space="preserve"> </w:t>
              </w:r>
              <w:r>
                <w:rPr>
                  <w:rFonts w:eastAsia="Calibri"/>
                  <w:bCs/>
                  <w:szCs w:val="24"/>
                  <w:lang w:eastAsia="lt-LT"/>
                </w:rPr>
                <w:t>Europos Parlamento ir Tarybos reglamento (ES)</w:t>
              </w:r>
              <w:r>
                <w:rPr>
                  <w:rFonts w:ascii="Calibri" w:eastAsia="Calibri" w:hAnsi="Calibri"/>
                  <w:sz w:val="22"/>
                  <w:szCs w:val="22"/>
                </w:rPr>
                <w:t> </w:t>
              </w:r>
              <w:r>
                <w:rPr>
                  <w:rFonts w:eastAsia="Calibri"/>
                  <w:bCs/>
                  <w:szCs w:val="24"/>
                  <w:lang w:eastAsia="lt-LT"/>
                </w:rPr>
                <w:t>2024/590 dėl ozono sluoksnį ardančių medžiagų, kuriuo panaikinamas Reglamentas (EB)</w:t>
              </w:r>
              <w:r>
                <w:rPr>
                  <w:rFonts w:ascii="Calibri" w:eastAsia="Calibri" w:hAnsi="Calibri"/>
                  <w:sz w:val="22"/>
                  <w:szCs w:val="22"/>
                </w:rPr>
                <w:t> </w:t>
              </w:r>
              <w:r>
                <w:rPr>
                  <w:rFonts w:eastAsia="Calibri"/>
                  <w:bCs/>
                  <w:szCs w:val="24"/>
                  <w:lang w:eastAsia="lt-LT"/>
                </w:rPr>
                <w:t>Nr. 1005/2009,</w:t>
              </w:r>
              <w:r>
                <w:rPr>
                  <w:rFonts w:ascii="Calibri" w:eastAsia="Calibri" w:hAnsi="Calibri"/>
                  <w:sz w:val="22"/>
                  <w:szCs w:val="22"/>
                </w:rPr>
                <w:t> </w:t>
              </w:r>
              <w:r>
                <w:rPr>
                  <w:rFonts w:eastAsia="Calibri"/>
                  <w:bCs/>
                  <w:szCs w:val="24"/>
                  <w:lang w:eastAsia="lt-LT"/>
                </w:rPr>
                <w:t>20</w:t>
              </w:r>
              <w:r>
                <w:rPr>
                  <w:rFonts w:ascii="Calibri" w:eastAsia="Calibri" w:hAnsi="Calibri"/>
                  <w:sz w:val="22"/>
                  <w:szCs w:val="22"/>
                </w:rPr>
                <w:t> </w:t>
              </w:r>
              <w:r>
                <w:rPr>
                  <w:rFonts w:eastAsia="Calibri"/>
                  <w:bCs/>
                  <w:szCs w:val="24"/>
                  <w:lang w:eastAsia="lt-LT"/>
                </w:rPr>
                <w:t xml:space="preserve"> straipsnio 2 ir 3 dalis ir </w:t>
              </w:r>
              <w:r>
                <w:rPr>
                  <w:rFonts w:eastAsia="Calibri"/>
                  <w:szCs w:val="24"/>
                </w:rPr>
                <w:t xml:space="preserve">2024 m. vasario 7 d. </w:t>
              </w:r>
              <w:r>
                <w:rPr>
                  <w:rFonts w:eastAsia="Calibri"/>
                  <w:bCs/>
                  <w:szCs w:val="24"/>
                  <w:lang w:eastAsia="lt-LT"/>
                </w:rPr>
                <w:t>Europos Parlamento ir Tarybos reglamento (ES)</w:t>
              </w:r>
              <w:r>
                <w:rPr>
                  <w:rFonts w:ascii="Calibri" w:eastAsia="Calibri" w:hAnsi="Calibri"/>
                  <w:sz w:val="22"/>
                  <w:szCs w:val="22"/>
                </w:rPr>
                <w:t> </w:t>
              </w:r>
              <w:r>
                <w:rPr>
                  <w:rFonts w:eastAsia="Calibri"/>
                  <w:bCs/>
                  <w:szCs w:val="24"/>
                  <w:lang w:eastAsia="lt-LT"/>
                </w:rPr>
                <w:t>2024/573 dėl fluorintų šiltnamio efektą sukeliančių dujų, kuriuo iš dalies keičiama Direktyva (ES) 2019/1937 ir panaikinamas Reglamentas</w:t>
              </w:r>
              <w:r>
                <w:rPr>
                  <w:rFonts w:ascii="Calibri" w:eastAsia="Calibri" w:hAnsi="Calibri"/>
                  <w:bCs/>
                  <w:sz w:val="22"/>
                  <w:szCs w:val="22"/>
                </w:rPr>
                <w:t xml:space="preserve"> </w:t>
              </w:r>
              <w:r>
                <w:rPr>
                  <w:rFonts w:eastAsia="Calibri"/>
                  <w:bCs/>
                  <w:szCs w:val="24"/>
                  <w:lang w:eastAsia="lt-LT"/>
                </w:rPr>
                <w:t>(ES) Nr. 517/2014, 8 straipsnio 8</w:t>
              </w:r>
              <w:r>
                <w:rPr>
                  <w:rFonts w:ascii="Calibri" w:eastAsia="Calibri" w:hAnsi="Calibri"/>
                  <w:sz w:val="22"/>
                  <w:szCs w:val="22"/>
                </w:rPr>
                <w:t> </w:t>
              </w:r>
              <w:r>
                <w:rPr>
                  <w:rFonts w:eastAsia="Calibri"/>
                  <w:bCs/>
                  <w:szCs w:val="24"/>
                  <w:lang w:eastAsia="lt-LT"/>
                </w:rPr>
                <w:t>ir 9 dalis,</w:t>
              </w:r>
            </w:p>
          </w:sdtContent>
        </w:sdt>
        <w:sdt>
          <w:sdtPr>
            <w:alias w:val="pastraipa"/>
            <w:tag w:val="part_79aaa24a9c724fc7b5a654b52ab32f0c"/>
            <w:lock w:val="sdtLocked"/>
            <w:richText/>
          </w:sdtPr>
          <w:sdtContent>
            <w:p>
              <w:pPr>
                <w:ind w:firstLine="567"/>
                <w:jc w:val="both"/>
              </w:pPr>
              <w:r>
                <w:rPr>
                  <w:spacing w:val="60"/>
                  <w:szCs w:val="24"/>
                  <w:lang w:eastAsia="lt-LT"/>
                </w:rPr>
                <w:t>tvirtinu</w:t>
              </w:r>
              <w:r>
                <w:rPr>
                  <w:szCs w:val="24"/>
                  <w:lang w:eastAsia="lt-LT"/>
                </w:rPr>
                <w:t xml:space="preserve"> Statybinių atliekų tvarkymo taisykles (pridedama).</w:t>
              </w:r>
              <w:r>
                <w:t xml:space="preserve"> </w:t>
              </w:r>
            </w:p>
          </w:sdtContent>
        </w:sdt>
        <w:sdt>
          <w:sdtPr>
            <w:alias w:val="signatura"/>
            <w:tag w:val="part_9894759bf473442e99617bac4356f527"/>
            <w:lock w:val="sdtLocked"/>
            <w:richText/>
          </w:sdtPr>
          <w:sdtContent>
            <w:p>
              <w:pPr>
                <w:tabs>
                  <w:tab w:val="right" w:pos="9639"/>
                </w:tabs>
              </w:pPr>
            </w:p>
            <w:p>
              <w:pPr>
                <w:tabs>
                  <w:tab w:val="right" w:pos="9639"/>
                </w:tabs>
              </w:pPr>
            </w:p>
            <w:p>
              <w:pPr>
                <w:tabs>
                  <w:tab w:val="right" w:pos="9639"/>
                </w:tabs>
              </w:pPr>
            </w:p>
            <w:p>
              <w:pPr>
                <w:tabs>
                  <w:tab w:val="right" w:pos="9639"/>
                </w:tabs>
              </w:pPr>
              <w:r>
                <w:t>APLINKOS MINISTRAS</w:t>
                <w:tab/>
                <w:t>ARŪNAS KUNDROTAS</w:t>
              </w:r>
            </w:p>
          </w:sdtContent>
        </w:sdt>
        <w:p/>
      </w:sdtContent>
    </w:sdt>
    <w:sdt>
      <w:sdtPr>
        <w:alias w:val="patvirtinta"/>
        <w:tag w:val="part_b989e4fab75d419c8bc4587b8efe49d2"/>
        <w:lock w:val="sdtLocked"/>
        <w:richText/>
      </w:sdtPr>
      <w:sdtContent>
        <w:p>
          <w:pPr>
            <w:widowControl w:val="0"/>
            <w:shd w:val="clear" w:color="auto" w:fill="FFFFFF"/>
            <w:ind w:firstLine="5102"/>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cols w:space="1296"/>
              <w:titlePg/>
              <w:docGrid w:linePitch="360"/>
            </w:sectPr>
          </w:pPr>
        </w:p>
        <w:p>
          <w:pPr>
            <w:widowControl w:val="0"/>
            <w:shd w:val="clear" w:color="auto" w:fill="FFFFFF"/>
            <w:ind w:firstLine="5102"/>
          </w:pPr>
          <w:r>
            <w:t>PATVIRTINTA</w:t>
          </w:r>
        </w:p>
        <w:p>
          <w:pPr>
            <w:widowControl w:val="0"/>
            <w:shd w:val="clear" w:color="auto" w:fill="FFFFFF"/>
            <w:ind w:firstLine="5102"/>
          </w:pPr>
          <w:r>
            <w:t xml:space="preserve">Lietuvos Respublikos aplinkos ministro </w:t>
          </w:r>
        </w:p>
        <w:p>
          <w:pPr>
            <w:widowControl w:val="0"/>
            <w:shd w:val="clear" w:color="auto" w:fill="FFFFFF"/>
            <w:ind w:firstLine="5102"/>
          </w:pPr>
          <w:r>
            <w:t>2006 m. gruodžio 29 d. įsakymu Nr. D1-637</w:t>
          </w:r>
        </w:p>
        <w:p>
          <w:pPr>
            <w:ind w:firstLine="709"/>
          </w:pPr>
        </w:p>
        <w:p>
          <w:pPr>
            <w:widowControl w:val="0"/>
            <w:shd w:val="clear" w:color="auto" w:fill="FFFFFF"/>
            <w:jc w:val="center"/>
            <w:rPr>
              <w:b/>
              <w:bCs/>
            </w:rPr>
          </w:pPr>
          <w:sdt>
            <w:sdtPr>
              <w:alias w:val="Pavadinimas"/>
              <w:tag w:val="title_b989e4fab75d419c8bc4587b8efe49d2"/>
              <w:lock w:val="sdtLocked"/>
              <w:richText/>
            </w:sdtPr>
            <w:sdtContent>
              <w:r>
                <w:rPr>
                  <w:b/>
                  <w:bCs/>
                </w:rPr>
                <w:t xml:space="preserve">STATYBINIŲ ATLIEKŲ TVARKYMO TAISYKLĖS </w:t>
              </w:r>
            </w:sdtContent>
          </w:sdt>
        </w:p>
        <w:p>
          <w:pPr>
            <w:widowControl w:val="0"/>
            <w:shd w:val="clear" w:color="auto" w:fill="FFFFFF"/>
            <w:ind w:firstLine="709"/>
            <w:rPr>
              <w:b/>
              <w:bCs/>
            </w:rPr>
          </w:pPr>
        </w:p>
        <w:sdt>
          <w:sdtPr>
            <w:alias w:val="skyrius"/>
            <w:tag w:val="part_ff45e4327b68437282e060ba472eb760"/>
            <w:lock w:val="sdtLocked"/>
            <w:richText/>
          </w:sdtPr>
          <w:sdtContent>
            <w:p>
              <w:pPr>
                <w:widowControl w:val="0"/>
                <w:shd w:val="clear" w:color="auto" w:fill="FFFFFF"/>
                <w:jc w:val="center"/>
                <w:rPr>
                  <w:b/>
                  <w:bCs/>
                </w:rPr>
              </w:pPr>
              <w:sdt>
                <w:sdtPr>
                  <w:alias w:val="Numeris"/>
                  <w:tag w:val="nr_ff45e4327b68437282e060ba472eb760"/>
                  <w:lock w:val="sdtLocked"/>
                  <w:richText/>
                </w:sdtPr>
                <w:sdtContent>
                  <w:r>
                    <w:rPr>
                      <w:b/>
                      <w:bCs/>
                    </w:rPr>
                    <w:t>I</w:t>
                  </w:r>
                </w:sdtContent>
              </w:sdt>
              <w:r>
                <w:rPr>
                  <w:b/>
                  <w:bCs/>
                </w:rPr>
                <w:t xml:space="preserve"> SKYRIUS</w:t>
              </w:r>
            </w:p>
            <w:p>
              <w:pPr>
                <w:widowControl w:val="0"/>
                <w:shd w:val="clear" w:color="auto" w:fill="FFFFFF"/>
                <w:jc w:val="center"/>
              </w:pPr>
              <w:sdt>
                <w:sdtPr>
                  <w:alias w:val="Pavadinimas"/>
                  <w:tag w:val="title_ff45e4327b68437282e060ba472eb760"/>
                  <w:lock w:val="sdtLocked"/>
                  <w:richText/>
                </w:sdtPr>
                <w:sdtContent>
                  <w:r>
                    <w:rPr>
                      <w:b/>
                      <w:bCs/>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005b0ea7511ee9f5b8ffa077f9188">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2024-03-25,
paskelbta TAR 2024-03-25, i. k. 2024-05293        </w:t>
              </w:r>
            </w:p>
            <w:p/>
            <w:sdt>
              <w:sdtPr>
                <w:alias w:val="1 p."/>
                <w:tag w:val="part_907a86af00ff4c8b946e91bc6e849761"/>
                <w:lock w:val="sdtLocked"/>
                <w:richText/>
              </w:sdtPr>
              <w:sdtContent>
                <w:p>
                  <w:pPr>
                    <w:tabs>
                      <w:tab w:val="left" w:pos="993"/>
                    </w:tabs>
                    <w:suppressAutoHyphens/>
                    <w:ind w:firstLine="709"/>
                    <w:jc w:val="both"/>
                  </w:pPr>
                  <w:sdt>
                    <w:sdtPr>
                      <w:alias w:val="Numeris"/>
                      <w:tag w:val="nr_907a86af00ff4c8b946e91bc6e849761"/>
                      <w:lock w:val="sdtLocked"/>
                      <w:richText/>
                    </w:sdtPr>
                    <w:sdtContent>
                      <w:r>
                        <w:rPr>
                          <w:color w:val="000000"/>
                          <w:lang w:val="lt" w:eastAsia="zh-CN"/>
                        </w:rPr>
                        <w:t>1</w:t>
                      </w:r>
                    </w:sdtContent>
                  </w:sdt>
                  <w:r>
                    <w:rPr>
                      <w:color w:val="000000"/>
                      <w:lang w:val="lt" w:eastAsia="zh-CN"/>
                    </w:rPr>
                    <w:t>. Statybinių atliekų tvarkymo taisyklės (toliau – Taisyklės) nustato statybinių atliekų susidarymo ir tvarkymo planavimo, apskaitos ir tvarkymo statybvietėje, statybinių atliekų smulkinimo mobilia įranga statybvietėje, neapdorotų statybinių atliekų sunaudojimo, statybinių atliekų vežimo, naudojimo ir šalinimo, asbesto turinčių statybinių atliekų tvarkymo reikalavimus, perdirbtų inertinių statybinių atliekų nebelaikymo atliekomis kriterijus</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005b0ea7511ee9f5b8ffa077f9188">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2024-03-25,
paskelbta TAR 2024-03-25, i. k. 2024-05293            </w:t>
                  </w:r>
                </w:p>
                <w:p/>
              </w:sdtContent>
            </w:sdt>
            <w:sdt>
              <w:sdtPr>
                <w:alias w:val="2 p."/>
                <w:tag w:val="part_6f35b72134c04d858ea896d2ef867555"/>
                <w:lock w:val="sdtLocked"/>
                <w:richText/>
              </w:sdtPr>
              <w:sdtContent>
                <w:p>
                  <w:pPr>
                    <w:suppressAutoHyphens/>
                    <w:ind w:firstLine="709"/>
                    <w:jc w:val="both"/>
                  </w:pPr>
                  <w:sdt>
                    <w:sdtPr>
                      <w:alias w:val="Numeris"/>
                      <w:tag w:val="nr_6f35b72134c04d858ea896d2ef867555"/>
                      <w:lock w:val="sdtLocked"/>
                      <w:richText/>
                    </w:sdtPr>
                    <w:sdtContent>
                      <w:r>
                        <w:rPr>
                          <w:szCs w:val="24"/>
                          <w:lang w:eastAsia="lt-LT"/>
                        </w:rPr>
                        <w:t>2</w:t>
                      </w:r>
                    </w:sdtContent>
                  </w:sdt>
                  <w:r>
                    <w:rPr>
                      <w:szCs w:val="24"/>
                      <w:lang w:eastAsia="lt-LT"/>
                    </w:rPr>
                    <w:t xml:space="preserve">. </w:t>
                  </w:r>
                  <w:r>
                    <w:rPr>
                      <w:lang w:eastAsia="lt-LT"/>
                    </w:rPr>
                    <w:t xml:space="preserve">Šių Taisyklių reikalavimai taikomi statybos dalyviams, statybinių atliekų turėtojams, statybinių atliekų tvarkytojams, viešojo administravimo subjektams, taip pat kitiems juridiniams ir fiziniams asmenims, kurių veiklos principus statybos srityje nustato Lietuvos Respublikos </w:t>
                  </w:r>
                  <w:r>
                    <w:rPr>
                      <w:iCs/>
                      <w:color w:val="000000"/>
                      <w:lang w:eastAsia="lt-LT"/>
                    </w:rPr>
                    <w:t>statybos įstatymas</w:t>
                  </w:r>
                  <w:r>
                    <w:rPr>
                      <w:lang w:eastAsia="lt-LT"/>
                    </w:rPr>
                    <w:t xml:space="preserve"> ir Lietuvos Respublikos </w:t>
                  </w:r>
                  <w:r>
                    <w:rPr>
                      <w:iCs/>
                      <w:color w:val="000000"/>
                      <w:lang w:eastAsia="lt-LT"/>
                    </w:rPr>
                    <w:t>atliekų tvarkymo įstatymas</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6dbd02f5c11e4a83cb4f588d2ac1a">
                    <w:r w:rsidRPr="00532B9F">
                      <w:rPr>
                        <w:rFonts w:ascii="Times New Roman" w:eastAsia="MS Mincho" w:hAnsi="Times New Roman"/>
                        <w:sz w:val="20"/>
                        <w:i/>
                        <w:iCs/>
                        <w:color w:val="0000FF" w:themeColor="hyperlink"/>
                        <w:u w:val="single"/>
                      </w:rPr>
                      <w:t>D1-698</w:t>
                    </w:r>
                  </w:fldSimple>
                  <w:r>
                    <w:rPr>
                      <w:rFonts w:ascii="Times New Roman" w:eastAsia="MS Mincho" w:hAnsi="Times New Roman"/>
                      <w:sz w:val="20"/>
                      <w:i/>
                      <w:iCs/>
                    </w:rPr>
                    <w:t>,
2014-08-28,
paskelbta TAR 2014-08-29, i. k. 2014-11431            </w:t>
                  </w:r>
                </w:p>
                <w:p/>
              </w:sdtContent>
            </w:sdt>
            <w:sdt>
              <w:sdtPr>
                <w:alias w:val="3 p."/>
                <w:tag w:val="part_17b0f79cb658401c920cc39ecd9e91ee"/>
                <w:lock w:val="sdtLocked"/>
                <w:richText/>
              </w:sdtPr>
              <w:sdtContent>
                <w:p>
                  <w:pPr>
                    <w:tabs>
                      <w:tab w:val="left" w:pos="993"/>
                    </w:tabs>
                    <w:ind w:firstLine="709"/>
                    <w:jc w:val="both"/>
                    <w:rPr>
                      <w:rFonts w:eastAsia="Calibri"/>
                      <w:szCs w:val="24"/>
                      <w:lang w:eastAsia="lt-LT"/>
                    </w:rPr>
                  </w:pPr>
                  <w:sdt>
                    <w:sdtPr>
                      <w:alias w:val="Numeris"/>
                      <w:tag w:val="nr_17b0f79cb658401c920cc39ecd9e91ee"/>
                      <w:lock w:val="sdtLocked"/>
                      <w:richText/>
                    </w:sdtPr>
                    <w:sdtContent>
                      <w:r>
                        <w:rPr>
                          <w:rFonts w:eastAsia="Calibri"/>
                          <w:szCs w:val="24"/>
                          <w:lang w:eastAsia="lt-LT"/>
                        </w:rPr>
                        <w:t>3</w:t>
                      </w:r>
                    </w:sdtContent>
                  </w:sdt>
                  <w:r>
                    <w:rPr>
                      <w:rFonts w:eastAsia="Calibri"/>
                      <w:szCs w:val="24"/>
                      <w:lang w:eastAsia="lt-LT"/>
                    </w:rPr>
                    <w:t>. Taisyklėse vartojamos sąvokos: </w:t>
                  </w:r>
                </w:p>
                <w:sdt>
                  <w:sdtPr>
                    <w:alias w:val="3.1 pp."/>
                    <w:tag w:val="part_4de912041dc540d390a7837a1d2570a3"/>
                    <w:lock w:val="sdtLocked"/>
                    <w:richText/>
                  </w:sdtPr>
                  <w:sdtContent>
                    <w:p>
                      <w:pPr>
                        <w:tabs>
                          <w:tab w:val="left" w:pos="993"/>
                        </w:tabs>
                        <w:ind w:firstLine="709"/>
                        <w:jc w:val="both"/>
                        <w:rPr>
                          <w:rFonts w:eastAsia="Calibri"/>
                          <w:szCs w:val="24"/>
                          <w:lang w:eastAsia="lt-LT"/>
                        </w:rPr>
                      </w:pPr>
                      <w:sdt>
                        <w:sdtPr>
                          <w:alias w:val="Numeris"/>
                          <w:tag w:val="nr_4de912041dc540d390a7837a1d2570a3"/>
                          <w:lock w:val="sdtLocked"/>
                          <w:richText/>
                        </w:sdtPr>
                        <w:sdtContent>
                          <w:r>
                            <w:rPr>
                              <w:rFonts w:eastAsia="Calibri"/>
                              <w:szCs w:val="24"/>
                              <w:lang w:eastAsia="lt-LT"/>
                            </w:rPr>
                            <w:t>3.1</w:t>
                          </w:r>
                        </w:sdtContent>
                      </w:sdt>
                      <w:r>
                        <w:rPr>
                          <w:rFonts w:eastAsia="Calibri"/>
                          <w:szCs w:val="24"/>
                          <w:lang w:eastAsia="lt-LT"/>
                        </w:rPr>
                        <w:t>. </w:t>
                      </w:r>
                      <w:r>
                        <w:rPr>
                          <w:rFonts w:eastAsia="Calibri"/>
                          <w:b/>
                          <w:bCs/>
                          <w:szCs w:val="24"/>
                          <w:lang w:eastAsia="lt-LT"/>
                        </w:rPr>
                        <w:t>neapdorotos statybinės atliekos</w:t>
                      </w:r>
                      <w:r>
                        <w:rPr>
                          <w:rFonts w:eastAsia="Calibri"/>
                          <w:szCs w:val="24"/>
                          <w:lang w:eastAsia="lt-LT"/>
                        </w:rPr>
                        <w:t> – statant, rekonstruojant, remontuojant ir (ar) griaunant statinį susidariusios statybinės atliekos, kurios nėra apdorotos atliekų tvarkymo įrenginiais; </w:t>
                      </w:r>
                    </w:p>
                  </w:sdtContent>
                </w:sdt>
                <w:sdt>
                  <w:sdtPr>
                    <w:alias w:val="3.2 pp."/>
                    <w:tag w:val="part_214c27559d67479b9af3e61fdfdc95fc"/>
                    <w:lock w:val="sdtLocked"/>
                    <w:richText/>
                  </w:sdtPr>
                  <w:sdtContent>
                    <w:p>
                      <w:pPr>
                        <w:tabs>
                          <w:tab w:val="left" w:pos="993"/>
                        </w:tabs>
                        <w:ind w:firstLine="709"/>
                        <w:jc w:val="both"/>
                        <w:rPr>
                          <w:rFonts w:eastAsia="Calibri"/>
                          <w:szCs w:val="24"/>
                          <w:lang w:eastAsia="lt-LT"/>
                        </w:rPr>
                      </w:pPr>
                      <w:sdt>
                        <w:sdtPr>
                          <w:alias w:val="Numeris"/>
                          <w:tag w:val="nr_214c27559d67479b9af3e61fdfdc95fc"/>
                          <w:lock w:val="sdtLocked"/>
                          <w:richText/>
                        </w:sdtPr>
                        <w:sdtContent>
                          <w:r>
                            <w:rPr>
                              <w:rFonts w:eastAsia="Calibri"/>
                              <w:szCs w:val="24"/>
                              <w:lang w:eastAsia="lt-LT"/>
                            </w:rPr>
                            <w:t>3.2</w:t>
                          </w:r>
                        </w:sdtContent>
                      </w:sdt>
                      <w:r>
                        <w:rPr>
                          <w:rFonts w:eastAsia="Calibri"/>
                          <w:szCs w:val="24"/>
                          <w:lang w:eastAsia="lt-LT"/>
                        </w:rPr>
                        <w:t>. statybos, statybinių atliekų, statinio projekto, statybos ūkio būdu, statybvietės sąvokos suprantamos taip, kaip jos apibrėžtos Lietuvos Respublikos statybos įstatyme; </w:t>
                      </w:r>
                    </w:p>
                  </w:sdtContent>
                </w:sdt>
                <w:sdt>
                  <w:sdtPr>
                    <w:alias w:val="3.3 pp."/>
                    <w:tag w:val="part_027130b0b05345ed9103b44bf2db9f9b"/>
                    <w:lock w:val="sdtLocked"/>
                    <w:richText/>
                  </w:sdtPr>
                  <w:sdtContent>
                    <w:p>
                      <w:pPr>
                        <w:tabs>
                          <w:tab w:val="left" w:pos="993"/>
                        </w:tabs>
                        <w:ind w:firstLine="709"/>
                        <w:jc w:val="both"/>
                        <w:textAlignment w:val="baseline"/>
                        <w:rPr>
                          <w:rFonts w:eastAsia="Calibri"/>
                          <w:szCs w:val="24"/>
                          <w:lang w:eastAsia="lt-LT"/>
                        </w:rPr>
                      </w:pPr>
                      <w:sdt>
                        <w:sdtPr>
                          <w:alias w:val="Numeris"/>
                          <w:tag w:val="nr_027130b0b05345ed9103b44bf2db9f9b"/>
                          <w:lock w:val="sdtLocked"/>
                          <w:richText/>
                        </w:sdtPr>
                        <w:sdtContent>
                          <w:r>
                            <w:rPr>
                              <w:rFonts w:eastAsia="Calibri"/>
                              <w:szCs w:val="24"/>
                            </w:rPr>
                            <w:t>3.3</w:t>
                          </w:r>
                        </w:sdtContent>
                      </w:sdt>
                      <w:r>
                        <w:rPr>
                          <w:rFonts w:eastAsia="Calibri"/>
                          <w:szCs w:val="24"/>
                        </w:rPr>
                        <w:t>. vidinės gamybos kontrolės sąvoka suprantama taip, kaip ji apibrėžta 2011 m. kovo 9 d. Europos Parlamento ir Tarybos reglamente (ES) Nr. 305/2011, kuriuo nustatomos suderintos statybos produktų rinkodaros sąlygos ir panaikinama Tarybos direktyva 89/106/EEB,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ad371114211f08e9f87c0d053bf09">
                        <w:r w:rsidRPr="00532B9F">
                          <w:rPr>
                            <w:rFonts w:ascii="Times New Roman" w:eastAsia="MS Mincho" w:hAnsi="Times New Roman"/>
                            <w:sz w:val="20"/>
                            <w:i/>
                            <w:iCs/>
                            <w:color w:val="0000FF" w:themeColor="hyperlink"/>
                            <w:u w:val="single"/>
                          </w:rPr>
                          <w:t>D1-43</w:t>
                        </w:r>
                      </w:fldSimple>
                      <w:r>
                        <w:rPr>
                          <w:rFonts w:ascii="Times New Roman" w:eastAsia="MS Mincho" w:hAnsi="Times New Roman"/>
                          <w:sz w:val="20"/>
                          <w:i/>
                          <w:iCs/>
                        </w:rPr>
                        <w:t>,
2025-04-04,
paskelbta TAR 2025-04-04, i. k. 2025-05980            </w:t>
                      </w:r>
                    </w:p>
                    <w:p/>
                  </w:sdtContent>
                </w:sdt>
                <w:sdt>
                  <w:sdtPr>
                    <w:alias w:val="3.4 pp."/>
                    <w:tag w:val="part_4c59502f70244c159d01af854e1c586b"/>
                    <w:lock w:val="sdtLocked"/>
                    <w:richText/>
                  </w:sdtPr>
                  <w:sdtContent>
                    <w:p>
                      <w:pPr>
                        <w:tabs>
                          <w:tab w:val="left" w:pos="993"/>
                        </w:tabs>
                        <w:ind w:firstLine="709"/>
                        <w:jc w:val="both"/>
                        <w:rPr>
                          <w:rFonts w:eastAsia="Calibri"/>
                          <w:szCs w:val="24"/>
                          <w:lang w:eastAsia="lt-LT"/>
                        </w:rPr>
                      </w:pPr>
                      <w:sdt>
                        <w:sdtPr>
                          <w:alias w:val="Numeris"/>
                          <w:tag w:val="nr_4c59502f70244c159d01af854e1c586b"/>
                          <w:lock w:val="sdtLocked"/>
                          <w:richText/>
                        </w:sdtPr>
                        <w:sdtContent>
                          <w:r>
                            <w:rPr>
                              <w:rFonts w:eastAsia="Calibri"/>
                              <w:szCs w:val="24"/>
                              <w:lang w:eastAsia="lt-LT"/>
                            </w:rPr>
                            <w:t>3.4</w:t>
                          </w:r>
                        </w:sdtContent>
                      </w:sdt>
                      <w:r>
                        <w:rPr>
                          <w:rFonts w:eastAsia="Calibri"/>
                          <w:szCs w:val="24"/>
                          <w:lang w:eastAsia="lt-LT"/>
                        </w:rPr>
                        <w:t>. atliekų, atliekų tvarkytojo, atliekų surinkimo, naudojimo, perdirbimo, atliekų šalinimo, atliekų tvarkymo, atliekų susidarymo vietos, inertinių atliekų, sąvartyno sąvokos suprantamos taip, kaip jos apibrėžtos Lietuvos Respublikos atliekų tvarkymo įstatyme ir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w:t>
                      </w:r>
                    </w:p>
                  </w:sdtContent>
                </w:sdt>
                <w:sdt>
                  <w:sdtPr>
                    <w:alias w:val="3.5 pp."/>
                    <w:tag w:val="part_253c1f25607041c9a293334b1094e338"/>
                    <w:lock w:val="sdtLocked"/>
                    <w:richText/>
                  </w:sdtPr>
                  <w:sdtContent>
                    <w:p>
                      <w:pPr>
                        <w:tabs>
                          <w:tab w:val="left" w:pos="993"/>
                        </w:tabs>
                        <w:ind w:firstLine="709"/>
                        <w:jc w:val="both"/>
                      </w:pPr>
                      <w:sdt>
                        <w:sdtPr>
                          <w:alias w:val="Numeris"/>
                          <w:tag w:val="nr_253c1f25607041c9a293334b1094e338"/>
                          <w:lock w:val="sdtLocked"/>
                          <w:richText/>
                        </w:sdtPr>
                        <w:sdtContent>
                          <w:r>
                            <w:rPr>
                              <w:rFonts w:eastAsia="Calibri"/>
                              <w:szCs w:val="24"/>
                              <w:lang w:eastAsia="lt-LT"/>
                            </w:rPr>
                            <w:t>3.5</w:t>
                          </w:r>
                        </w:sdtContent>
                      </w:sdt>
                      <w:r>
                        <w:rPr>
                          <w:rFonts w:eastAsia="Calibri"/>
                          <w:szCs w:val="24"/>
                          <w:lang w:eastAsia="lt-LT"/>
                        </w:rPr>
                        <w:t>. putų plokštės, sluoksniuotosios plokštės sąvokos suprantamos taip, kaip jos apibrėžtos 2024 m. vasario 7 d. Europos Parlamento ir Tarybos reglamente (ES)</w:t>
                      </w:r>
                      <w:r>
                        <w:rPr>
                          <w:rFonts w:ascii="Calibri" w:eastAsia="Calibri" w:hAnsi="Calibri"/>
                          <w:sz w:val="22"/>
                          <w:szCs w:val="22"/>
                        </w:rPr>
                        <w:t> </w:t>
                      </w:r>
                      <w:r>
                        <w:rPr>
                          <w:rFonts w:eastAsia="Calibri"/>
                          <w:szCs w:val="24"/>
                          <w:lang w:eastAsia="lt-LT"/>
                        </w:rPr>
                        <w:t>2024/590 dėl ozono sluoksnį ardančių medžiagų, kuriuo panaikinamas Reglamentas (EB)</w:t>
                      </w:r>
                      <w:r>
                        <w:rPr>
                          <w:rFonts w:ascii="Calibri" w:eastAsia="Calibri" w:hAnsi="Calibri"/>
                          <w:sz w:val="22"/>
                          <w:szCs w:val="22"/>
                        </w:rPr>
                        <w:t> </w:t>
                      </w:r>
                      <w:r>
                        <w:rPr>
                          <w:rFonts w:eastAsia="Calibri"/>
                          <w:szCs w:val="24"/>
                          <w:lang w:eastAsia="lt-LT"/>
                        </w:rPr>
                        <w:t>Nr. 1005/2009, ir 2024</w:t>
                      </w:r>
                      <w:r>
                        <w:rPr>
                          <w:rFonts w:ascii="Calibri" w:eastAsia="Calibri" w:hAnsi="Calibri"/>
                          <w:sz w:val="22"/>
                          <w:szCs w:val="22"/>
                        </w:rPr>
                        <w:t> </w:t>
                      </w:r>
                      <w:r>
                        <w:rPr>
                          <w:rFonts w:eastAsia="Calibri"/>
                          <w:szCs w:val="24"/>
                          <w:lang w:eastAsia="lt-LT"/>
                        </w:rPr>
                        <w:t>m.</w:t>
                      </w:r>
                      <w:r>
                        <w:rPr>
                          <w:rFonts w:ascii="Calibri" w:eastAsia="Calibri" w:hAnsi="Calibri"/>
                          <w:sz w:val="22"/>
                          <w:szCs w:val="22"/>
                        </w:rPr>
                        <w:t> </w:t>
                      </w:r>
                      <w:r>
                        <w:rPr>
                          <w:rFonts w:eastAsia="Calibri"/>
                          <w:szCs w:val="24"/>
                          <w:lang w:eastAsia="lt-LT"/>
                        </w:rPr>
                        <w:t>vasario 7 d. Europos Parlamento ir Tarybos reglamente (ES)</w:t>
                      </w:r>
                      <w:r>
                        <w:rPr>
                          <w:rFonts w:ascii="Calibri" w:eastAsia="Calibri" w:hAnsi="Calibri"/>
                          <w:sz w:val="22"/>
                          <w:szCs w:val="22"/>
                        </w:rPr>
                        <w:t> </w:t>
                      </w:r>
                      <w:r>
                        <w:rPr>
                          <w:rFonts w:eastAsia="Calibri"/>
                          <w:szCs w:val="24"/>
                          <w:lang w:eastAsia="lt-LT"/>
                        </w:rPr>
                        <w:t>2024/573 dėl fluorintų šiltnamio efektą sukeliančių dujų, kuriuo iš dalies keičiama Direktyva (ES) 2019/1937 ir panaikinamas Reglamentas (ES) Nr. 517/2014.</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f9d160861711efabdbb4a1fc8b0b63">
                    <w:r w:rsidRPr="00532B9F">
                      <w:rPr>
                        <w:rFonts w:ascii="Times New Roman" w:eastAsia="MS Mincho" w:hAnsi="Times New Roman"/>
                        <w:sz w:val="20"/>
                        <w:i/>
                        <w:iCs/>
                        <w:color w:val="0000FF" w:themeColor="hyperlink"/>
                        <w:u w:val="single"/>
                      </w:rPr>
                      <w:t>D1-334</w:t>
                    </w:r>
                  </w:fldSimple>
                  <w:r>
                    <w:rPr>
                      <w:rFonts w:ascii="Times New Roman" w:eastAsia="MS Mincho" w:hAnsi="Times New Roman"/>
                      <w:sz w:val="20"/>
                      <w:i/>
                      <w:iCs/>
                    </w:rPr>
                    <w:t>,
2024-10-09,
paskelbta TAR 2024-10-09, i. k. 2024-17701            </w:t>
                  </w:r>
                </w:p>
                <w:p/>
              </w:sdtContent>
            </w:sdt>
            <w:sdt>
              <w:sdtPr>
                <w:alias w:val="3-1 p."/>
                <w:tag w:val="part_34624a24586d49f3b0c93b761e15d179"/>
                <w:lock w:val="sdtLocked"/>
                <w:richText/>
              </w:sdtPr>
              <w:sdtContent>
                <w:p>
                  <w:pPr>
                    <w:tabs>
                      <w:tab w:val="left" w:pos="993"/>
                    </w:tabs>
                    <w:suppressAutoHyphens/>
                    <w:ind w:firstLine="709"/>
                    <w:jc w:val="both"/>
                  </w:pPr>
                  <w:sdt>
                    <w:sdtPr>
                      <w:alias w:val="Numeris"/>
                      <w:tag w:val="nr_34624a24586d49f3b0c93b761e15d179"/>
                      <w:lock w:val="sdtLocked"/>
                      <w:richText/>
                    </w:sdtPr>
                    <w:sdtContent>
                      <w:r>
                        <w:rPr>
                          <w:lang w:eastAsia="lt-LT"/>
                        </w:rPr>
                        <w:t>3</w:t>
                      </w:r>
                      <w:r>
                        <w:rPr>
                          <w:vertAlign w:val="superscript"/>
                          <w:lang w:eastAsia="lt-LT"/>
                        </w:rPr>
                        <w:t>1</w:t>
                      </w:r>
                    </w:sdtContent>
                  </w:sdt>
                  <w:r>
                    <w:rPr>
                      <w:color w:val="2B579A"/>
                      <w:lang w:eastAsia="lt-LT"/>
                    </w:rPr>
                    <w:t xml:space="preserve">. </w:t>
                  </w:r>
                  <w:r>
                    <w:rPr>
                      <w:lang w:eastAsia="lt-LT"/>
                    </w:rPr>
                    <w:t xml:space="preserve">Atliekomis nelaikomos statybos metu gautos medžiagos, priskiriamos šalutiniams produktams pagal </w:t>
                  </w:r>
                  <w:r>
                    <w:rPr>
                      <w:lang w:eastAsia="zh-CN"/>
                    </w:rPr>
                    <w:t xml:space="preserve">Gamybos liekanų priskyrimo prie šalutinių produktų tvarkos aprašą, patvirtintą 2012 m. Lietuvos Respublikos </w:t>
                  </w:r>
                  <w:r>
                    <w:rPr>
                      <w:color w:val="000000"/>
                      <w:lang w:eastAsia="zh-CN"/>
                    </w:rPr>
                    <w:t>aplinkos ministro ir Lietuvos Respublikos ūkio ministro įsakymu Nr. D1-46/4-63 „Dėl Gamybos liekanų priskyrimo prie šalutinių produktų tvarkos aprašo patvirtinimo</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005b0ea7511ee9f5b8ffa077f9188">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2024-03-25,
paskelbta TAR 2024-03-25, i. k. 2024-05293        </w:t>
                  </w:r>
                </w:p>
                <w:p/>
              </w:sdtContent>
            </w:sdt>
          </w:sdtContent>
        </w:sdt>
        <w:sdt>
          <w:sdtPr>
            <w:alias w:val="skyrius"/>
            <w:tag w:val="part_0551d67488f048e2ac3d953fa7f37f33"/>
            <w:lock w:val="sdtLocked"/>
            <w:richText/>
          </w:sdtPr>
          <w:sdtContent>
            <w:p>
              <w:pPr>
                <w:widowControl w:val="0"/>
                <w:shd w:val="clear" w:color="auto" w:fill="FFFFFF"/>
                <w:jc w:val="center"/>
                <w:rPr>
                  <w:b/>
                  <w:bCs/>
                </w:rPr>
              </w:pPr>
              <w:sdt>
                <w:sdtPr>
                  <w:alias w:val="Numeris"/>
                  <w:tag w:val="nr_0551d67488f048e2ac3d953fa7f37f33"/>
                  <w:lock w:val="sdtLocked"/>
                  <w:richText/>
                </w:sdtPr>
                <w:sdtContent>
                  <w:r>
                    <w:rPr>
                      <w:b/>
                      <w:bCs/>
                    </w:rPr>
                    <w:t>II</w:t>
                  </w:r>
                </w:sdtContent>
              </w:sdt>
              <w:r>
                <w:rPr>
                  <w:b/>
                  <w:bCs/>
                </w:rPr>
                <w:t xml:space="preserve"> SKYRIUS</w:t>
              </w:r>
            </w:p>
            <w:p>
              <w:pPr>
                <w:widowControl w:val="0"/>
                <w:shd w:val="clear" w:color="auto" w:fill="FFFFFF"/>
                <w:jc w:val="center"/>
              </w:pPr>
              <w:sdt>
                <w:sdtPr>
                  <w:alias w:val="Pavadinimas"/>
                  <w:tag w:val="title_0551d67488f048e2ac3d953fa7f37f33"/>
                  <w:lock w:val="sdtLocked"/>
                  <w:richText/>
                </w:sdtPr>
                <w:sdtContent>
                  <w:r>
                    <w:rPr>
                      <w:b/>
                      <w:bCs/>
                    </w:rPr>
                    <w:t xml:space="preserve">STATYBINIŲ ATLIEKŲ SUSIDARYMO IR TVARKYMO PLANAVIMAS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005b0ea7511ee9f5b8ffa077f9188">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2024-03-25,
paskelbta TAR 2024-03-25, i. k. 2024-05293        </w:t>
              </w:r>
            </w:p>
            <w:p/>
            <w:sdt>
              <w:sdtPr>
                <w:alias w:val="4 p."/>
                <w:tag w:val="part_17dcf2068bd64d3da802ebb98843983e"/>
                <w:lock w:val="sdtLocked"/>
                <w:richText/>
              </w:sdtPr>
              <w:sdtContent>
                <w:p>
                  <w:pPr>
                    <w:widowControl w:val="0"/>
                    <w:ind w:firstLine="709"/>
                    <w:jc w:val="both"/>
                  </w:pPr>
                  <w:sdt>
                    <w:sdtPr>
                      <w:alias w:val="Numeris"/>
                      <w:tag w:val="nr_17dcf2068bd64d3da802ebb98843983e"/>
                      <w:lock w:val="sdtLocked"/>
                      <w:richText/>
                    </w:sdtPr>
                    <w:sdtContent>
                      <w:r>
                        <w:rPr>
                          <w:rFonts w:eastAsia="Calibri"/>
                          <w:bCs/>
                          <w:szCs w:val="24"/>
                          <w:lang w:eastAsia="lt-LT"/>
                        </w:rPr>
                        <w:t>4</w:t>
                      </w:r>
                    </w:sdtContent>
                  </w:sdt>
                  <w:r>
                    <w:rPr>
                      <w:rFonts w:eastAsia="Calibri"/>
                      <w:bCs/>
                      <w:szCs w:val="24"/>
                      <w:lang w:eastAsia="lt-LT"/>
                    </w:rPr>
                    <w:t>. Rengiant Statybos įstatyme nustatytais atvejais</w:t>
                  </w:r>
                  <w:r>
                    <w:rPr>
                      <w:rFonts w:eastAsia="Calibri"/>
                      <w:b/>
                      <w:szCs w:val="24"/>
                      <w:lang w:eastAsia="lt-LT"/>
                    </w:rPr>
                    <w:t xml:space="preserve"> </w:t>
                  </w:r>
                  <w:r>
                    <w:rPr>
                      <w:rFonts w:eastAsia="Calibri"/>
                      <w:bCs/>
                      <w:szCs w:val="24"/>
                      <w:lang w:eastAsia="lt-LT"/>
                    </w:rPr>
                    <w:t xml:space="preserve">statinio </w:t>
                  </w:r>
                  <w:r>
                    <w:rPr>
                      <w:rFonts w:eastAsia="Calibri"/>
                      <w:szCs w:val="24"/>
                      <w:lang w:eastAsia="lt-LT"/>
                    </w:rPr>
                    <w:t>projektą, jame</w:t>
                  </w:r>
                  <w:r>
                    <w:rPr>
                      <w:rFonts w:eastAsia="Calibri"/>
                      <w:b/>
                      <w:bCs/>
                      <w:szCs w:val="24"/>
                      <w:lang w:eastAsia="lt-LT"/>
                    </w:rPr>
                    <w:t xml:space="preserve"> </w:t>
                  </w:r>
                  <w:r>
                    <w:rPr>
                      <w:rFonts w:eastAsia="Calibri"/>
                      <w:bCs/>
                      <w:szCs w:val="24"/>
                      <w:lang w:eastAsia="lt-LT"/>
                    </w:rPr>
                    <w:t>turi būti numatyta: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bb69199fe11f0a8bbd1e98310677d">
                    <w:r w:rsidRPr="00532B9F">
                      <w:rPr>
                        <w:rFonts w:ascii="Times New Roman" w:eastAsia="MS Mincho" w:hAnsi="Times New Roman"/>
                        <w:sz w:val="20"/>
                        <w:i/>
                        <w:iCs/>
                        <w:color w:val="0000FF" w:themeColor="hyperlink"/>
                        <w:u w:val="single"/>
                      </w:rPr>
                      <w:t>D1-143</w:t>
                    </w:r>
                  </w:fldSimple>
                  <w:r>
                    <w:rPr>
                      <w:rFonts w:ascii="Times New Roman" w:eastAsia="MS Mincho" w:hAnsi="Times New Roman"/>
                      <w:sz w:val="20"/>
                      <w:i/>
                      <w:iCs/>
                    </w:rPr>
                    <w:t>,
2025-09-25,
paskelbta TAR 2025-09-25, i. k. 2025-16004            </w:t>
                  </w:r>
                </w:p>
                <w:sdt>
                  <w:sdtPr>
                    <w:alias w:val="4.1 p."/>
                    <w:tag w:val="part_a9eee3709b3f49e5933b19ec6fe727f1"/>
                    <w:lock w:val="sdtLocked"/>
                    <w:richText/>
                  </w:sdtPr>
                  <w:sdtContent>
                    <w:p>
                      <w:pPr>
                        <w:widowControl w:val="0"/>
                        <w:ind w:firstLine="709"/>
                        <w:jc w:val="both"/>
                      </w:pPr>
                      <w:sdt>
                        <w:sdtPr>
                          <w:alias w:val="Numeris"/>
                          <w:tag w:val="nr_a9eee3709b3f49e5933b19ec6fe727f1"/>
                          <w:lock w:val="sdtLocked"/>
                          <w:richText/>
                        </w:sdtPr>
                        <w:sdtContent>
                          <w:r>
                            <w:t>4.1</w:t>
                          </w:r>
                        </w:sdtContent>
                      </w:sdt>
                      <w:r>
                        <w:t xml:space="preserve">. </w:t>
                      </w:r>
                      <w:r>
                        <w:rPr>
                          <w:lang w:eastAsia="lt-LT"/>
                        </w:rPr>
                        <w:t xml:space="preserve">planuojamas statybinių atliekų kiekis (svorio vienetais) pagal atskiras statybinių atliekų rūšis, kaip nustatyta Atliekų tvarkymo taisyklėse, patvirtintose Lietuvos Respublikos aplinkos ministro 1999 m. liepos 14 d. įsakymu </w:t>
                      </w:r>
                      <w:r>
                        <w:rPr>
                          <w:iCs/>
                          <w:color w:val="000000"/>
                          <w:lang w:eastAsia="lt-LT"/>
                        </w:rPr>
                        <w:t>Nr. 217</w:t>
                      </w:r>
                      <w:r>
                        <w:rPr>
                          <w:lang w:eastAsia="lt-LT"/>
                        </w:rPr>
                        <w:t xml:space="preserve"> „Dėl Atliekų tvarkymo taisyklių patvirtinimo“ (toliau − Atliekų tvarkymo taisyklės</w:t>
                      </w:r>
                      <w:r>
                        <w:t>);</w:t>
                      </w:r>
                    </w:p>
                  </w:sdtContent>
                </w:sdt>
                <w:sdt>
                  <w:sdtPr>
                    <w:alias w:val="4.2 p."/>
                    <w:tag w:val="part_b2bb5d8754414148b55a05036e2407d8"/>
                    <w:lock w:val="sdtLocked"/>
                    <w:richText/>
                  </w:sdtPr>
                  <w:sdtContent>
                    <w:p>
                      <w:pPr>
                        <w:widowControl w:val="0"/>
                        <w:ind w:firstLine="709"/>
                        <w:jc w:val="both"/>
                      </w:pPr>
                      <w:sdt>
                        <w:sdtPr>
                          <w:alias w:val="Numeris"/>
                          <w:tag w:val="nr_b2bb5d8754414148b55a05036e2407d8"/>
                          <w:lock w:val="sdtLocked"/>
                          <w:richText/>
                        </w:sdtPr>
                        <w:sdtContent>
                          <w:r>
                            <w:t>4.2</w:t>
                          </w:r>
                        </w:sdtContent>
                      </w:sdt>
                      <w:r>
                        <w:t>. planuojami susidarysiančių statybinių atliekų pagal atskiras statybinių atliekų rūšis tvarkymo būdai, neapdorotų statybinių atliekų sunaudojimo būdai.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6dbd02f5c11e4a83cb4f588d2ac1a">
                    <w:r w:rsidRPr="00532B9F">
                      <w:rPr>
                        <w:rFonts w:ascii="Times New Roman" w:eastAsia="MS Mincho" w:hAnsi="Times New Roman"/>
                        <w:sz w:val="20"/>
                        <w:i/>
                        <w:iCs/>
                        <w:color w:val="0000FF" w:themeColor="hyperlink"/>
                        <w:u w:val="single"/>
                      </w:rPr>
                      <w:t>D1-698</w:t>
                    </w:r>
                  </w:fldSimple>
                  <w:r>
                    <w:rPr>
                      <w:rFonts w:ascii="Times New Roman" w:eastAsia="MS Mincho" w:hAnsi="Times New Roman"/>
                      <w:sz w:val="20"/>
                      <w:i/>
                      <w:iCs/>
                    </w:rPr>
                    <w:t>,
2014-08-28,
paskelbta TAR 2014-08-29, i. k. 2014-11431            </w:t>
                  </w:r>
                </w:p>
                <w:p/>
              </w:sdtContent>
            </w:sdt>
            <w:sdt>
              <w:sdtPr>
                <w:alias w:val="5 p."/>
                <w:tag w:val="part_24fcf36664864aceb0b08c714c39d94a"/>
                <w:lock w:val="sdtLocked"/>
                <w:richText/>
              </w:sdtPr>
              <w:sdtContent>
                <w:p>
                  <w:pPr>
                    <w:widowControl w:val="0"/>
                    <w:ind w:firstLine="709"/>
                    <w:jc w:val="both"/>
                  </w:pPr>
                  <w:sdt>
                    <w:sdtPr>
                      <w:alias w:val="Numeris"/>
                      <w:tag w:val="nr_24fcf36664864aceb0b08c714c39d94a"/>
                      <w:lock w:val="sdtLocked"/>
                      <w:richText/>
                    </w:sdtPr>
                    <w:sdtContent>
                      <w:r>
                        <w:rPr>
                          <w:rFonts w:eastAsia="Calibri"/>
                          <w:bCs/>
                          <w:szCs w:val="24"/>
                          <w:lang w:eastAsia="lt-LT"/>
                        </w:rPr>
                        <w:t>5</w:t>
                      </w:r>
                    </w:sdtContent>
                  </w:sdt>
                  <w:r>
                    <w:rPr>
                      <w:rFonts w:eastAsia="Calibri"/>
                      <w:bCs/>
                      <w:szCs w:val="24"/>
                      <w:lang w:eastAsia="lt-LT"/>
                    </w:rPr>
                    <w:t>. Jei statybvietėje planuojama statybines atliekas smulkinti mobilia įranga, be informacijos, nurodytos Taisyklių 4.1 ir 4.2 papunkčiuose, prie Taisyklių 4 punkte nurodytų dokumentų turi būti pateikiama: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005b0ea7511ee9f5b8ffa077f9188">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2024-03-25,
paskelbta TAR 2024-03-25, i. k. 2024-05293            </w:t>
                  </w:r>
                </w:p>
                <w:sdt>
                  <w:sdtPr>
                    <w:alias w:val="5.1 p."/>
                    <w:tag w:val="part_83c046916f3b42268f3c21253b0fa4d7"/>
                    <w:lock w:val="sdtLocked"/>
                    <w:richText/>
                  </w:sdtPr>
                  <w:sdtContent>
                    <w:p>
                      <w:pPr>
                        <w:widowControl w:val="0"/>
                        <w:shd w:val="clear" w:color="auto" w:fill="FFFFFF"/>
                        <w:ind w:firstLine="709"/>
                        <w:jc w:val="both"/>
                      </w:pPr>
                      <w:sdt>
                        <w:sdtPr>
                          <w:alias w:val="Numeris"/>
                          <w:tag w:val="nr_83c046916f3b42268f3c21253b0fa4d7"/>
                          <w:lock w:val="sdtLocked"/>
                          <w:richText/>
                        </w:sdtPr>
                        <w:sdtContent>
                          <w:r>
                            <w:t>5.1</w:t>
                          </w:r>
                        </w:sdtContent>
                      </w:sdt>
                      <w:r>
                        <w:t>. planuojamų smulkinti statybinių atliekų prognozuojamas kiekis (svorio vienetais) ir numatomi susmulkintų statybinių atliekų sunaudojimo būdai ir vietos;</w:t>
                      </w:r>
                    </w:p>
                  </w:sdtContent>
                </w:sdt>
                <w:sdt>
                  <w:sdtPr>
                    <w:alias w:val="5.2 p."/>
                    <w:tag w:val="part_1a30797203ab46e497fe36c9c0d1423c"/>
                    <w:lock w:val="sdtLocked"/>
                    <w:richText/>
                  </w:sdtPr>
                  <w:sdtContent>
                    <w:p>
                      <w:pPr>
                        <w:widowControl w:val="0"/>
                        <w:shd w:val="clear" w:color="auto" w:fill="FFFFFF"/>
                        <w:ind w:firstLine="709"/>
                        <w:jc w:val="both"/>
                      </w:pPr>
                      <w:sdt>
                        <w:sdtPr>
                          <w:alias w:val="Numeris"/>
                          <w:tag w:val="nr_1a30797203ab46e497fe36c9c0d1423c"/>
                          <w:lock w:val="sdtLocked"/>
                          <w:richText/>
                        </w:sdtPr>
                        <w:sdtContent>
                          <w:r>
                            <w:t>5.2</w:t>
                          </w:r>
                        </w:sdtContent>
                      </w:sdt>
                      <w:r>
                        <w:t>. trumpas statybinių atliekų smulkinimo technologinio proceso aprašymas, nurodant neigiamo poveikio aplinkai ir (ar) žmonių sveikatai mažinimo priemones;</w:t>
                      </w:r>
                    </w:p>
                  </w:sdtContent>
                </w:sdt>
                <w:sdt>
                  <w:sdtPr>
                    <w:alias w:val="5.3 p."/>
                    <w:tag w:val="part_014c3afb76474877b11cd981bcef2491"/>
                    <w:lock w:val="sdtLocked"/>
                    <w:richText/>
                  </w:sdtPr>
                  <w:sdtContent>
                    <w:p>
                      <w:pPr>
                        <w:widowControl w:val="0"/>
                        <w:shd w:val="clear" w:color="auto" w:fill="FFFFFF"/>
                        <w:ind w:firstLine="709"/>
                        <w:jc w:val="both"/>
                      </w:pPr>
                      <w:sdt>
                        <w:sdtPr>
                          <w:alias w:val="Numeris"/>
                          <w:tag w:val="nr_014c3afb76474877b11cd981bcef2491"/>
                          <w:lock w:val="sdtLocked"/>
                          <w:richText/>
                        </w:sdtPr>
                        <w:sdtContent>
                          <w:r>
                            <w:t>5.3</w:t>
                          </w:r>
                        </w:sdtContent>
                      </w:sdt>
                      <w:r>
                        <w:t>. informacija apie su statybviete besiribojančius gyvenamuosius namus, veikiančias įstaigas, organizacijas, maisto pramonės įmones, visuomeninės paskirties statinius, saugomas, rekreacines teritorijas, kultūros paveldo objektus, archeologinius, istorinius paminklus, kapines, vertingus dendrologiniu, estetiniu bei kraštovaizdžio formavimo požiūriu želdinius;</w:t>
                      </w:r>
                    </w:p>
                  </w:sdtContent>
                </w:sdt>
                <w:sdt>
                  <w:sdtPr>
                    <w:alias w:val="5.4 p."/>
                    <w:tag w:val="part_cbb396b2a92743719bbf0a64736e9492"/>
                    <w:lock w:val="sdtLocked"/>
                    <w:richText/>
                  </w:sdtPr>
                  <w:sdtContent>
                    <w:p>
                      <w:pPr>
                        <w:widowControl w:val="0"/>
                        <w:shd w:val="clear" w:color="auto" w:fill="FFFFFF"/>
                        <w:ind w:firstLine="709"/>
                        <w:jc w:val="both"/>
                      </w:pPr>
                      <w:sdt>
                        <w:sdtPr>
                          <w:alias w:val="Numeris"/>
                          <w:tag w:val="nr_cbb396b2a92743719bbf0a64736e9492"/>
                          <w:lock w:val="sdtLocked"/>
                          <w:richText/>
                        </w:sdtPr>
                        <w:sdtContent>
                          <w:r>
                            <w:t>5.4</w:t>
                          </w:r>
                        </w:sdtContent>
                      </w:sdt>
                      <w:r>
                        <w:t>. fizikinės, cheminės (dulkės, triukšmas, vibracija ir kt.) ir (ar) kitokios taršos, galinčios sukelti pavojų aplinkai (ar) žmonių sveikatai, įvertinimas.</w:t>
                      </w:r>
                    </w:p>
                    <w:p>
                      <w:pPr>
                        <w:ind w:firstLine="709"/>
                        <w:jc w:val="both"/>
                      </w:pPr>
                    </w:p>
                  </w:sdtContent>
                </w:sdt>
              </w:sdtContent>
            </w:sdt>
          </w:sdtContent>
        </w:sdt>
        <w:sdt>
          <w:sdtPr>
            <w:alias w:val="skyrius"/>
            <w:tag w:val="part_5fa16bcaa67345598296fa12c5990892"/>
            <w:lock w:val="sdtLocked"/>
            <w:richText/>
          </w:sdtPr>
          <w:sdtContent>
            <w:p>
              <w:pPr>
                <w:widowControl w:val="0"/>
                <w:shd w:val="clear" w:color="auto" w:fill="FFFFFF"/>
                <w:jc w:val="center"/>
                <w:rPr>
                  <w:b/>
                  <w:bCs/>
                </w:rPr>
              </w:pPr>
              <w:sdt>
                <w:sdtPr>
                  <w:alias w:val="Numeris"/>
                  <w:tag w:val="nr_5fa16bcaa67345598296fa12c5990892"/>
                  <w:lock w:val="sdtLocked"/>
                  <w:richText/>
                </w:sdtPr>
                <w:sdtContent>
                  <w:r>
                    <w:rPr>
                      <w:b/>
                      <w:bCs/>
                    </w:rPr>
                    <w:t>III</w:t>
                  </w:r>
                </w:sdtContent>
              </w:sdt>
              <w:r>
                <w:rPr>
                  <w:b/>
                  <w:bCs/>
                </w:rPr>
                <w:t xml:space="preserve"> SKYRIUS</w:t>
              </w:r>
            </w:p>
            <w:p>
              <w:pPr>
                <w:widowControl w:val="0"/>
                <w:shd w:val="clear" w:color="auto" w:fill="FFFFFF"/>
                <w:jc w:val="center"/>
              </w:pPr>
              <w:sdt>
                <w:sdtPr>
                  <w:alias w:val="Pavadinimas"/>
                  <w:tag w:val="title_5fa16bcaa67345598296fa12c5990892"/>
                  <w:lock w:val="sdtLocked"/>
                  <w:richText/>
                </w:sdtPr>
                <w:sdtContent>
                  <w:r>
                    <w:rPr>
                      <w:b/>
                      <w:bCs/>
                    </w:rPr>
                    <w:t xml:space="preserve">STATYBINIŲ ATLIEKŲ APSKAITA IR TVARKYMAS STATYBVIETĖJE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005b0ea7511ee9f5b8ffa077f9188">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2024-03-25,
paskelbta TAR 2024-03-25, i. k. 2024-05293        </w:t>
              </w:r>
            </w:p>
            <w:p/>
            <w:sdt>
              <w:sdtPr>
                <w:alias w:val="6 p."/>
                <w:tag w:val="part_7efff78efd1d42798bf87b85a93f0bcf"/>
                <w:lock w:val="sdtLocked"/>
                <w:richText/>
              </w:sdtPr>
              <w:sdtContent>
                <w:p>
                  <w:pPr>
                    <w:suppressAutoHyphens/>
                    <w:ind w:firstLine="709"/>
                    <w:jc w:val="both"/>
                  </w:pPr>
                  <w:sdt>
                    <w:sdtPr>
                      <w:alias w:val="Numeris"/>
                      <w:tag w:val="nr_7efff78efd1d42798bf87b85a93f0bcf"/>
                      <w:lock w:val="sdtLocked"/>
                      <w:richText/>
                    </w:sdtPr>
                    <w:sdtContent>
                      <w:r>
                        <w:rPr>
                          <w:lang w:eastAsia="lt-LT"/>
                        </w:rPr>
                        <w:t>6</w:t>
                      </w:r>
                    </w:sdtContent>
                  </w:sdt>
                  <w:r>
                    <w:rPr>
                      <w:lang w:eastAsia="lt-LT"/>
                    </w:rPr>
                    <w:t xml:space="preserve">. Statybvietės atliekų susidarymo apskaita vykdoma elektroniniu būdu naudojantis </w:t>
                  </w:r>
                  <w:r>
                    <w:rPr>
                      <w:lang w:eastAsia="zh-CN"/>
                    </w:rPr>
                    <w:t>Vieninga gaminių, pakuočių ir atliekų apskaitos informacine sistema</w:t>
                  </w:r>
                  <w:r>
                    <w:rPr>
                      <w:lang w:eastAsia="lt-LT"/>
                    </w:rPr>
                    <w:t>, pildant atliekų susidarymo apskaitos žurnalą</w:t>
                  </w:r>
                  <w:r>
                    <w:rPr>
                      <w:lang w:eastAsia="zh-CN"/>
                    </w:rPr>
                    <w:t>, atliekų apskaitos ataskaitos teikiamos Atliekų tvarkymo taisyklėse ir Atliekų susidarymo ir tvarkymo apskaitos ir ataskaitų teikimo taisyklėse, patvirtintose Lietuvos Respublikos aplinkos ministro 2011 m. gegužės 3 d. įsakymu Nr. D1-367 „Dėl Atliekų susidarymo ir tvarkymo apskaitos ir ataskaitų teikimo taisyklių patvirtinimo“ (toliau – Atliekų susidarymo ir tvarkymo apskaitos ir ataskaitų teikimo taisyklės), nustatyta tvarka.</w:t>
                  </w:r>
                  <w:r>
                    <w:rPr>
                      <w:lang w:eastAsia="lt-LT"/>
                    </w:rPr>
                    <w:t xml:space="preserve"> Statybinių atliekų apskaitos dokumentai saugomi pagal Atliekų tvarkymo taisyklių reikalavimus. Šio punkto reikalavimai netaikomi, </w:t>
                  </w:r>
                  <w:r>
                    <w:rPr>
                      <w:szCs w:val="24"/>
                      <w:lang w:val="lt" w:eastAsia="zh-CN"/>
                    </w:rPr>
                    <w:t>kai Lietuvos Respublikos statybos įstatyme nustatytais atvejais statyba vykdoma ūkio būdu</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6dbd02f5c11e4a83cb4f588d2ac1a">
                    <w:r w:rsidRPr="00532B9F">
                      <w:rPr>
                        <w:rFonts w:ascii="Times New Roman" w:eastAsia="MS Mincho" w:hAnsi="Times New Roman"/>
                        <w:sz w:val="20"/>
                        <w:i/>
                        <w:iCs/>
                        <w:color w:val="0000FF" w:themeColor="hyperlink"/>
                        <w:u w:val="single"/>
                      </w:rPr>
                      <w:t>D1-698</w:t>
                    </w:r>
                  </w:fldSimple>
                  <w:r>
                    <w:rPr>
                      <w:rFonts w:ascii="Times New Roman" w:eastAsia="MS Mincho" w:hAnsi="Times New Roman"/>
                      <w:sz w:val="20"/>
                      <w:i/>
                      <w:iCs/>
                    </w:rPr>
                    <w:t>,
2014-08-28,
paskelbta TAR 2014-08-29, i. k. 2014-11431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f9d160861711efabdbb4a1fc8b0b63">
                    <w:r w:rsidRPr="00532B9F">
                      <w:rPr>
                        <w:rFonts w:ascii="Times New Roman" w:eastAsia="MS Mincho" w:hAnsi="Times New Roman"/>
                        <w:sz w:val="20"/>
                        <w:i/>
                        <w:iCs/>
                        <w:color w:val="0000FF" w:themeColor="hyperlink"/>
                        <w:u w:val="single"/>
                      </w:rPr>
                      <w:t>D1-334</w:t>
                    </w:r>
                  </w:fldSimple>
                  <w:r>
                    <w:rPr>
                      <w:rFonts w:ascii="Times New Roman" w:eastAsia="MS Mincho" w:hAnsi="Times New Roman"/>
                      <w:sz w:val="20"/>
                      <w:i/>
                      <w:iCs/>
                    </w:rPr>
                    <w:t>,
2024-10-09,
paskelbta TAR 2024-10-09, i. k. 2024-17701            </w:t>
                  </w:r>
                </w:p>
                <w:p/>
              </w:sdtContent>
            </w:sdt>
            <w:sdt>
              <w:sdtPr>
                <w:alias w:val="7 p."/>
                <w:tag w:val="part_d1d72cebce554582986b72f2dd4322b7"/>
                <w:lock w:val="sdtLocked"/>
                <w:richText/>
              </w:sdtPr>
              <w:sdtContent>
                <w:p>
                  <w:pPr>
                    <w:suppressAutoHyphens/>
                    <w:ind w:firstLine="709"/>
                    <w:jc w:val="both"/>
                    <w:rPr>
                      <w:strike/>
                      <w:lang w:eastAsia="lt-LT"/>
                    </w:rPr>
                  </w:pPr>
                  <w:sdt>
                    <w:sdtPr>
                      <w:alias w:val="Numeris"/>
                      <w:tag w:val="nr_d1d72cebce554582986b72f2dd4322b7"/>
                      <w:lock w:val="sdtLocked"/>
                      <w:richText/>
                    </w:sdtPr>
                    <w:sdtContent>
                      <w:r>
                        <w:rPr>
                          <w:lang w:eastAsia="lt-LT"/>
                        </w:rPr>
                        <w:t>7</w:t>
                      </w:r>
                    </w:sdtContent>
                  </w:sdt>
                  <w:r>
                    <w:rPr>
                      <w:lang w:eastAsia="lt-LT"/>
                    </w:rPr>
                    <w:t>. Statybvietėje turi būti išrūšiuotos ir atskirai laikinai laikomos susidarančios:</w:t>
                  </w:r>
                </w:p>
                <w:sdt>
                  <w:sdtPr>
                    <w:alias w:val="7.1 pp."/>
                    <w:tag w:val="part_9cc91e712371484ba17589b6d140a5db"/>
                    <w:lock w:val="sdtLocked"/>
                    <w:richText/>
                  </w:sdtPr>
                  <w:sdtContent>
                    <w:p>
                      <w:pPr>
                        <w:suppressAutoHyphens/>
                        <w:ind w:firstLine="709"/>
                        <w:jc w:val="both"/>
                        <w:rPr>
                          <w:lang w:eastAsia="lt-LT"/>
                        </w:rPr>
                      </w:pPr>
                      <w:sdt>
                        <w:sdtPr>
                          <w:alias w:val="Numeris"/>
                          <w:tag w:val="nr_9cc91e712371484ba17589b6d140a5db"/>
                          <w:lock w:val="sdtLocked"/>
                          <w:richText/>
                        </w:sdtPr>
                        <w:sdtContent>
                          <w:r>
                            <w:rPr>
                              <w:lang w:eastAsia="lt-LT"/>
                            </w:rPr>
                            <w:t>7.1</w:t>
                          </w:r>
                        </w:sdtContent>
                      </w:sdt>
                      <w:r>
                        <w:rPr>
                          <w:lang w:eastAsia="lt-LT"/>
                        </w:rPr>
                        <w:t>. komunalinės atliekos;</w:t>
                      </w:r>
                    </w:p>
                  </w:sdtContent>
                </w:sdt>
                <w:sdt>
                  <w:sdtPr>
                    <w:alias w:val="7.2 pp."/>
                    <w:tag w:val="part_7a89e26e17cd48398cd6fd60c3c99c3a"/>
                    <w:lock w:val="sdtLocked"/>
                    <w:richText/>
                  </w:sdtPr>
                  <w:sdtContent>
                    <w:p>
                      <w:pPr>
                        <w:suppressAutoHyphens/>
                        <w:ind w:firstLine="709"/>
                        <w:jc w:val="both"/>
                        <w:rPr>
                          <w:lang w:eastAsia="lt-LT"/>
                        </w:rPr>
                      </w:pPr>
                      <w:sdt>
                        <w:sdtPr>
                          <w:alias w:val="Numeris"/>
                          <w:tag w:val="nr_7a89e26e17cd48398cd6fd60c3c99c3a"/>
                          <w:lock w:val="sdtLocked"/>
                          <w:richText/>
                        </w:sdtPr>
                        <w:sdtContent>
                          <w:r>
                            <w:rPr>
                              <w:lang w:eastAsia="lt-LT"/>
                            </w:rPr>
                            <w:t>7.2</w:t>
                          </w:r>
                        </w:sdtContent>
                      </w:sdt>
                      <w:r>
                        <w:rPr>
                          <w:lang w:eastAsia="lt-LT"/>
                        </w:rPr>
                        <w:t xml:space="preserve">. </w:t>
                      </w:r>
                      <w:r>
                        <w:rPr>
                          <w:lang w:eastAsia="zh-CN"/>
                        </w:rPr>
                        <w:t>inertinės atliekos</w:t>
                      </w:r>
                      <w:r>
                        <w:rPr>
                          <w:lang w:eastAsia="lt-LT"/>
                        </w:rPr>
                        <w:t xml:space="preserve"> − betonas, plytos, plytelės ir keramika, akmenys ir kitos </w:t>
                      </w:r>
                      <w:r>
                        <w:rPr>
                          <w:color w:val="000000"/>
                          <w:lang w:eastAsia="lt-LT"/>
                        </w:rPr>
                        <w:t>atliekos, kuriose nevyksta jokie pastebimi fizikiniai, cheminiai ar biologiniai pokyčiai</w:t>
                      </w:r>
                      <w:r>
                        <w:rPr>
                          <w:lang w:eastAsia="lt-LT"/>
                        </w:rPr>
                        <w:t xml:space="preserve">; </w:t>
                      </w:r>
                    </w:p>
                  </w:sdtContent>
                </w:sdt>
                <w:sdt>
                  <w:sdtPr>
                    <w:alias w:val="7.3 pp."/>
                    <w:tag w:val="part_bd8217f4765d4bf588d1ff2346298df4"/>
                    <w:lock w:val="sdtLocked"/>
                    <w:richText/>
                  </w:sdtPr>
                  <w:sdtContent>
                    <w:p>
                      <w:pPr>
                        <w:suppressAutoHyphens/>
                        <w:ind w:firstLine="709"/>
                        <w:jc w:val="both"/>
                        <w:rPr>
                          <w:lang w:eastAsia="lt-LT"/>
                        </w:rPr>
                      </w:pPr>
                      <w:sdt>
                        <w:sdtPr>
                          <w:alias w:val="Numeris"/>
                          <w:tag w:val="nr_bd8217f4765d4bf588d1ff2346298df4"/>
                          <w:lock w:val="sdtLocked"/>
                          <w:richText/>
                        </w:sdtPr>
                        <w:sdtContent>
                          <w:r>
                            <w:rPr>
                              <w:lang w:eastAsia="lt-LT"/>
                            </w:rPr>
                            <w:t>7.3</w:t>
                          </w:r>
                        </w:sdtContent>
                      </w:sdt>
                      <w:r>
                        <w:rPr>
                          <w:lang w:eastAsia="lt-LT"/>
                        </w:rPr>
                        <w:t>. medienos atliekos;</w:t>
                      </w:r>
                    </w:p>
                  </w:sdtContent>
                </w:sdt>
                <w:sdt>
                  <w:sdtPr>
                    <w:alias w:val="7.4 pp."/>
                    <w:tag w:val="part_26172394879847bc8f4a986655bcdc50"/>
                    <w:lock w:val="sdtLocked"/>
                    <w:richText/>
                  </w:sdtPr>
                  <w:sdtContent>
                    <w:p>
                      <w:pPr>
                        <w:suppressAutoHyphens/>
                        <w:ind w:firstLine="709"/>
                        <w:jc w:val="both"/>
                        <w:rPr>
                          <w:lang w:eastAsia="lt-LT"/>
                        </w:rPr>
                      </w:pPr>
                      <w:sdt>
                        <w:sdtPr>
                          <w:alias w:val="Numeris"/>
                          <w:tag w:val="nr_26172394879847bc8f4a986655bcdc50"/>
                          <w:lock w:val="sdtLocked"/>
                          <w:richText/>
                        </w:sdtPr>
                        <w:sdtContent>
                          <w:r>
                            <w:rPr>
                              <w:lang w:eastAsia="lt-LT"/>
                            </w:rPr>
                            <w:t>7.4</w:t>
                          </w:r>
                        </w:sdtContent>
                      </w:sdt>
                      <w:r>
                        <w:rPr>
                          <w:lang w:eastAsia="lt-LT"/>
                        </w:rPr>
                        <w:t>. gipso atliekos;</w:t>
                      </w:r>
                    </w:p>
                  </w:sdtContent>
                </w:sdt>
                <w:sdt>
                  <w:sdtPr>
                    <w:alias w:val="7.5 pp."/>
                    <w:tag w:val="part_d0cf84fd9b6c43ba9836028157eb550b"/>
                    <w:lock w:val="sdtLocked"/>
                    <w:richText/>
                  </w:sdtPr>
                  <w:sdtContent>
                    <w:p>
                      <w:pPr>
                        <w:suppressAutoHyphens/>
                        <w:ind w:firstLine="709"/>
                        <w:jc w:val="both"/>
                        <w:rPr>
                          <w:color w:val="000000"/>
                          <w:lang w:eastAsia="lt-LT"/>
                        </w:rPr>
                      </w:pPr>
                      <w:sdt>
                        <w:sdtPr>
                          <w:alias w:val="Numeris"/>
                          <w:tag w:val="nr_d0cf84fd9b6c43ba9836028157eb550b"/>
                          <w:lock w:val="sdtLocked"/>
                          <w:richText/>
                        </w:sdtPr>
                        <w:sdtContent>
                          <w:r>
                            <w:rPr>
                              <w:lang w:eastAsia="lt-LT"/>
                            </w:rPr>
                            <w:t>7.5</w:t>
                          </w:r>
                        </w:sdtContent>
                      </w:sdt>
                      <w:r>
                        <w:rPr>
                          <w:lang w:eastAsia="lt-LT"/>
                        </w:rPr>
                        <w:t xml:space="preserve">. perdirbti ir pakartotinai naudoti tinkamos atliekos, antrinės žaliavos − </w:t>
                      </w:r>
                      <w:r>
                        <w:rPr>
                          <w:color w:val="000000"/>
                          <w:lang w:eastAsia="lt-LT"/>
                        </w:rPr>
                        <w:t>pakuotės, popierius, stiklas, metalas, plastikas, polistireninis putplastis ir kitos tiesiogiai perdirbti tinkamos atliekos ir (ar) perdirbti ar pakartotinai naudoti tinkamos iš atliekų gautos medžiagos;</w:t>
                      </w:r>
                    </w:p>
                  </w:sdtContent>
                </w:sdt>
                <w:sdt>
                  <w:sdtPr>
                    <w:alias w:val="7.6 pp."/>
                    <w:tag w:val="part_19ef09cc550b4b8b83ec2a23d555e965"/>
                    <w:lock w:val="sdtLocked"/>
                    <w:richText/>
                  </w:sdtPr>
                  <w:sdtContent>
                    <w:p>
                      <w:pPr>
                        <w:suppressAutoHyphens/>
                        <w:ind w:firstLine="709"/>
                        <w:jc w:val="both"/>
                        <w:rPr>
                          <w:color w:val="000000"/>
                          <w:lang w:eastAsia="lt-LT"/>
                        </w:rPr>
                      </w:pPr>
                      <w:sdt>
                        <w:sdtPr>
                          <w:alias w:val="Numeris"/>
                          <w:tag w:val="nr_19ef09cc550b4b8b83ec2a23d555e965"/>
                          <w:lock w:val="sdtLocked"/>
                          <w:richText/>
                        </w:sdtPr>
                        <w:sdtContent>
                          <w:r>
                            <w:rPr>
                              <w:color w:val="000000"/>
                              <w:lang w:eastAsia="lt-LT"/>
                            </w:rPr>
                            <w:t>7.6</w:t>
                          </w:r>
                        </w:sdtContent>
                      </w:sdt>
                      <w:r>
                        <w:rPr>
                          <w:color w:val="000000"/>
                          <w:lang w:eastAsia="lt-LT"/>
                        </w:rPr>
                        <w:t>. pavojingosios atliekos − tirpikliai, dažai, klijai, dervos, jų pakuotės ir kitos kenksmingos, degios, sprogstamosios, ėsdinančios, toksiškos, sukeliančios koroziją ar turinčios kitų savybių, galinčių neigiamai paveikti aplinką ir žmonių sveikatą;</w:t>
                      </w:r>
                    </w:p>
                  </w:sdtContent>
                </w:sdt>
                <w:sdt>
                  <w:sdtPr>
                    <w:alias w:val="7.7 pp."/>
                    <w:tag w:val="part_7074a8ba506249c0ae93366a1268d89d"/>
                    <w:lock w:val="sdtLocked"/>
                    <w:richText/>
                  </w:sdtPr>
                  <w:sdtContent>
                    <w:p>
                      <w:pPr>
                        <w:suppressAutoHyphens/>
                        <w:ind w:firstLine="709"/>
                        <w:jc w:val="both"/>
                        <w:rPr>
                          <w:color w:val="000000"/>
                          <w:lang w:eastAsia="lt-LT"/>
                        </w:rPr>
                      </w:pPr>
                      <w:sdt>
                        <w:sdtPr>
                          <w:alias w:val="Numeris"/>
                          <w:tag w:val="nr_7074a8ba506249c0ae93366a1268d89d"/>
                          <w:lock w:val="sdtLocked"/>
                          <w:richText/>
                        </w:sdtPr>
                        <w:sdtContent>
                          <w:r>
                            <w:rPr>
                              <w:color w:val="000000"/>
                              <w:lang w:eastAsia="lt-LT"/>
                            </w:rPr>
                            <w:t>7.7</w:t>
                          </w:r>
                        </w:sdtContent>
                      </w:sdt>
                      <w:r>
                        <w:rPr>
                          <w:color w:val="000000"/>
                          <w:lang w:eastAsia="lt-LT"/>
                        </w:rPr>
                        <w:t>. netinkamos perdirbti atliekos (izoliacinės medžiagos, akmens vata ir kt.);</w:t>
                      </w:r>
                    </w:p>
                  </w:sdtContent>
                </w:sdt>
                <w:sdt>
                  <w:sdtPr>
                    <w:alias w:val="7.8 pp."/>
                    <w:tag w:val="part_65f8a1336a6e4007b8d3b6b1992e5017"/>
                    <w:lock w:val="sdtLocked"/>
                    <w:richText/>
                  </w:sdtPr>
                  <w:sdtContent>
                    <w:p>
                      <w:pPr>
                        <w:suppressAutoHyphens/>
                        <w:ind w:firstLine="709"/>
                        <w:jc w:val="both"/>
                      </w:pPr>
                      <w:sdt>
                        <w:sdtPr>
                          <w:alias w:val="Numeris"/>
                          <w:tag w:val="nr_65f8a1336a6e4007b8d3b6b1992e5017"/>
                          <w:lock w:val="sdtLocked"/>
                          <w:richText/>
                        </w:sdtPr>
                        <w:sdtContent>
                          <w:r>
                            <w:rPr>
                              <w:color w:val="000000"/>
                              <w:lang w:eastAsia="lt-LT"/>
                            </w:rPr>
                            <w:t>7.8</w:t>
                          </w:r>
                        </w:sdtContent>
                      </w:sdt>
                      <w:r>
                        <w:rPr>
                          <w:color w:val="000000"/>
                          <w:lang w:eastAsia="lt-LT"/>
                        </w:rPr>
                        <w:t>. p</w:t>
                      </w:r>
                      <w:r>
                        <w:rPr>
                          <w:lang w:eastAsia="zh-CN"/>
                        </w:rPr>
                        <w:t>utų plokštės, kuriose yra putų su Reglamento (ES) 2024/590 I priede išvardytomis ozono sluoksnį ardančiomis medžiagomis arba Reglamento (ES) 2024/573 I priede ir II priedo 1 skirsnyje išvardytomis fluorintomis šiltnamio efektą sukeliančiomis dujomis (toliau – putų plokštės), ir sluoksniuotosios plokštės, kuriose yra Reglamento (ES) 2024/590 I priede išvardytų ozono sluoksnį ardančių medžiagų arba Reglamento (ES) 2024/573 I priede ir II priedo 1 skirsnyje išvardytų fluorintų šiltnamio efektą sukeliančių dujų (toliau – sluoksniuotosios plokštės), arba putos iš putų plokščių ir sluoksniuotųjų plokščių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f9d160861711efabdbb4a1fc8b0b63">
                    <w:r w:rsidRPr="00532B9F">
                      <w:rPr>
                        <w:rFonts w:ascii="Times New Roman" w:eastAsia="MS Mincho" w:hAnsi="Times New Roman"/>
                        <w:sz w:val="20"/>
                        <w:i/>
                        <w:iCs/>
                        <w:color w:val="0000FF" w:themeColor="hyperlink"/>
                        <w:u w:val="single"/>
                      </w:rPr>
                      <w:t>D1-334</w:t>
                    </w:r>
                  </w:fldSimple>
                  <w:r>
                    <w:rPr>
                      <w:rFonts w:ascii="Times New Roman" w:eastAsia="MS Mincho" w:hAnsi="Times New Roman"/>
                      <w:sz w:val="20"/>
                      <w:i/>
                      <w:iCs/>
                    </w:rPr>
                    <w:t>,
2024-10-09,
paskelbta TAR 2024-10-09, i. k. 2024-17701            </w:t>
                  </w:r>
                </w:p>
                <w:p/>
              </w:sdtContent>
            </w:sdt>
            <w:sdt>
              <w:sdtPr>
                <w:alias w:val="7-1 p."/>
                <w:tag w:val="part_a27c02abbc2049a0bb0670f1f12a19a3"/>
                <w:lock w:val="sdtLocked"/>
                <w:richText/>
              </w:sdtPr>
              <w:sdtContent>
                <w:p>
                  <w:pPr>
                    <w:suppressAutoHyphens/>
                    <w:ind w:firstLine="709"/>
                    <w:jc w:val="both"/>
                  </w:pPr>
                  <w:sdt>
                    <w:sdtPr>
                      <w:alias w:val="Numeris"/>
                      <w:tag w:val="nr_a27c02abbc2049a0bb0670f1f12a19a3"/>
                      <w:lock w:val="sdtLocked"/>
                      <w:richText/>
                    </w:sdtPr>
                    <w:sdtContent>
                      <w:r>
                        <w:rPr>
                          <w:color w:val="000000"/>
                          <w:lang w:eastAsia="lt-LT"/>
                        </w:rPr>
                        <w:t>7</w:t>
                      </w:r>
                      <w:r>
                        <w:rPr>
                          <w:color w:val="000000"/>
                          <w:vertAlign w:val="superscript"/>
                          <w:lang w:eastAsia="lt-LT"/>
                        </w:rPr>
                        <w:t>1</w:t>
                      </w:r>
                    </w:sdtContent>
                  </w:sdt>
                  <w:r>
                    <w:rPr>
                      <w:color w:val="000000"/>
                      <w:lang w:eastAsia="lt-LT"/>
                    </w:rPr>
                    <w:t>.</w:t>
                  </w:r>
                  <w:r>
                    <w:rPr>
                      <w:color w:val="000000"/>
                      <w:vertAlign w:val="superscript"/>
                      <w:lang w:eastAsia="lt-LT"/>
                    </w:rPr>
                    <w:t xml:space="preserve"> </w:t>
                  </w:r>
                  <w:r>
                    <w:rPr>
                      <w:color w:val="000000"/>
                      <w:lang w:eastAsia="lt-LT"/>
                    </w:rPr>
                    <w:t>Statybvietėje gali būti atskiriama (išrūšiuojama) ir daugiau atliekų rūšių atsižvelgiant į statybos rūšis, jų apimtis ir atliekų tvarkymo galimybes.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6dbd02f5c11e4a83cb4f588d2ac1a">
                    <w:r w:rsidRPr="00532B9F">
                      <w:rPr>
                        <w:rFonts w:ascii="Times New Roman" w:eastAsia="MS Mincho" w:hAnsi="Times New Roman"/>
                        <w:sz w:val="20"/>
                        <w:i/>
                        <w:iCs/>
                        <w:color w:val="0000FF" w:themeColor="hyperlink"/>
                        <w:u w:val="single"/>
                      </w:rPr>
                      <w:t>D1-698</w:t>
                    </w:r>
                  </w:fldSimple>
                  <w:r>
                    <w:rPr>
                      <w:rFonts w:ascii="Times New Roman" w:eastAsia="MS Mincho" w:hAnsi="Times New Roman"/>
                      <w:sz w:val="20"/>
                      <w:i/>
                      <w:iCs/>
                    </w:rPr>
                    <w:t>,
2014-08-28,
paskelbta TAR 2014-08-29, i. k. 2014-11431        </w:t>
                  </w:r>
                </w:p>
                <w:p/>
              </w:sdtContent>
            </w:sdt>
            <w:sdt>
              <w:sdtPr>
                <w:alias w:val="7-2 p."/>
                <w:tag w:val="part_cf01d6de19d54e91bb83b9cbe424e416"/>
                <w:lock w:val="sdtLocked"/>
                <w:richText/>
              </w:sdtPr>
              <w:sdtContent>
                <w:p>
                  <w:pPr>
                    <w:suppressAutoHyphens/>
                    <w:ind w:firstLine="709"/>
                    <w:jc w:val="both"/>
                  </w:pPr>
                  <w:sdt>
                    <w:sdtPr>
                      <w:alias w:val="Numeris"/>
                      <w:tag w:val="nr_cf01d6de19d54e91bb83b9cbe424e416"/>
                      <w:lock w:val="sdtLocked"/>
                      <w:richText/>
                    </w:sdtPr>
                    <w:sdtContent>
                      <w:r>
                        <w:rPr>
                          <w:lang w:eastAsia="zh-CN"/>
                        </w:rPr>
                        <w:t>7</w:t>
                      </w:r>
                      <w:r>
                        <w:rPr>
                          <w:vertAlign w:val="superscript"/>
                          <w:lang w:eastAsia="zh-CN"/>
                        </w:rPr>
                        <w:t>2</w:t>
                      </w:r>
                    </w:sdtContent>
                  </w:sdt>
                  <w:r>
                    <w:rPr>
                      <w:lang w:eastAsia="zh-CN"/>
                    </w:rPr>
                    <w:t>. Statybinės atliekos turi būti perduotos atliekų tvarkytojams, turintiems teisę tvarkyti tokias atliekas pagal sudarytą rašytinę sutartį dėl atliekų naudojimo ir (ar) šalinimo (toliau – sutartis dėl atliekų tvarkymo), arba gali būti tvarkomos šių atliekų darytojo, jeigu jis Atliekų tvarkymo įstatymo ir jo įgyvendinamųjų teisės aktų nustatyta tvarka turi teisę šią veiklą vykdyti. Statybines atliekas tvarkanti įmonė turi būti įregistruota Atliekų tvarkytojų valstybės registre. Komunalinės atliekos tvarkomos savivaldybės organizuojamoje komunalinių atliekų tvarkymo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f9d160861711efabdbb4a1fc8b0b63">
                    <w:r w:rsidRPr="00532B9F">
                      <w:rPr>
                        <w:rFonts w:ascii="Times New Roman" w:eastAsia="MS Mincho" w:hAnsi="Times New Roman"/>
                        <w:sz w:val="20"/>
                        <w:i/>
                        <w:iCs/>
                        <w:color w:val="0000FF" w:themeColor="hyperlink"/>
                        <w:u w:val="single"/>
                      </w:rPr>
                      <w:t>D1-334</w:t>
                    </w:r>
                  </w:fldSimple>
                  <w:r>
                    <w:rPr>
                      <w:rFonts w:ascii="Times New Roman" w:eastAsia="MS Mincho" w:hAnsi="Times New Roman"/>
                      <w:sz w:val="20"/>
                      <w:i/>
                      <w:iCs/>
                    </w:rPr>
                    <w:t>,
2024-10-09,
paskelbta TAR 2024-10-09, i. k. 2024-17701        </w:t>
                  </w:r>
                </w:p>
                <w:p/>
              </w:sdtContent>
            </w:sdt>
            <w:sdt>
              <w:sdtPr>
                <w:alias w:val="8 p."/>
                <w:tag w:val="part_94b83f981fbe43a99e8f66b2ad1bf31e"/>
                <w:lock w:val="sdtLocked"/>
                <w:richText/>
              </w:sdtPr>
              <w:sdtContent>
                <w:p>
                  <w:pPr>
                    <w:suppressAutoHyphens/>
                    <w:ind w:firstLine="709"/>
                    <w:jc w:val="both"/>
                  </w:pPr>
                  <w:sdt>
                    <w:sdtPr>
                      <w:alias w:val="Numeris"/>
                      <w:tag w:val="nr_94b83f981fbe43a99e8f66b2ad1bf31e"/>
                      <w:lock w:val="sdtLocked"/>
                      <w:richText/>
                    </w:sdtPr>
                    <w:sdtContent>
                      <w:r>
                        <w:rPr>
                          <w:lang w:eastAsia="lt-LT"/>
                        </w:rPr>
                        <w:t>8</w:t>
                      </w:r>
                    </w:sdtContent>
                  </w:sdt>
                  <w:r>
                    <w:rPr>
                      <w:lang w:eastAsia="lt-LT"/>
                    </w:rPr>
                    <w:t>. Nepavojingos statybinės atliekos gali būti laikinai laikomos statybvietėje ne ilgiau kaip vienerius metus nuo jų susidarymo dienos, tačiau ne ilgiau kaip iki statybos darbų pabaigos. Pavojingos statybinės atliekos turi būti laikinai laikomos pagal Atliekų tvarkymo taisyklėse nustatytus reikalavimus ne ilgiau kaip 6 mėnesius nuo jų susidarymo, tačiau ne ilgiau kaip iki statybos darbų pabaigos taip, kad nekeltų pavojaus aplinkai ir žmonių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6dbd02f5c11e4a83cb4f588d2ac1a">
                    <w:r w:rsidRPr="00532B9F">
                      <w:rPr>
                        <w:rFonts w:ascii="Times New Roman" w:eastAsia="MS Mincho" w:hAnsi="Times New Roman"/>
                        <w:sz w:val="20"/>
                        <w:i/>
                        <w:iCs/>
                        <w:color w:val="0000FF" w:themeColor="hyperlink"/>
                        <w:u w:val="single"/>
                      </w:rPr>
                      <w:t>D1-698</w:t>
                    </w:r>
                  </w:fldSimple>
                  <w:r>
                    <w:rPr>
                      <w:rFonts w:ascii="Times New Roman" w:eastAsia="MS Mincho" w:hAnsi="Times New Roman"/>
                      <w:sz w:val="20"/>
                      <w:i/>
                      <w:iCs/>
                    </w:rPr>
                    <w:t>,
2014-08-28,
paskelbta TAR 2014-08-29, i. k. 2014-11431            </w:t>
                  </w:r>
                </w:p>
                <w:p/>
              </w:sdtContent>
            </w:sdt>
            <w:sdt>
              <w:sdtPr>
                <w:alias w:val="9 p."/>
                <w:tag w:val="part_5f5b3fdc34434f0db99a372cfd63d8d3"/>
                <w:lock w:val="sdtLocked"/>
                <w:richText/>
              </w:sdtPr>
              <w:sdtContent>
                <w:p>
                  <w:pPr>
                    <w:widowControl w:val="0"/>
                    <w:shd w:val="clear" w:color="auto" w:fill="FFFFFF"/>
                    <w:ind w:firstLine="709"/>
                    <w:jc w:val="both"/>
                  </w:pPr>
                  <w:sdt>
                    <w:sdtPr>
                      <w:alias w:val="Numeris"/>
                      <w:tag w:val="nr_5f5b3fdc34434f0db99a372cfd63d8d3"/>
                      <w:lock w:val="sdtLocked"/>
                      <w:richText/>
                    </w:sdtPr>
                    <w:sdtContent>
                      <w:r>
                        <w:t>9</w:t>
                      </w:r>
                    </w:sdtContent>
                  </w:sdt>
                  <w:r>
                    <w:t>. Inertinės (nepavojingos) statybinės atliekos gali būti smulkinamos mobilia įranga statybvietėje, kaip nustatyta šių Taisyklių 12–15 punktuose.</w:t>
                  </w:r>
                </w:p>
              </w:sdtContent>
            </w:sdt>
            <w:sdt>
              <w:sdtPr>
                <w:alias w:val="10 p."/>
                <w:tag w:val="part_5853249e3f184f1db573a88eac9b4624"/>
                <w:lock w:val="sdtLocked"/>
                <w:richText/>
              </w:sdtPr>
              <w:sdtContent>
                <w:p>
                  <w:pPr>
                    <w:ind w:firstLine="709"/>
                    <w:jc w:val="both"/>
                    <w:textAlignment w:val="baseline"/>
                  </w:pPr>
                  <w:sdt>
                    <w:sdtPr>
                      <w:alias w:val="Numeris"/>
                      <w:tag w:val="nr_5853249e3f184f1db573a88eac9b4624"/>
                      <w:lock w:val="sdtLocked"/>
                      <w:richText/>
                    </w:sdtPr>
                    <w:sdtContent>
                      <w:r>
                        <w:rPr>
                          <w:rFonts w:eastAsia="Calibri"/>
                          <w:szCs w:val="24"/>
                          <w:lang w:eastAsia="lt-LT"/>
                        </w:rPr>
                        <w:t>10</w:t>
                      </w:r>
                    </w:sdtContent>
                  </w:sdt>
                  <w:r>
                    <w:rPr>
                      <w:rFonts w:eastAsia="Calibri"/>
                      <w:szCs w:val="24"/>
                      <w:lang w:eastAsia="lt-LT"/>
                    </w:rPr>
                    <w:t xml:space="preserve">. Asbesto turinčios statybinės atliekos statybvietėje turi būti tvarkomos pagal Taisyklių 24−26 punktuose nustatytus reikalavimus. Polichlorintų bifenilų ir polichlorintų terfenilų (toliau − PCB/PCT) turinčios statybinės atliekos statybvietėje turi būti surenkamos pagal Polichlorintų bifenilų ir polichlorintų terfenilų (PCB/PCT) tvarkymo taisyklių, patvirtintų Lietuvos Respublikos aplinkos ministro 2003 m. rugsėjo 26 d. įsakymu Nr. 473 „Dėl Polichlorintų bifenilų ir polichlorintų terfenilų (PCB/PCT) tvarkymo taisyklių patvirtinimo“, ir </w:t>
                  </w:r>
                  <w:r>
                    <w:rPr>
                      <w:rFonts w:eastAsia="Calibri"/>
                      <w:color w:val="000000"/>
                      <w:szCs w:val="24"/>
                    </w:rPr>
                    <w:t xml:space="preserve">2019 m. birželio 20 d. Europos Parlamento ir Tarybos reglamento (ES) 2019/1021 dėl patvariųjų organinių teršalų (nauja redakcija) </w:t>
                  </w:r>
                  <w:r>
                    <w:rPr>
                      <w:rFonts w:eastAsia="Calibri"/>
                      <w:szCs w:val="24"/>
                    </w:rPr>
                    <w:t>su paskutiniais pakeitimais, padarytais 2023 m. gegužės 30 d. Europos Komisijos deleguotuoju reglamentu (ES) 2023/1608,</w:t>
                  </w:r>
                  <w:r>
                    <w:rPr>
                      <w:rFonts w:eastAsia="Calibri"/>
                      <w:szCs w:val="24"/>
                      <w:shd w:val="clear" w:color="auto" w:fill="FFFFFF"/>
                    </w:rPr>
                    <w:t xml:space="preserve"> kuriuo </w:t>
                  </w:r>
                  <w:r>
                    <w:rPr>
                      <w:rFonts w:eastAsia="Calibri"/>
                      <w:szCs w:val="24"/>
                    </w:rPr>
                    <w:t>dėl perfluorheksansulfonrūgšties (PFHxS), jos druskų ir PFHxS giminingų junginių įtraukimo į sąrašą iš dalies keičiamas Europos Parlamento ir Tarybos reglamento (ES) 2019/1021 I priedas</w:t>
                  </w:r>
                  <w:r>
                    <w:rPr>
                      <w:rFonts w:eastAsia="Calibri"/>
                      <w:szCs w:val="24"/>
                      <w:lang w:eastAsia="lt-LT"/>
                    </w:rPr>
                    <w:t>,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6dbd02f5c11e4a83cb4f588d2ac1a">
                    <w:r w:rsidRPr="00532B9F">
                      <w:rPr>
                        <w:rFonts w:ascii="Times New Roman" w:eastAsia="MS Mincho" w:hAnsi="Times New Roman"/>
                        <w:sz w:val="20"/>
                        <w:i/>
                        <w:iCs/>
                        <w:color w:val="0000FF" w:themeColor="hyperlink"/>
                        <w:u w:val="single"/>
                      </w:rPr>
                      <w:t>D1-698</w:t>
                    </w:r>
                  </w:fldSimple>
                  <w:r>
                    <w:rPr>
                      <w:rFonts w:ascii="Times New Roman" w:eastAsia="MS Mincho" w:hAnsi="Times New Roman"/>
                      <w:sz w:val="20"/>
                      <w:i/>
                      <w:iCs/>
                    </w:rPr>
                    <w:t>,
2014-08-28,
paskelbta TAR 2014-08-29, i. k. 2014-11431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005b0ea7511ee9f5b8ffa077f9188">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2024-03-25,
paskelbta TAR 2024-03-25, i. k. 2024-05293            </w:t>
                  </w:r>
                </w:p>
                <w:p/>
              </w:sdtContent>
            </w:sdt>
            <w:sdt>
              <w:sdtPr>
                <w:alias w:val="11 p."/>
                <w:tag w:val="part_c2c18a28a68b41f491b5d7f6bf7f0410"/>
                <w:lock w:val="sdtLocked"/>
                <w:richText/>
              </w:sdtPr>
              <w:sdtContent>
                <w:p>
                  <w:pPr>
                    <w:suppressAutoHyphens/>
                    <w:ind w:firstLine="709"/>
                    <w:jc w:val="both"/>
                  </w:pPr>
                  <w:sdt>
                    <w:sdtPr>
                      <w:alias w:val="Numeris"/>
                      <w:tag w:val="nr_c2c18a28a68b41f491b5d7f6bf7f0410"/>
                      <w:lock w:val="sdtLocked"/>
                      <w:richText/>
                    </w:sdtPr>
                    <w:sdtContent>
                      <w:r>
                        <w:rPr>
                          <w:szCs w:val="24"/>
                          <w:lang w:eastAsia="zh-CN"/>
                        </w:rPr>
                        <w:t>11</w:t>
                      </w:r>
                    </w:sdtContent>
                  </w:sdt>
                  <w:r>
                    <w:rPr>
                      <w:szCs w:val="24"/>
                      <w:lang w:eastAsia="zh-CN"/>
                    </w:rPr>
                    <w:t>. Vadovaujantis statybos techniniu reglamentu</w:t>
                  </w:r>
                  <w:r>
                    <w:rPr>
                      <w:szCs w:val="24"/>
                      <w:lang w:val="lt" w:eastAsia="zh-CN"/>
                    </w:rPr>
                    <w:t xml:space="preserve"> </w:t>
                  </w:r>
                  <w:r>
                    <w:rPr>
                      <w:szCs w:val="24"/>
                      <w:lang w:eastAsia="zh-CN"/>
                    </w:rPr>
                    <w:t>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patvirtintu Lietuvos Respublikos aplinkos ministro 2016</w:t>
                  </w:r>
                  <w:r>
                    <w:rPr>
                      <w:szCs w:val="24"/>
                      <w:lang w:eastAsia="lt-LT"/>
                    </w:rPr>
                    <w:t> </w:t>
                  </w:r>
                  <w:r>
                    <w:rPr>
                      <w:szCs w:val="24"/>
                      <w:lang w:eastAsia="zh-CN"/>
                    </w:rPr>
                    <w:t xml:space="preserve"> m. gruodžio 12 d. įsakymu Nr. D1-878 „Dėl statybos techninio reglamento STR</w:t>
                  </w:r>
                  <w:r>
                    <w:rPr>
                      <w:szCs w:val="24"/>
                      <w:lang w:eastAsia="lt-LT"/>
                    </w:rPr>
                    <w:t> </w:t>
                  </w:r>
                  <w:r>
                    <w:rPr>
                      <w:szCs w:val="24"/>
                      <w:lang w:eastAsia="zh-CN"/>
                    </w:rPr>
                    <w:t xml:space="preserve">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siekiant gauti statybos užbaigimo aktą, statybos užbaigimo komisijai turi būti pateikti dokumentai, įrodantys, kad rangovas pats arba per vežėją perdavė statybines atliekas atitinkamas atliekas apdorojančiai įmonei (dokumentuose, pvz., sąskaitoje faktūroje, atliekų perdavimo–priėmimo akte, atliekų vežimo lydraštyje nurodomos perduotų atliekų rūšys, atliekų kodas ir svoris, atliekų perdavimo data, dokumentus patvirtina atliekas apdorojančios įmonės atsakingas asmuo), ir (arba) statytojo (užsakovo) pažyma apie neapdorotų statybinių atliekų sunaudojimą šių Taisyklių 4 punkte nurodytuose dokumentuose numatytais būdais.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6dbd02f5c11e4a83cb4f588d2ac1a">
                    <w:r w:rsidRPr="00532B9F">
                      <w:rPr>
                        <w:rFonts w:ascii="Times New Roman" w:eastAsia="MS Mincho" w:hAnsi="Times New Roman"/>
                        <w:sz w:val="20"/>
                        <w:i/>
                        <w:iCs/>
                        <w:color w:val="0000FF" w:themeColor="hyperlink"/>
                        <w:u w:val="single"/>
                      </w:rPr>
                      <w:t>D1-698</w:t>
                    </w:r>
                  </w:fldSimple>
                  <w:r>
                    <w:rPr>
                      <w:rFonts w:ascii="Times New Roman" w:eastAsia="MS Mincho" w:hAnsi="Times New Roman"/>
                      <w:sz w:val="20"/>
                      <w:i/>
                      <w:iCs/>
                    </w:rPr>
                    <w:t>,
2014-08-28,
paskelbta TAR 2014-08-29, i. k. 2014-11431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feaf40270611e6acf89da936cb7409">
                    <w:r w:rsidRPr="00532B9F">
                      <w:rPr>
                        <w:rFonts w:ascii="Times New Roman" w:eastAsia="MS Mincho" w:hAnsi="Times New Roman"/>
                        <w:sz w:val="20"/>
                        <w:i/>
                        <w:iCs/>
                        <w:color w:val="0000FF" w:themeColor="hyperlink"/>
                        <w:u w:val="single"/>
                      </w:rPr>
                      <w:t>D1-386</w:t>
                    </w:r>
                  </w:fldSimple>
                  <w:r>
                    <w:rPr>
                      <w:rFonts w:ascii="Times New Roman" w:eastAsia="MS Mincho" w:hAnsi="Times New Roman"/>
                      <w:sz w:val="20"/>
                      <w:i/>
                      <w:iCs/>
                    </w:rPr>
                    <w:t>,
2016-05-26,
paskelbta TAR 2016-05-31, i. k. 2016-14402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f9d160861711efabdbb4a1fc8b0b63">
                    <w:r w:rsidRPr="00532B9F">
                      <w:rPr>
                        <w:rFonts w:ascii="Times New Roman" w:eastAsia="MS Mincho" w:hAnsi="Times New Roman"/>
                        <w:sz w:val="20"/>
                        <w:i/>
                        <w:iCs/>
                        <w:color w:val="0000FF" w:themeColor="hyperlink"/>
                        <w:u w:val="single"/>
                      </w:rPr>
                      <w:t>D1-334</w:t>
                    </w:r>
                  </w:fldSimple>
                  <w:r>
                    <w:rPr>
                      <w:rFonts w:ascii="Times New Roman" w:eastAsia="MS Mincho" w:hAnsi="Times New Roman"/>
                      <w:sz w:val="20"/>
                      <w:i/>
                      <w:iCs/>
                    </w:rPr>
                    <w:t>,
2024-10-09,
paskelbta TAR 2024-10-09, i. k. 2024-17701            </w:t>
                  </w:r>
                </w:p>
                <w:p/>
              </w:sdtContent>
            </w:sdt>
          </w:sdtContent>
        </w:sdt>
        <w:sdt>
          <w:sdtPr>
            <w:alias w:val="skyrius"/>
            <w:tag w:val="part_7c528a60cf8f4bd18482e733d063d478"/>
            <w:lock w:val="sdtLocked"/>
            <w:richText/>
          </w:sdtPr>
          <w:sdtContent>
            <w:p>
              <w:pPr>
                <w:widowControl w:val="0"/>
                <w:shd w:val="clear" w:color="000000" w:fill="auto"/>
                <w:jc w:val="center"/>
                <w:rPr>
                  <w:b/>
                  <w:bCs/>
                </w:rPr>
              </w:pPr>
              <w:sdt>
                <w:sdtPr>
                  <w:alias w:val="Numeris"/>
                  <w:tag w:val="nr_7c528a60cf8f4bd18482e733d063d478"/>
                  <w:lock w:val="sdtLocked"/>
                  <w:richText/>
                </w:sdtPr>
                <w:sdtContent>
                  <w:r>
                    <w:rPr>
                      <w:b/>
                      <w:bCs/>
                    </w:rPr>
                    <w:t>IV</w:t>
                  </w:r>
                </w:sdtContent>
              </w:sdt>
              <w:r>
                <w:rPr>
                  <w:b/>
                  <w:bCs/>
                </w:rPr>
                <w:t xml:space="preserve"> SKYRIUS</w:t>
              </w:r>
            </w:p>
            <w:p>
              <w:pPr>
                <w:widowControl w:val="0"/>
                <w:shd w:val="clear" w:color="000000" w:fill="auto"/>
                <w:jc w:val="center"/>
              </w:pPr>
              <w:sdt>
                <w:sdtPr>
                  <w:alias w:val="Pavadinimas"/>
                  <w:tag w:val="title_7c528a60cf8f4bd18482e733d063d478"/>
                  <w:lock w:val="sdtLocked"/>
                  <w:richText/>
                </w:sdtPr>
                <w:sdtContent>
                  <w:r>
                    <w:rPr>
                      <w:b/>
                      <w:bCs/>
                    </w:rPr>
                    <w:t xml:space="preserve">STATYBINIŲ ATLIEKŲ SMULKINIMAS MOBILIA ĮRANGA STATYBVIETĖJE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005b0ea7511ee9f5b8ffa077f9188">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2024-03-25,
paskelbta TAR 2024-03-25, i. k. 2024-05293        </w:t>
              </w:r>
            </w:p>
            <w:p/>
            <w:sdt>
              <w:sdtPr>
                <w:alias w:val="12 p."/>
                <w:tag w:val="part_06577db2066b4bf09fdefb7cf06cd830"/>
                <w:lock w:val="sdtLocked"/>
                <w:richText/>
              </w:sdtPr>
              <w:sdtContent>
                <w:p>
                  <w:pPr>
                    <w:tabs>
                      <w:tab w:val="left" w:pos="993"/>
                    </w:tabs>
                    <w:ind w:firstLine="709"/>
                    <w:jc w:val="both"/>
                    <w:textAlignment w:val="baseline"/>
                  </w:pPr>
                  <w:sdt>
                    <w:sdtPr>
                      <w:alias w:val="Numeris"/>
                      <w:tag w:val="nr_06577db2066b4bf09fdefb7cf06cd830"/>
                      <w:lock w:val="sdtLocked"/>
                      <w:richText/>
                    </w:sdtPr>
                    <w:sdtContent>
                      <w:r>
                        <w:rPr>
                          <w:rFonts w:eastAsia="Calibri"/>
                          <w:szCs w:val="24"/>
                          <w:lang w:eastAsia="lt-LT"/>
                        </w:rPr>
                        <w:t>12</w:t>
                      </w:r>
                    </w:sdtContent>
                  </w:sdt>
                  <w:r>
                    <w:rPr>
                      <w:rFonts w:eastAsia="Calibri"/>
                      <w:szCs w:val="24"/>
                      <w:lang w:eastAsia="lt-LT"/>
                    </w:rPr>
                    <w:t>. Statybvietėje susidarančios nepavojingos inertinės statybinės atliekos gali būti smulkinamos mobilia įranga, kai smulkinamos toje statybvietėje susidariusios nepavojingos inertinės statybinės atliekos ir kai jų smulkinimas numatytas</w:t>
                  </w:r>
                  <w:r>
                    <w:rPr>
                      <w:rFonts w:eastAsia="Calibri"/>
                      <w:b/>
                      <w:bCs/>
                      <w:szCs w:val="24"/>
                      <w:lang w:eastAsia="lt-LT"/>
                    </w:rPr>
                    <w:t xml:space="preserve"> </w:t>
                  </w:r>
                  <w:r>
                    <w:rPr>
                      <w:rFonts w:eastAsia="Calibri"/>
                      <w:szCs w:val="24"/>
                      <w:lang w:eastAsia="lt-LT"/>
                    </w:rPr>
                    <w:t xml:space="preserve">statinio statybos ar griovimo projekte, jeigu jis rengiamas </w:t>
                  </w:r>
                  <w:r>
                    <w:rPr>
                      <w:rFonts w:eastAsia="Calibri"/>
                      <w:color w:val="000000"/>
                      <w:szCs w:val="24"/>
                      <w:lang w:eastAsia="lt-LT"/>
                    </w:rPr>
                    <w:t>vadovaujantis Statybos įstatymu</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bb69199fe11f0a8bbd1e98310677d">
                    <w:r w:rsidRPr="00532B9F">
                      <w:rPr>
                        <w:rFonts w:ascii="Times New Roman" w:eastAsia="MS Mincho" w:hAnsi="Times New Roman"/>
                        <w:sz w:val="20"/>
                        <w:i/>
                        <w:iCs/>
                        <w:color w:val="0000FF" w:themeColor="hyperlink"/>
                        <w:u w:val="single"/>
                      </w:rPr>
                      <w:t>D1-143</w:t>
                    </w:r>
                  </w:fldSimple>
                  <w:r>
                    <w:rPr>
                      <w:rFonts w:ascii="Times New Roman" w:eastAsia="MS Mincho" w:hAnsi="Times New Roman"/>
                      <w:sz w:val="20"/>
                      <w:i/>
                      <w:iCs/>
                    </w:rPr>
                    <w:t>,
2025-09-25,
paskelbta TAR 2025-09-25, i. k. 2025-16004            </w:t>
                  </w:r>
                </w:p>
                <w:p/>
              </w:sdtContent>
            </w:sdt>
            <w:sdt>
              <w:sdtPr>
                <w:alias w:val="13 p."/>
                <w:tag w:val="part_afd8d6642a6e4634b8b66a5c14dc501b"/>
                <w:lock w:val="sdtLocked"/>
                <w:richText/>
              </w:sdtPr>
              <w:sdtContent>
                <w:p>
                  <w:pPr>
                    <w:shd w:val="clear" w:color="000000" w:fill="auto"/>
                    <w:suppressAutoHyphens/>
                    <w:ind w:firstLine="709"/>
                    <w:jc w:val="both"/>
                  </w:pPr>
                  <w:sdt>
                    <w:sdtPr>
                      <w:alias w:val="Numeris"/>
                      <w:tag w:val="nr_afd8d6642a6e4634b8b66a5c14dc501b"/>
                      <w:lock w:val="sdtLocked"/>
                      <w:richText/>
                    </w:sdtPr>
                    <w:sdtContent>
                      <w:r>
                        <w:rPr>
                          <w:lang w:eastAsia="lt-LT"/>
                        </w:rPr>
                        <w:t>13</w:t>
                      </w:r>
                    </w:sdtContent>
                  </w:sdt>
                  <w:r>
                    <w:rPr>
                      <w:lang w:eastAsia="lt-LT"/>
                    </w:rPr>
                    <w:t xml:space="preserve">. Statybinių atliekų smulkinimui statybvietėje naudojama mobili įranga turi atitikti Statybos techniniame reglamente STR 2.01.08:2003 „Lauko sąlygomis naudojamos įrangos į aplinką skleidžiamo triukšmo valdymas“, patvirtintame Lietuvos Respublikos aplinkos ministro 2003 m. birželio 30 d. įsakymu </w:t>
                  </w:r>
                  <w:r>
                    <w:rPr>
                      <w:iCs/>
                      <w:color w:val="000000"/>
                      <w:lang w:eastAsia="lt-LT"/>
                    </w:rPr>
                    <w:t>Nr. 325</w:t>
                  </w:r>
                  <w:r>
                    <w:rPr>
                      <w:lang w:eastAsia="lt-LT"/>
                    </w:rPr>
                    <w:t xml:space="preserve"> „Dėl STR 2.01.08:2003 „Lauko sąlygomis naudojamos įrangos į aplinką skleidžiamo triukšmo valdymas“ patvirtinimo“,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6dbd02f5c11e4a83cb4f588d2ac1a">
                    <w:r w:rsidRPr="00532B9F">
                      <w:rPr>
                        <w:rFonts w:ascii="Times New Roman" w:eastAsia="MS Mincho" w:hAnsi="Times New Roman"/>
                        <w:sz w:val="20"/>
                        <w:i/>
                        <w:iCs/>
                        <w:color w:val="0000FF" w:themeColor="hyperlink"/>
                        <w:u w:val="single"/>
                      </w:rPr>
                      <w:t>D1-698</w:t>
                    </w:r>
                  </w:fldSimple>
                  <w:r>
                    <w:rPr>
                      <w:rFonts w:ascii="Times New Roman" w:eastAsia="MS Mincho" w:hAnsi="Times New Roman"/>
                      <w:sz w:val="20"/>
                      <w:i/>
                      <w:iCs/>
                    </w:rPr>
                    <w:t>,
2014-08-28,
paskelbta TAR 2014-08-29, i. k. 2014-11431            </w:t>
                  </w:r>
                </w:p>
                <w:p/>
              </w:sdtContent>
            </w:sdt>
            <w:sdt>
              <w:sdtPr>
                <w:alias w:val="14 p."/>
                <w:tag w:val="part_6e9d312d97e2453c9a393cfd6812e081"/>
                <w:lock w:val="sdtLocked"/>
                <w:richText/>
              </w:sdtPr>
              <w:sdtContent>
                <w:p>
                  <w:pPr>
                    <w:shd w:val="clear" w:color="000000" w:fill="auto"/>
                    <w:suppressAutoHyphens/>
                    <w:ind w:firstLine="709"/>
                    <w:jc w:val="both"/>
                  </w:pPr>
                  <w:sdt>
                    <w:sdtPr>
                      <w:alias w:val="Numeris"/>
                      <w:tag w:val="nr_6e9d312d97e2453c9a393cfd6812e081"/>
                      <w:lock w:val="sdtLocked"/>
                      <w:richText/>
                    </w:sdtPr>
                    <w:sdtContent>
                      <w:r>
                        <w:rPr>
                          <w:lang w:eastAsia="lt-LT"/>
                        </w:rPr>
                        <w:t>14</w:t>
                      </w:r>
                    </w:sdtContent>
                  </w:sdt>
                  <w:r>
                    <w:rPr>
                      <w:lang w:eastAsia="lt-LT"/>
                    </w:rPr>
                    <w:t>. Statybinių atliekų smulkinimą mobilia įranga statybvietėje gali vykdyti statybines atliekas tvarkančios įmonės, registruotos Atliekų tvarkytojų valstybės registre, vykdančios atliekų apskaitą ir teikiančios atliekų apskaitos ataskaitas pagal Atliekų tvarkymo taisyklėse ir</w:t>
                  </w:r>
                  <w:r>
                    <w:rPr>
                      <w:b/>
                      <w:lang w:eastAsia="lt-LT"/>
                    </w:rPr>
                    <w:t xml:space="preserve"> </w:t>
                  </w:r>
                  <w:r>
                    <w:rPr>
                      <w:lang w:eastAsia="lt-LT"/>
                    </w:rPr>
                    <w:t>Atliekų susidarymo ir tvarkymo apskaitos ir ataskaitų teikimo taisyklėse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6dbd02f5c11e4a83cb4f588d2ac1a">
                    <w:r w:rsidRPr="00532B9F">
                      <w:rPr>
                        <w:rFonts w:ascii="Times New Roman" w:eastAsia="MS Mincho" w:hAnsi="Times New Roman"/>
                        <w:sz w:val="20"/>
                        <w:i/>
                        <w:iCs/>
                        <w:color w:val="0000FF" w:themeColor="hyperlink"/>
                        <w:u w:val="single"/>
                      </w:rPr>
                      <w:t>D1-698</w:t>
                    </w:r>
                  </w:fldSimple>
                  <w:r>
                    <w:rPr>
                      <w:rFonts w:ascii="Times New Roman" w:eastAsia="MS Mincho" w:hAnsi="Times New Roman"/>
                      <w:sz w:val="20"/>
                      <w:i/>
                      <w:iCs/>
                    </w:rPr>
                    <w:t>,
2014-08-28,
paskelbta TAR 2014-08-29, i. k. 2014-11431            </w:t>
                  </w:r>
                </w:p>
                <w:p/>
              </w:sdtContent>
            </w:sdt>
            <w:sdt>
              <w:sdtPr>
                <w:alias w:val="15 p."/>
                <w:tag w:val="part_be6ce450956846d9ae473bb51153fbd9"/>
                <w:lock w:val="sdtLocked"/>
                <w:richText/>
              </w:sdtPr>
              <w:sdtContent>
                <w:p>
                  <w:pPr>
                    <w:tabs>
                      <w:tab w:val="left" w:pos="993"/>
                    </w:tabs>
                    <w:ind w:firstLine="709"/>
                    <w:jc w:val="both"/>
                    <w:textAlignment w:val="baseline"/>
                  </w:pPr>
                  <w:sdt>
                    <w:sdtPr>
                      <w:alias w:val="Numeris"/>
                      <w:tag w:val="nr_be6ce450956846d9ae473bb51153fbd9"/>
                      <w:lock w:val="sdtLocked"/>
                      <w:richText/>
                    </w:sdtPr>
                    <w:sdtContent>
                      <w:r>
                        <w:rPr>
                          <w:rFonts w:eastAsia="Calibri"/>
                          <w:szCs w:val="24"/>
                          <w:lang w:eastAsia="lt-LT"/>
                        </w:rPr>
                        <w:t>15</w:t>
                      </w:r>
                    </w:sdtContent>
                  </w:sdt>
                  <w:r>
                    <w:rPr>
                      <w:rFonts w:eastAsia="Calibri"/>
                      <w:szCs w:val="24"/>
                      <w:lang w:eastAsia="lt-LT"/>
                    </w:rPr>
                    <w:t>. Mobilia įranga susmulkintos statybinės atliekos gali būti naudojamos Taisyklių 16 punkte nurodytais būdais arba kaip produktai, jei atitinka Taisyklių VIII–X skyriuose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005b0ea7511ee9f5b8ffa077f9188">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2024-03-25,
paskelbta TAR 2024-03-25, i. k. 2024-05293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ad371114211f08e9f87c0d053bf09">
                    <w:r w:rsidRPr="00532B9F">
                      <w:rPr>
                        <w:rFonts w:ascii="Times New Roman" w:eastAsia="MS Mincho" w:hAnsi="Times New Roman"/>
                        <w:sz w:val="20"/>
                        <w:i/>
                        <w:iCs/>
                        <w:color w:val="0000FF" w:themeColor="hyperlink"/>
                        <w:u w:val="single"/>
                      </w:rPr>
                      <w:t>D1-43</w:t>
                    </w:r>
                  </w:fldSimple>
                  <w:r>
                    <w:rPr>
                      <w:rFonts w:ascii="Times New Roman" w:eastAsia="MS Mincho" w:hAnsi="Times New Roman"/>
                      <w:sz w:val="20"/>
                      <w:i/>
                      <w:iCs/>
                    </w:rPr>
                    <w:t>,
2025-04-04,
paskelbta TAR 2025-04-04, i. k. 2025-05980            </w:t>
                  </w:r>
                </w:p>
                <w:p/>
              </w:sdtContent>
            </w:sdt>
          </w:sdtContent>
        </w:sdt>
        <w:sdt>
          <w:sdtPr>
            <w:alias w:val="skyrius"/>
            <w:tag w:val="part_45f898ac44a4416ab4d9f8a9f782c504"/>
            <w:lock w:val="sdtLocked"/>
            <w:richText/>
          </w:sdtPr>
          <w:sdtContent>
            <w:p>
              <w:pPr>
                <w:widowControl w:val="0"/>
                <w:shd w:val="clear" w:color="auto" w:fill="FFFFFF"/>
                <w:jc w:val="center"/>
                <w:rPr>
                  <w:b/>
                  <w:bCs/>
                </w:rPr>
              </w:pPr>
              <w:sdt>
                <w:sdtPr>
                  <w:alias w:val="Numeris"/>
                  <w:tag w:val="nr_45f898ac44a4416ab4d9f8a9f782c504"/>
                  <w:lock w:val="sdtLocked"/>
                  <w:richText/>
                </w:sdtPr>
                <w:sdtContent>
                  <w:r>
                    <w:rPr>
                      <w:b/>
                      <w:bCs/>
                    </w:rPr>
                    <w:t>V</w:t>
                  </w:r>
                </w:sdtContent>
              </w:sdt>
              <w:r>
                <w:rPr>
                  <w:b/>
                  <w:bCs/>
                </w:rPr>
                <w:t xml:space="preserve"> SKYRIUS</w:t>
              </w:r>
            </w:p>
            <w:p>
              <w:pPr>
                <w:widowControl w:val="0"/>
                <w:shd w:val="clear" w:color="auto" w:fill="FFFFFF"/>
                <w:jc w:val="center"/>
              </w:pPr>
              <w:sdt>
                <w:sdtPr>
                  <w:alias w:val="Pavadinimas"/>
                  <w:tag w:val="title_45f898ac44a4416ab4d9f8a9f782c504"/>
                  <w:lock w:val="sdtLocked"/>
                  <w:richText/>
                </w:sdtPr>
                <w:sdtContent>
                  <w:r>
                    <w:rPr>
                      <w:b/>
                      <w:bCs/>
                    </w:rPr>
                    <w:t xml:space="preserve">NEAPDOROTŲ STATYBINIŲ ATLIEKŲ SUNAUDOJIMAS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005b0ea7511ee9f5b8ffa077f9188">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2024-03-25,
paskelbta TAR 2024-03-25, i. k. 2024-05293        </w:t>
              </w:r>
            </w:p>
            <w:p/>
            <w:sdt>
              <w:sdtPr>
                <w:alias w:val="16 p."/>
                <w:tag w:val="part_7010a024a99344738ed5d4b4c8255e5b"/>
                <w:lock w:val="sdtLocked"/>
                <w:richText/>
              </w:sdtPr>
              <w:sdtContent>
                <w:p>
                  <w:pPr>
                    <w:widowControl w:val="0"/>
                    <w:shd w:val="clear" w:color="auto" w:fill="FFFFFF"/>
                    <w:ind w:firstLine="709"/>
                    <w:jc w:val="both"/>
                  </w:pPr>
                  <w:sdt>
                    <w:sdtPr>
                      <w:alias w:val="Numeris"/>
                      <w:tag w:val="nr_7010a024a99344738ed5d4b4c8255e5b"/>
                      <w:lock w:val="sdtLocked"/>
                      <w:richText/>
                    </w:sdtPr>
                    <w:sdtContent>
                      <w:r>
                        <w:t>16</w:t>
                      </w:r>
                    </w:sdtContent>
                  </w:sdt>
                  <w:r>
                    <w:t>. Neapdorotos nepavojingos statybinės atliekos gali būti sunaudojamos:</w:t>
                  </w:r>
                </w:p>
                <w:sdt>
                  <w:sdtPr>
                    <w:alias w:val="16.1 p."/>
                    <w:tag w:val="part_98809cc557344e0e9cfcbdae60858560"/>
                    <w:lock w:val="sdtLocked"/>
                    <w:richText/>
                  </w:sdtPr>
                  <w:sdtContent>
                    <w:p>
                      <w:pPr>
                        <w:tabs>
                          <w:tab w:val="left" w:pos="993"/>
                        </w:tabs>
                        <w:ind w:firstLine="709"/>
                        <w:jc w:val="both"/>
                        <w:textAlignment w:val="baseline"/>
                      </w:pPr>
                      <w:sdt>
                        <w:sdtPr>
                          <w:alias w:val="Numeris"/>
                          <w:tag w:val="nr_98809cc557344e0e9cfcbdae60858560"/>
                          <w:lock w:val="sdtLocked"/>
                          <w:richText/>
                        </w:sdtPr>
                        <w:sdtContent>
                          <w:r>
                            <w:rPr>
                              <w:rFonts w:eastAsia="Calibri"/>
                              <w:szCs w:val="24"/>
                              <w:lang w:eastAsia="lt-LT"/>
                            </w:rPr>
                            <w:t>16.1</w:t>
                          </w:r>
                        </w:sdtContent>
                      </w:sdt>
                      <w:r>
                        <w:rPr>
                          <w:rFonts w:eastAsia="Calibri"/>
                          <w:szCs w:val="24"/>
                          <w:lang w:eastAsia="lt-LT"/>
                        </w:rPr>
                        <w:t>. statybvietėje, kurioje šios atliekos susidaro, kaip užpildas ar konstrukcinė medžiaga – inertinių atliekų (betonas, plytos, čerpės, keramika</w:t>
                      </w:r>
                      <w:r>
                        <w:rPr>
                          <w:rFonts w:eastAsia="Calibri"/>
                          <w:color w:val="000000"/>
                          <w:szCs w:val="24"/>
                          <w:lang w:eastAsia="lt-LT"/>
                        </w:rPr>
                        <w:t xml:space="preserve">, </w:t>
                      </w:r>
                      <w:r>
                        <w:rPr>
                          <w:color w:val="000000"/>
                          <w:szCs w:val="24"/>
                        </w:rPr>
                        <w:t>užpildai, nesurištieji mišiniai ir gruntai, naudotas asfaltas</w:t>
                      </w:r>
                      <w:r>
                        <w:rPr>
                          <w:rFonts w:eastAsia="Calibri"/>
                          <w:szCs w:val="24"/>
                          <w:lang w:eastAsia="lt-LT"/>
                        </w:rPr>
                        <w:t xml:space="preserve"> ir kt.) frakcija, kurios dalelių dydis ne didesnis kaip 150 mm ir mechaninis atsparumas atitinka konstrukcijai (užpildui) nustatytus reikalavimus, naudojama laikiniems keliams statybvietėje tiesti arba kaip gruntas. Šiame papunktyje nurodytu atveju planuojamas atliekų naudojimas laikiniems keliams statybvietėje tiesti turi būti numatytas statinio projekte, jeigu jis rengiamas </w:t>
                      </w:r>
                      <w:r>
                        <w:rPr>
                          <w:rFonts w:eastAsia="Calibri"/>
                          <w:color w:val="000000"/>
                          <w:szCs w:val="24"/>
                          <w:lang w:eastAsia="lt-LT"/>
                        </w:rPr>
                        <w:t>vadovaujantis Statybos įstatymu</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bb69199fe11f0a8bbd1e98310677d">
                        <w:r w:rsidRPr="00532B9F">
                          <w:rPr>
                            <w:rFonts w:ascii="Times New Roman" w:eastAsia="MS Mincho" w:hAnsi="Times New Roman"/>
                            <w:sz w:val="20"/>
                            <w:i/>
                            <w:iCs/>
                            <w:color w:val="0000FF" w:themeColor="hyperlink"/>
                            <w:u w:val="single"/>
                          </w:rPr>
                          <w:t>D1-143</w:t>
                        </w:r>
                      </w:fldSimple>
                      <w:r>
                        <w:rPr>
                          <w:rFonts w:ascii="Times New Roman" w:eastAsia="MS Mincho" w:hAnsi="Times New Roman"/>
                          <w:sz w:val="20"/>
                          <w:i/>
                          <w:iCs/>
                        </w:rPr>
                        <w:t>,
2025-09-25,
paskelbta TAR 2025-09-25, i. k. 2025-16004            </w:t>
                      </w:r>
                    </w:p>
                    <w:p/>
                  </w:sdtContent>
                </w:sdt>
                <w:sdt>
                  <w:sdtPr>
                    <w:alias w:val="16.2 p."/>
                    <w:tag w:val="part_9f54fe3383c34b308ad9a12e66ca917a"/>
                    <w:lock w:val="sdtLocked"/>
                    <w:richText/>
                  </w:sdtPr>
                  <w:sdtContent>
                    <w:p>
                      <w:pPr>
                        <w:suppressAutoHyphens/>
                        <w:ind w:firstLine="709"/>
                        <w:jc w:val="both"/>
                      </w:pPr>
                      <w:sdt>
                        <w:sdtPr>
                          <w:alias w:val="Numeris"/>
                          <w:tag w:val="nr_9f54fe3383c34b308ad9a12e66ca917a"/>
                          <w:lock w:val="sdtLocked"/>
                          <w:richText/>
                        </w:sdtPr>
                        <w:sdtContent>
                          <w:r>
                            <w:rPr>
                              <w:lang w:eastAsia="lt-LT"/>
                            </w:rPr>
                            <w:t>16.2</w:t>
                          </w:r>
                        </w:sdtContent>
                      </w:sdt>
                      <w:r>
                        <w:rPr>
                          <w:lang w:eastAsia="lt-LT"/>
                        </w:rPr>
                        <w:t xml:space="preserve">. energijos gavybai − medienos atliekos, kurios neapdorotos medienos konservantais, nepadengtos gruntu ar dažais, kaip nustatyta dokumente „Atliekų deginimo aplinkosauginiai reikalavimai“, patvirtintame Lietuvos Respublikos aplinkos ministro 2002 m. gruodžio 31 d. įsakymu </w:t>
                      </w:r>
                      <w:r>
                        <w:rPr>
                          <w:iCs/>
                          <w:color w:val="000000"/>
                          <w:lang w:eastAsia="lt-LT"/>
                        </w:rPr>
                        <w:t>Nr. 699</w:t>
                      </w:r>
                      <w:r>
                        <w:rPr>
                          <w:lang w:eastAsia="lt-LT"/>
                        </w:rPr>
                        <w:t xml:space="preserve"> „Dėl Atliekų deginimo aplinkosauginių reikalavimų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6dbd02f5c11e4a83cb4f588d2ac1a">
                        <w:r w:rsidRPr="00532B9F">
                          <w:rPr>
                            <w:rFonts w:ascii="Times New Roman" w:eastAsia="MS Mincho" w:hAnsi="Times New Roman"/>
                            <w:sz w:val="20"/>
                            <w:i/>
                            <w:iCs/>
                            <w:color w:val="0000FF" w:themeColor="hyperlink"/>
                            <w:u w:val="single"/>
                          </w:rPr>
                          <w:t>D1-698</w:t>
                        </w:r>
                      </w:fldSimple>
                      <w:r>
                        <w:rPr>
                          <w:rFonts w:ascii="Times New Roman" w:eastAsia="MS Mincho" w:hAnsi="Times New Roman"/>
                          <w:sz w:val="20"/>
                          <w:i/>
                          <w:iCs/>
                        </w:rPr>
                        <w:t>,
2014-08-28,
paskelbta TAR 2014-08-29, i. k. 2014-11431            </w:t>
                      </w:r>
                    </w:p>
                    <w:p/>
                  </w:sdtContent>
                </w:sdt>
                <w:sdt>
                  <w:sdtPr>
                    <w:alias w:val="16.3 p."/>
                    <w:tag w:val="part_14bc606040a9485bae3365512ca2035e"/>
                    <w:lock w:val="sdtLocked"/>
                    <w:richText/>
                  </w:sdtPr>
                  <w:sdtContent>
                    <w:p>
                      <w:pPr>
                        <w:widowControl w:val="0"/>
                        <w:shd w:val="clear" w:color="auto" w:fill="FFFFFF"/>
                        <w:ind w:firstLine="709"/>
                        <w:jc w:val="both"/>
                      </w:pPr>
                      <w:sdt>
                        <w:sdtPr>
                          <w:alias w:val="Numeris"/>
                          <w:tag w:val="nr_14bc606040a9485bae3365512ca2035e"/>
                          <w:lock w:val="sdtLocked"/>
                          <w:richText/>
                        </w:sdtPr>
                        <w:sdtContent>
                          <w:r>
                            <w:t>16.3</w:t>
                          </w:r>
                        </w:sdtContent>
                      </w:sdt>
                      <w:r>
                        <w:t>. kaip užpildas ar konstrukcinė medžiaga inertinių atliekų (betono, plytų, čerpių, keramikos ir kt.) frakciją, kurios dalelių dydis ne didesnis kaip 150 mm ir mechaninis atsparumas tenkina konstrukcijai (užpildui) nustatytus reikalavimus, laikiniems keliams atliekų sąvartynuose tiesti;</w:t>
                      </w:r>
                    </w:p>
                  </w:sdtContent>
                </w:sdt>
                <w:sdt>
                  <w:sdtPr>
                    <w:alias w:val="16.4 p."/>
                    <w:tag w:val="part_1afb73aaa37b407c9cafc434c2332894"/>
                    <w:lock w:val="sdtLocked"/>
                    <w:richText/>
                  </w:sdtPr>
                  <w:sdtContent>
                    <w:p>
                      <w:pPr>
                        <w:widowControl w:val="0"/>
                        <w:shd w:val="clear" w:color="auto" w:fill="FFFFFF"/>
                        <w:ind w:firstLine="709"/>
                        <w:jc w:val="both"/>
                      </w:pPr>
                      <w:sdt>
                        <w:sdtPr>
                          <w:alias w:val="Numeris"/>
                          <w:tag w:val="nr_1afb73aaa37b407c9cafc434c2332894"/>
                          <w:lock w:val="sdtLocked"/>
                          <w:richText/>
                        </w:sdtPr>
                        <w:sdtContent>
                          <w:r>
                            <w:t>16.4</w:t>
                          </w:r>
                        </w:sdtContent>
                      </w:sdt>
                      <w:r>
                        <w:t>. atliekų sluoksnių perdengimui sąvartynuose – pavojingomis medžiagomis neužterštas gruntas arba kitos savo fizine struktūra panašios inertines atliekos (pvz., atsijos, akmens vatos atliekos ir pan.).</w:t>
                      </w:r>
                    </w:p>
                    <w:p>
                      <w:pPr>
                        <w:ind w:firstLine="709"/>
                        <w:jc w:val="both"/>
                      </w:pPr>
                    </w:p>
                  </w:sdtContent>
                </w:sdt>
              </w:sdtContent>
            </w:sdt>
          </w:sdtContent>
        </w:sdt>
        <w:sdt>
          <w:sdtPr>
            <w:alias w:val="skyrius"/>
            <w:tag w:val="part_f84fb0bebb8f48f7b73575706d67f14e"/>
            <w:lock w:val="sdtLocked"/>
            <w:richText/>
          </w:sdtPr>
          <w:sdtContent>
            <w:p>
              <w:pPr>
                <w:widowControl w:val="0"/>
                <w:shd w:val="clear" w:color="auto" w:fill="FFFFFF"/>
                <w:jc w:val="center"/>
                <w:rPr>
                  <w:b/>
                  <w:bCs/>
                </w:rPr>
              </w:pPr>
              <w:sdt>
                <w:sdtPr>
                  <w:alias w:val="Numeris"/>
                  <w:tag w:val="nr_f84fb0bebb8f48f7b73575706d67f14e"/>
                  <w:lock w:val="sdtLocked"/>
                  <w:richText/>
                </w:sdtPr>
                <w:sdtContent>
                  <w:r>
                    <w:rPr>
                      <w:b/>
                      <w:bCs/>
                    </w:rPr>
                    <w:t>VI</w:t>
                  </w:r>
                </w:sdtContent>
              </w:sdt>
              <w:r>
                <w:rPr>
                  <w:b/>
                  <w:bCs/>
                </w:rPr>
                <w:t xml:space="preserve"> SKYRIUS</w:t>
              </w:r>
            </w:p>
            <w:p>
              <w:pPr>
                <w:widowControl w:val="0"/>
                <w:shd w:val="clear" w:color="auto" w:fill="FFFFFF"/>
                <w:jc w:val="center"/>
              </w:pPr>
              <w:sdt>
                <w:sdtPr>
                  <w:alias w:val="Pavadinimas"/>
                  <w:tag w:val="title_f84fb0bebb8f48f7b73575706d67f14e"/>
                  <w:lock w:val="sdtLocked"/>
                  <w:richText/>
                </w:sdtPr>
                <w:sdtContent>
                  <w:r>
                    <w:rPr>
                      <w:b/>
                      <w:bCs/>
                    </w:rPr>
                    <w:t xml:space="preserve">STATYBINIŲ ATLIEKŲ VEŽIMAS, NAUDOJIMAS IR ŠALINIMAS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005b0ea7511ee9f5b8ffa077f9188">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2024-03-25,
paskelbta TAR 2024-03-25, i. k. 2024-05293        </w:t>
              </w:r>
            </w:p>
            <w:p/>
            <w:sdt>
              <w:sdtPr>
                <w:alias w:val="17 p."/>
                <w:tag w:val="part_20853b81eabb4817aaf9d473f4740c35"/>
                <w:lock w:val="sdtLocked"/>
                <w:richText/>
              </w:sdtPr>
              <w:sdtContent>
                <w:p>
                  <w:pPr>
                    <w:widowControl w:val="0"/>
                    <w:shd w:val="clear" w:color="auto" w:fill="FFFFFF"/>
                    <w:ind w:firstLine="709"/>
                    <w:jc w:val="both"/>
                  </w:pPr>
                  <w:sdt>
                    <w:sdtPr>
                      <w:alias w:val="Numeris"/>
                      <w:tag w:val="nr_20853b81eabb4817aaf9d473f4740c35"/>
                      <w:lock w:val="sdtLocked"/>
                      <w:richText/>
                    </w:sdtPr>
                    <w:sdtContent>
                      <w:r>
                        <w:t>17</w:t>
                      </w:r>
                    </w:sdtContent>
                  </w:sdt>
                  <w:r>
                    <w:t>. Dulkančios statybinės atliekos turi būti vežamos dengtose transporto priemonėse ar naudojant kitas priemones, kurios užtikrintų, kad vežamos šios atliekos ir jų dalys vežimo metu nepatektų į aplinką.</w:t>
                  </w:r>
                </w:p>
              </w:sdtContent>
            </w:sdt>
            <w:sdt>
              <w:sdtPr>
                <w:alias w:val="18 p."/>
                <w:tag w:val="part_942041835d7940e1a24d1f0411331c52"/>
                <w:lock w:val="sdtLocked"/>
                <w:richText/>
              </w:sdtPr>
              <w:sdtContent>
                <w:p>
                  <w:pPr>
                    <w:widowControl w:val="0"/>
                    <w:shd w:val="clear" w:color="auto" w:fill="FFFFFF"/>
                    <w:ind w:firstLine="709"/>
                    <w:jc w:val="both"/>
                  </w:pPr>
                  <w:sdt>
                    <w:sdtPr>
                      <w:alias w:val="Numeris"/>
                      <w:tag w:val="nr_942041835d7940e1a24d1f0411331c52"/>
                      <w:lock w:val="sdtLocked"/>
                      <w:richText/>
                    </w:sdtPr>
                    <w:sdtContent>
                      <w:r>
                        <w:t>18</w:t>
                      </w:r>
                    </w:sdtContent>
                  </w:sdt>
                  <w:r>
                    <w:t>. Pavojingos statybinės atliekos turi būti vežamos laikantis Atliekų tvarkymo taisyklėse nustatytų reikalavimų.</w:t>
                  </w:r>
                </w:p>
              </w:sdtContent>
            </w:sdt>
            <w:sdt>
              <w:sdtPr>
                <w:alias w:val="19 p."/>
                <w:tag w:val="part_a0f181893f5541c9a69645f37cdcafbf"/>
                <w:lock w:val="sdtLocked"/>
                <w:richText/>
              </w:sdtPr>
              <w:sdtContent>
                <w:p>
                  <w:pPr>
                    <w:widowControl w:val="0"/>
                    <w:shd w:val="clear" w:color="auto" w:fill="FFFFFF"/>
                    <w:ind w:firstLine="709"/>
                    <w:jc w:val="both"/>
                  </w:pPr>
                  <w:sdt>
                    <w:sdtPr>
                      <w:alias w:val="Numeris"/>
                      <w:tag w:val="nr_a0f181893f5541c9a69645f37cdcafbf"/>
                      <w:lock w:val="sdtLocked"/>
                      <w:richText/>
                    </w:sdtPr>
                    <w:sdtContent>
                      <w:r>
                        <w:t>19</w:t>
                      </w:r>
                    </w:sdtContent>
                  </w:sdt>
                  <w:r>
                    <w:t>. Statybines atliekas naudojančios (ar) šalinančios įmonės turi nustatyti priimamų naudoti ir (ar) šalinti statybinių atliekų sąrašą ir šių atliekų kokybės reikalavimus.</w:t>
                  </w:r>
                </w:p>
              </w:sdtContent>
            </w:sdt>
            <w:sdt>
              <w:sdtPr>
                <w:alias w:val="20 p."/>
                <w:tag w:val="part_30358bc1fd294ae9b2c0afe0e5fa2cdc"/>
                <w:lock w:val="sdtLocked"/>
                <w:richText/>
              </w:sdtPr>
              <w:sdtContent>
                <w:p>
                  <w:pPr>
                    <w:widowControl w:val="0"/>
                    <w:ind w:firstLine="709"/>
                    <w:jc w:val="both"/>
                  </w:pPr>
                  <w:sdt>
                    <w:sdtPr>
                      <w:alias w:val="Numeris"/>
                      <w:tag w:val="nr_30358bc1fd294ae9b2c0afe0e5fa2cdc"/>
                      <w:lock w:val="sdtLocked"/>
                      <w:richText/>
                    </w:sdtPr>
                    <w:sdtContent>
                      <w:r>
                        <w:t>20</w:t>
                      </w:r>
                    </w:sdtContent>
                  </w:sdt>
                  <w:r>
                    <w:t xml:space="preserve">. Naudojimui ir (ar) šalinimui atvežtas statybines atliekas patikrina statybines atliekas naudojanti ir (ar) šalinanti įmonė. Jei statybinių atliekų turėtojo atvežtos statybinės atliekos neatitinka statybines atliekas naudojančios ir (ar) šalinančios įmonės nustatytų atliekų kokybės reikalavimų ir todėl nepriimamos, atliekas naudojanti ir (ar) šalinanti įmonė turi nedelsdama informuoti apie tai Aplinkos apsaugos departamentą prie Aplinkos ministerijos.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8d7e00695211e8ac27abd8fa093003">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2018-06-05,
paskelbta TAR 2018-06-06, i. k. 2018-09445            </w:t>
                  </w:r>
                </w:p>
                <w:p/>
              </w:sdtContent>
            </w:sdt>
            <w:sdt>
              <w:sdtPr>
                <w:alias w:val="21 p."/>
                <w:tag w:val="part_fa7f8612649d4aa6b0ba1ec3c1a9f01c"/>
                <w:lock w:val="sdtLocked"/>
                <w:richText/>
              </w:sdtPr>
              <w:sdtContent>
                <w:p>
                  <w:pPr>
                    <w:widowControl w:val="0"/>
                    <w:shd w:val="clear" w:color="auto" w:fill="FFFFFF"/>
                    <w:ind w:firstLine="709"/>
                    <w:jc w:val="both"/>
                  </w:pPr>
                  <w:sdt>
                    <w:sdtPr>
                      <w:alias w:val="Numeris"/>
                      <w:tag w:val="nr_fa7f8612649d4aa6b0ba1ec3c1a9f01c"/>
                      <w:lock w:val="sdtLocked"/>
                      <w:richText/>
                    </w:sdtPr>
                    <w:sdtContent>
                      <w:r>
                        <w:t>21</w:t>
                      </w:r>
                    </w:sdtContent>
                  </w:sdt>
                  <w:r>
                    <w:t>. Taisyklių 20 punkte nurodytu atveju statybinių atliekų turėtojas statybines atliekas naudojančios ir (ar) šalinančios įmonės nepriimtas statybines atliekas turi perduoti kitam atliekų tvarkytojui.</w:t>
                  </w:r>
                </w:p>
              </w:sdtContent>
            </w:sdt>
            <w:sdt>
              <w:sdtPr>
                <w:alias w:val="22 p."/>
                <w:tag w:val="part_dce8468ef5d1469899614c708a22a5a5"/>
                <w:lock w:val="sdtLocked"/>
                <w:richText/>
              </w:sdtPr>
              <w:sdtContent>
                <w:p>
                  <w:pPr>
                    <w:widowControl w:val="0"/>
                    <w:shd w:val="clear" w:color="auto" w:fill="FFFFFF"/>
                    <w:ind w:firstLine="709"/>
                    <w:jc w:val="both"/>
                  </w:pPr>
                  <w:sdt>
                    <w:sdtPr>
                      <w:alias w:val="Numeris"/>
                      <w:tag w:val="nr_dce8468ef5d1469899614c708a22a5a5"/>
                      <w:lock w:val="sdtLocked"/>
                      <w:richText/>
                    </w:sdtPr>
                    <w:sdtContent>
                      <w:r>
                        <w:t>22</w:t>
                      </w:r>
                    </w:sdtContent>
                  </w:sdt>
                  <w:r>
                    <w:t>. Statybinės atliekos, kurių perdirbti ar kitaip panaudoti nėra galimybių, turi būti šalinamos pagal Atliekų sąvartynų įrengimo, eksploatavimo, uždarymo ir priežiūros po uždarymo taisyklėse nustatytus reikalavimus.</w:t>
                  </w:r>
                </w:p>
              </w:sdtContent>
            </w:sdt>
            <w:sdt>
              <w:sdtPr>
                <w:alias w:val="23 p."/>
                <w:tag w:val="part_3848d8d292fe4730811c0a6ebe0b251e"/>
                <w:lock w:val="sdtLocked"/>
                <w:richText/>
              </w:sdtPr>
              <w:sdtContent>
                <w:p>
                  <w:pPr>
                    <w:widowControl w:val="0"/>
                    <w:shd w:val="clear" w:color="auto" w:fill="FFFFFF"/>
                    <w:ind w:firstLine="709"/>
                    <w:jc w:val="both"/>
                  </w:pPr>
                  <w:sdt>
                    <w:sdtPr>
                      <w:alias w:val="Numeris"/>
                      <w:tag w:val="nr_3848d8d292fe4730811c0a6ebe0b251e"/>
                      <w:lock w:val="sdtLocked"/>
                      <w:richText/>
                    </w:sdtPr>
                    <w:sdtContent>
                      <w:r>
                        <w:t>23</w:t>
                      </w:r>
                    </w:sdtContent>
                  </w:sdt>
                  <w:r>
                    <w:t>. PCB/PCT turinčios statybinės atliekos naudojamos ir (ar) šalinamos pagal Polichlorintų bifenilų ir polichlorintų terfenilų (PCB/PCT) tvarkymo taisyklių ir Europos Parlamento ir Tarybos reglamento (EB) Nr. 850/2004 dėl patvariųjų organinių teršalų ir iš dalies keičiančio direktyvą 79/117/EEB reikalavimus.</w:t>
                  </w:r>
                </w:p>
                <w:p>
                  <w:pPr>
                    <w:ind w:firstLine="709"/>
                    <w:jc w:val="both"/>
                  </w:pPr>
                </w:p>
              </w:sdtContent>
            </w:sdt>
          </w:sdtContent>
        </w:sdt>
        <w:sdt>
          <w:sdtPr>
            <w:alias w:val="skyrius"/>
            <w:tag w:val="part_f15eb9f5c3264f7f836df12b5d011585"/>
            <w:lock w:val="sdtLocked"/>
            <w:richText/>
          </w:sdtPr>
          <w:sdtContent>
            <w:p>
              <w:pPr>
                <w:widowControl w:val="0"/>
                <w:shd w:val="clear" w:color="auto" w:fill="FFFFFF"/>
                <w:jc w:val="center"/>
                <w:rPr>
                  <w:b/>
                  <w:bCs/>
                </w:rPr>
              </w:pPr>
              <w:sdt>
                <w:sdtPr>
                  <w:alias w:val="Numeris"/>
                  <w:tag w:val="nr_f15eb9f5c3264f7f836df12b5d011585"/>
                  <w:lock w:val="sdtLocked"/>
                  <w:richText/>
                </w:sdtPr>
                <w:sdtContent>
                  <w:r>
                    <w:rPr>
                      <w:b/>
                      <w:bCs/>
                    </w:rPr>
                    <w:t>VII</w:t>
                  </w:r>
                </w:sdtContent>
              </w:sdt>
              <w:r>
                <w:rPr>
                  <w:b/>
                  <w:bCs/>
                </w:rPr>
                <w:t xml:space="preserve"> SKYRIUS</w:t>
              </w:r>
            </w:p>
            <w:p>
              <w:pPr>
                <w:widowControl w:val="0"/>
                <w:shd w:val="clear" w:color="auto" w:fill="FFFFFF"/>
                <w:jc w:val="center"/>
              </w:pPr>
              <w:sdt>
                <w:sdtPr>
                  <w:alias w:val="Pavadinimas"/>
                  <w:tag w:val="title_f15eb9f5c3264f7f836df12b5d011585"/>
                  <w:lock w:val="sdtLocked"/>
                  <w:richText/>
                </w:sdtPr>
                <w:sdtContent>
                  <w:r>
                    <w:rPr>
                      <w:b/>
                      <w:bCs/>
                    </w:rPr>
                    <w:t xml:space="preserve">ASBESTO TURINČIŲ STATYBINIŲ ATLIEKŲ TVARKYMAS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005b0ea7511ee9f5b8ffa077f9188">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2024-03-25,
paskelbta TAR 2024-03-25, i. k. 2024-05293        </w:t>
              </w:r>
            </w:p>
            <w:p/>
            <w:sdt>
              <w:sdtPr>
                <w:alias w:val="24 p."/>
                <w:tag w:val="part_ac19e0f8093f48e1aeeec561e0416dbc"/>
                <w:lock w:val="sdtLocked"/>
                <w:richText/>
              </w:sdtPr>
              <w:sdtContent>
                <w:p>
                  <w:pPr>
                    <w:suppressAutoHyphens/>
                    <w:ind w:firstLine="709"/>
                    <w:jc w:val="both"/>
                  </w:pPr>
                  <w:sdt>
                    <w:sdtPr>
                      <w:alias w:val="Numeris"/>
                      <w:tag w:val="nr_ac19e0f8093f48e1aeeec561e0416dbc"/>
                      <w:lock w:val="sdtLocked"/>
                      <w:richText/>
                    </w:sdtPr>
                    <w:sdtContent>
                      <w:r>
                        <w:rPr>
                          <w:szCs w:val="24"/>
                          <w:lang w:eastAsia="lt-LT"/>
                        </w:rPr>
                        <w:t>24</w:t>
                      </w:r>
                    </w:sdtContent>
                  </w:sdt>
                  <w:r>
                    <w:rPr>
                      <w:szCs w:val="24"/>
                      <w:lang w:eastAsia="lt-LT"/>
                    </w:rPr>
                    <w:t>. Statinių, kurių konstrukcijose yra asbesto, rekonstravimo, griovimo, remonto, konstrukcijų ar asbesto pašalinimo darbai turi būti vykdomi pagal Darbo su asbestu nuostatus, patvirtintus Lietuvos Respublikos socialinės apsaugos ir darbo ministro ir Lietuvos Respublikos sveikatos apsaugos ministro 2004 m. liepos 16 d. įsakymu Nr. A1-184/V-546 „Dėl Darbo su asbestu nuostatų patvirtinimo“. Tokių statinių rekonstravimo, griovimo, remonto, konstrukcijų ar asbesto pašalinimo darbus gali vykdyti įmonės, atitinkančios Kompetencijos reikalavimų įmonėms, vykdančioms statinių, turinčių konstrukcijose asbesto, griovimo, jų konstrukcijų ar asbesto šalinimo darbus, apraše, patvirtintame Lietuvos Respublikos socialinės apsaugos ir darbo ministro 2005 m. liepos 12 d. įsakymu Nr. A1-199 „</w:t>
                  </w:r>
                  <w:r>
                    <w:rPr>
                      <w:lang w:eastAsia="lt-LT"/>
                    </w:rPr>
                    <w:t>Dėl Kompetencijos reikalavimų įmonėms, vykdančioms statinių, turinčių konstrukcijose asbesto, griovimo, jų konstrukcijų ar asbesto šalinimo darbus, aprašo tvirtinimo</w:t>
                  </w:r>
                  <w:r>
                    <w:rPr>
                      <w:szCs w:val="24"/>
                      <w:lang w:eastAsia="lt-LT"/>
                    </w:rPr>
                    <w:t>“,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6dbd02f5c11e4a83cb4f588d2ac1a">
                    <w:r w:rsidRPr="00532B9F">
                      <w:rPr>
                        <w:rFonts w:ascii="Times New Roman" w:eastAsia="MS Mincho" w:hAnsi="Times New Roman"/>
                        <w:sz w:val="20"/>
                        <w:i/>
                        <w:iCs/>
                        <w:color w:val="0000FF" w:themeColor="hyperlink"/>
                        <w:u w:val="single"/>
                      </w:rPr>
                      <w:t>D1-698</w:t>
                    </w:r>
                  </w:fldSimple>
                  <w:r>
                    <w:rPr>
                      <w:rFonts w:ascii="Times New Roman" w:eastAsia="MS Mincho" w:hAnsi="Times New Roman"/>
                      <w:sz w:val="20"/>
                      <w:i/>
                      <w:iCs/>
                    </w:rPr>
                    <w:t>,
2014-08-28,
paskelbta TAR 2014-08-29, i. k. 2014-11431            </w:t>
                  </w:r>
                </w:p>
                <w:p/>
              </w:sdtContent>
            </w:sdt>
            <w:sdt>
              <w:sdtPr>
                <w:alias w:val="25 p."/>
                <w:tag w:val="part_6c714d5b7b224d6e8bdf054512481311"/>
                <w:lock w:val="sdtLocked"/>
                <w:richText/>
              </w:sdtPr>
              <w:sdtContent>
                <w:p>
                  <w:pPr>
                    <w:widowControl w:val="0"/>
                    <w:shd w:val="clear" w:color="auto" w:fill="FFFFFF"/>
                    <w:ind w:firstLine="709"/>
                    <w:jc w:val="both"/>
                  </w:pPr>
                  <w:sdt>
                    <w:sdtPr>
                      <w:alias w:val="Numeris"/>
                      <w:tag w:val="nr_6c714d5b7b224d6e8bdf054512481311"/>
                      <w:lock w:val="sdtLocked"/>
                      <w:richText/>
                    </w:sdtPr>
                    <w:sdtContent>
                      <w:r>
                        <w:t>25</w:t>
                      </w:r>
                    </w:sdtContent>
                  </w:sdt>
                  <w:r>
                    <w:t>. Asbesto turinčios statybinės atliekos tvarkomos laikantis pavojingų atliekų tvarkymo reikalavimų, nustatytų Lietuvos Respublikos atliekų tvarkymo įstatyme ir Atliekų tvarkymo taisyklėse, taip pat laikantis šių reikalavimų:</w:t>
                  </w:r>
                </w:p>
                <w:sdt>
                  <w:sdtPr>
                    <w:alias w:val="25.1 p."/>
                    <w:tag w:val="part_96092f601ee441e697d01e025e37f6b8"/>
                    <w:lock w:val="sdtLocked"/>
                    <w:richText/>
                  </w:sdtPr>
                  <w:sdtContent>
                    <w:p>
                      <w:pPr>
                        <w:widowControl w:val="0"/>
                        <w:shd w:val="clear" w:color="auto" w:fill="FFFFFF"/>
                        <w:ind w:firstLine="709"/>
                        <w:jc w:val="both"/>
                      </w:pPr>
                      <w:sdt>
                        <w:sdtPr>
                          <w:alias w:val="Numeris"/>
                          <w:tag w:val="nr_96092f601ee441e697d01e025e37f6b8"/>
                          <w:lock w:val="sdtLocked"/>
                          <w:richText/>
                        </w:sdtPr>
                        <w:sdtContent>
                          <w:r>
                            <w:t>25.1</w:t>
                          </w:r>
                        </w:sdtContent>
                      </w:sdt>
                      <w:r>
                        <w:t>. asbesto turinčios statybinės atliekos statybvietėje turi būti surenkamos atskirai nuo kitų statybinių atliekų;</w:t>
                      </w:r>
                    </w:p>
                  </w:sdtContent>
                </w:sdt>
                <w:sdt>
                  <w:sdtPr>
                    <w:alias w:val="25.2 p."/>
                    <w:tag w:val="part_4c22e78adb3c4643b485ea9dd0bec144"/>
                    <w:lock w:val="sdtLocked"/>
                    <w:richText/>
                  </w:sdtPr>
                  <w:sdtContent>
                    <w:p>
                      <w:pPr>
                        <w:widowControl w:val="0"/>
                        <w:shd w:val="clear" w:color="auto" w:fill="FFFFFF"/>
                        <w:ind w:firstLine="709"/>
                        <w:jc w:val="both"/>
                      </w:pPr>
                      <w:sdt>
                        <w:sdtPr>
                          <w:alias w:val="Numeris"/>
                          <w:tag w:val="nr_4c22e78adb3c4643b485ea9dd0bec144"/>
                          <w:lock w:val="sdtLocked"/>
                          <w:richText/>
                        </w:sdtPr>
                        <w:sdtContent>
                          <w:r>
                            <w:t>25.2</w:t>
                          </w:r>
                        </w:sdtContent>
                      </w:sdt>
                      <w:r>
                        <w:t>. birios (asbesto plaušelius išskiriančios) statybvietėje susidariusios asbesto turinčios statybinės atliekos turi būti sudrėkinamos ir pakuojamos į sandarią plastikinę tarą (dvigubus plastikinius maišus, statines, konteinerius ar kt.). Supakuotos asbesto turinčios statybinės atliekos turi būti ženklinamos pagal Atliekų tvarkymo taisyklių reikalavimus;</w:t>
                      </w:r>
                    </w:p>
                  </w:sdtContent>
                </w:sdt>
                <w:sdt>
                  <w:sdtPr>
                    <w:alias w:val="25.3 p."/>
                    <w:tag w:val="part_35a19fb3646b4e68bf7105495682a411"/>
                    <w:lock w:val="sdtLocked"/>
                    <w:richText/>
                  </w:sdtPr>
                  <w:sdtContent>
                    <w:p>
                      <w:pPr>
                        <w:suppressAutoHyphens/>
                        <w:ind w:firstLine="709"/>
                        <w:jc w:val="both"/>
                      </w:pPr>
                      <w:sdt>
                        <w:sdtPr>
                          <w:alias w:val="Numeris"/>
                          <w:tag w:val="nr_35a19fb3646b4e68bf7105495682a411"/>
                          <w:lock w:val="sdtLocked"/>
                          <w:richText/>
                        </w:sdtPr>
                        <w:sdtContent>
                          <w:r>
                            <w:rPr>
                              <w:lang w:eastAsia="lt-LT"/>
                            </w:rPr>
                            <w:t>25.3</w:t>
                          </w:r>
                        </w:sdtContent>
                      </w:sdt>
                      <w:r>
                        <w:rPr>
                          <w:lang w:eastAsia="lt-LT"/>
                        </w:rPr>
                        <w:t>. asbesto turinčios statybinės atliekos statybvietėje gali būti laikinai laikomos ne ilgiau kaip 6 mėnesius nuo jų susidarymo, tačiau ne ilgiau kaip iki statybos darbų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6dbd02f5c11e4a83cb4f588d2ac1a">
                        <w:r w:rsidRPr="00532B9F">
                          <w:rPr>
                            <w:rFonts w:ascii="Times New Roman" w:eastAsia="MS Mincho" w:hAnsi="Times New Roman"/>
                            <w:sz w:val="20"/>
                            <w:i/>
                            <w:iCs/>
                            <w:color w:val="0000FF" w:themeColor="hyperlink"/>
                            <w:u w:val="single"/>
                          </w:rPr>
                          <w:t>D1-698</w:t>
                        </w:r>
                      </w:fldSimple>
                      <w:r>
                        <w:rPr>
                          <w:rFonts w:ascii="Times New Roman" w:eastAsia="MS Mincho" w:hAnsi="Times New Roman"/>
                          <w:sz w:val="20"/>
                          <w:i/>
                          <w:iCs/>
                        </w:rPr>
                        <w:t>,
2014-08-28,
paskelbta TAR 2014-08-29, i. k. 2014-11431            </w:t>
                      </w:r>
                    </w:p>
                    <w:p/>
                  </w:sdtContent>
                </w:sdt>
                <w:sdt>
                  <w:sdtPr>
                    <w:alias w:val="25.4 p."/>
                    <w:tag w:val="part_5173af254b2e4c578422d2eedaeae073"/>
                    <w:lock w:val="sdtLocked"/>
                    <w:richText/>
                  </w:sdtPr>
                  <w:sdtContent>
                    <w:p>
                      <w:pPr>
                        <w:widowControl w:val="0"/>
                        <w:shd w:val="clear" w:color="auto" w:fill="FFFFFF"/>
                        <w:ind w:firstLine="709"/>
                        <w:jc w:val="both"/>
                      </w:pPr>
                      <w:sdt>
                        <w:sdtPr>
                          <w:alias w:val="Numeris"/>
                          <w:tag w:val="nr_5173af254b2e4c578422d2eedaeae073"/>
                          <w:lock w:val="sdtLocked"/>
                          <w:richText/>
                        </w:sdtPr>
                        <w:sdtContent>
                          <w:r>
                            <w:t>25.4</w:t>
                          </w:r>
                        </w:sdtContent>
                      </w:sdt>
                      <w:r>
                        <w:t>. asbesto turinčios statybinės atliekos turi būti perduodamos asbesto ar asbesto turinčias statybines atliekas šalinančioms įmonėms.</w:t>
                      </w:r>
                    </w:p>
                  </w:sdtContent>
                </w:sdt>
              </w:sdtContent>
            </w:sdt>
            <w:sdt>
              <w:sdtPr>
                <w:alias w:val="26 p."/>
                <w:tag w:val="part_b32133be2e1a499fbfff8b50f4e3da83"/>
                <w:lock w:val="sdtLocked"/>
                <w:richText/>
              </w:sdtPr>
              <w:sdtContent>
                <w:p>
                  <w:pPr>
                    <w:widowControl w:val="0"/>
                    <w:shd w:val="clear" w:color="auto" w:fill="FFFFFF"/>
                    <w:ind w:firstLine="709"/>
                    <w:jc w:val="both"/>
                  </w:pPr>
                  <w:sdt>
                    <w:sdtPr>
                      <w:alias w:val="Numeris"/>
                      <w:tag w:val="nr_b32133be2e1a499fbfff8b50f4e3da83"/>
                      <w:lock w:val="sdtLocked"/>
                      <w:richText/>
                    </w:sdtPr>
                    <w:sdtContent>
                      <w:r>
                        <w:t>26</w:t>
                      </w:r>
                    </w:sdtContent>
                  </w:sdt>
                  <w:r>
                    <w:t>. Asbesto turinčios statybinės atliekos turi būti šalinamos pagal Atliekų sąvartynų įrengimo, eksploatavimo, uždarymo ir priežiūros po uždarymo taisyklėse nustatytus reikalavimus.</w:t>
                  </w:r>
                </w:p>
                <w:p>
                  <w:pPr>
                    <w:ind w:firstLine="709"/>
                    <w:jc w:val="both"/>
                  </w:pPr>
                </w:p>
              </w:sdtContent>
            </w:sdt>
          </w:sdtContent>
        </w:sdt>
        <w:sdt>
          <w:sdtPr>
            <w:alias w:val="skyrius"/>
            <w:tag w:val="part_10924c29e71b48d396279656e8cb514b"/>
            <w:lock w:val="sdtLocked"/>
            <w:richText/>
          </w:sdtPr>
          <w:sdtContent>
            <w:p>
              <w:pPr>
                <w:jc w:val="center"/>
                <w:rPr>
                  <w:lang w:eastAsia="lt-LT"/>
                </w:rPr>
              </w:pPr>
              <w:sdt>
                <w:sdtPr>
                  <w:alias w:val="Numeris"/>
                  <w:tag w:val="nr_10924c29e71b48d396279656e8cb514b"/>
                  <w:lock w:val="sdtLocked"/>
                  <w:richText/>
                </w:sdtPr>
                <w:sdtContent>
                  <w:r>
                    <w:rPr>
                      <w:b/>
                      <w:bCs/>
                      <w:lang w:eastAsia="lt-LT"/>
                    </w:rPr>
                    <w:t>VII</w:t>
                  </w:r>
                  <w:r>
                    <w:rPr>
                      <w:b/>
                      <w:bCs/>
                      <w:vertAlign w:val="superscript"/>
                      <w:lang w:eastAsia="lt-LT"/>
                    </w:rPr>
                    <w:t>1</w:t>
                  </w:r>
                </w:sdtContent>
              </w:sdt>
              <w:r>
                <w:rPr>
                  <w:b/>
                  <w:bCs/>
                  <w:lang w:eastAsia="lt-LT"/>
                </w:rPr>
                <w:t xml:space="preserve"> SKYRIUS</w:t>
              </w:r>
            </w:p>
            <w:p>
              <w:pPr>
                <w:jc w:val="center"/>
                <w:rPr>
                  <w:b/>
                  <w:bCs/>
                  <w:lang w:eastAsia="lt-LT"/>
                </w:rPr>
              </w:pPr>
              <w:sdt>
                <w:sdtPr>
                  <w:alias w:val="Pavadinimas"/>
                  <w:tag w:val="title_10924c29e71b48d396279656e8cb514b"/>
                  <w:lock w:val="sdtLocked"/>
                  <w:richText/>
                </w:sdtPr>
                <w:sdtContent>
                  <w:r>
                    <w:rPr>
                      <w:b/>
                      <w:bCs/>
                      <w:lang w:eastAsia="lt-LT"/>
                    </w:rPr>
                    <w:t xml:space="preserve">OZONO SLUOKSNĮ ARDANČIŲ MEDŽIAGŲ IR FLUORINTŲ ŠILTNAMIO EFEKTĄ SUKELIANČIŲ DUJŲ TURINČIŲ STATYBINIŲ ATLIEKŲ TVARKYMAS </w:t>
                  </w:r>
                </w:sdtContent>
              </w:sdt>
            </w:p>
            <w:p>
              <w:pPr>
                <w:suppressAutoHyphens/>
                <w:jc w:val="center"/>
                <w:rPr>
                  <w:b/>
                  <w:bCs/>
                  <w:lang w:eastAsia="lt-LT"/>
                </w:rPr>
              </w:pPr>
            </w:p>
            <w:sdt>
              <w:sdtPr>
                <w:alias w:val="26-1 p."/>
                <w:tag w:val="part_8bf4ee3ff22243808f989bf30955e45f"/>
                <w:lock w:val="sdtLocked"/>
                <w:richText/>
              </w:sdtPr>
              <w:sdtContent>
                <w:p>
                  <w:pPr>
                    <w:suppressAutoHyphens/>
                    <w:ind w:firstLine="567"/>
                    <w:jc w:val="both"/>
                    <w:rPr>
                      <w:color w:val="000000"/>
                      <w:szCs w:val="24"/>
                      <w:lang w:eastAsia="zh-CN"/>
                    </w:rPr>
                  </w:pPr>
                  <w:sdt>
                    <w:sdtPr>
                      <w:alias w:val="Numeris"/>
                      <w:tag w:val="nr_8bf4ee3ff22243808f989bf30955e45f"/>
                      <w:lock w:val="sdtLocked"/>
                      <w:richText/>
                    </w:sdtPr>
                    <w:sdtContent>
                      <w:r>
                        <w:rPr>
                          <w:color w:val="000000"/>
                          <w:szCs w:val="24"/>
                          <w:lang w:eastAsia="zh-CN"/>
                        </w:rPr>
                        <w:t>26</w:t>
                      </w:r>
                      <w:r>
                        <w:rPr>
                          <w:color w:val="000000"/>
                          <w:szCs w:val="24"/>
                          <w:vertAlign w:val="superscript"/>
                          <w:lang w:eastAsia="zh-CN"/>
                        </w:rPr>
                        <w:t>1</w:t>
                      </w:r>
                    </w:sdtContent>
                  </w:sdt>
                  <w:r>
                    <w:rPr>
                      <w:color w:val="000000"/>
                      <w:szCs w:val="24"/>
                      <w:lang w:eastAsia="zh-CN"/>
                    </w:rPr>
                    <w:t>. Putų plokštės, sluoksniuotosios plokštės ir putos iš putų plokščių ir sluoksniuotųjų plokščių tvarkomos laikantis Reglamento (ES)</w:t>
                  </w:r>
                  <w:r>
                    <w:rPr>
                      <w:lang w:eastAsia="zh-CN"/>
                    </w:rPr>
                    <w:t> </w:t>
                  </w:r>
                  <w:r>
                    <w:rPr>
                      <w:color w:val="000000"/>
                      <w:szCs w:val="24"/>
                      <w:lang w:eastAsia="zh-CN"/>
                    </w:rPr>
                    <w:t>2024/590, Reglamento (ES)</w:t>
                  </w:r>
                  <w:r>
                    <w:rPr>
                      <w:lang w:eastAsia="zh-CN"/>
                    </w:rPr>
                    <w:t> </w:t>
                  </w:r>
                  <w:r>
                    <w:rPr>
                      <w:color w:val="000000"/>
                      <w:szCs w:val="24"/>
                      <w:lang w:eastAsia="zh-CN"/>
                    </w:rPr>
                    <w:t>2024/573, pavojingų atliekų tvarkymo reikalavimų, nustatytų Lietuvos Respublikos atliekų tvarkymo įstatyme ir Atliekų tvarkymo taisyklėse, taip pat laikantis šių reikalavimų:</w:t>
                  </w:r>
                </w:p>
                <w:sdt>
                  <w:sdtPr>
                    <w:alias w:val="26-1.1 pp."/>
                    <w:tag w:val="part_29444150302d46338560cf5408911850"/>
                    <w:lock w:val="sdtLocked"/>
                    <w:richText/>
                  </w:sdtPr>
                  <w:sdtContent>
                    <w:p>
                      <w:pPr>
                        <w:suppressAutoHyphens/>
                        <w:ind w:firstLine="567"/>
                        <w:jc w:val="both"/>
                        <w:rPr>
                          <w:color w:val="000000"/>
                          <w:szCs w:val="24"/>
                          <w:lang w:eastAsia="zh-CN"/>
                        </w:rPr>
                      </w:pPr>
                      <w:sdt>
                        <w:sdtPr>
                          <w:alias w:val="Numeris"/>
                          <w:tag w:val="nr_29444150302d46338560cf5408911850"/>
                          <w:lock w:val="sdtLocked"/>
                          <w:richText/>
                        </w:sdtPr>
                        <w:sdtContent>
                          <w:r>
                            <w:rPr>
                              <w:color w:val="000000"/>
                              <w:szCs w:val="24"/>
                              <w:lang w:eastAsia="zh-CN"/>
                            </w:rPr>
                            <w:t>26</w:t>
                          </w:r>
                          <w:r>
                            <w:rPr>
                              <w:color w:val="000000"/>
                              <w:szCs w:val="24"/>
                              <w:vertAlign w:val="superscript"/>
                              <w:lang w:eastAsia="zh-CN"/>
                            </w:rPr>
                            <w:t>1</w:t>
                          </w:r>
                          <w:r>
                            <w:rPr>
                              <w:color w:val="000000"/>
                              <w:szCs w:val="24"/>
                              <w:lang w:eastAsia="zh-CN"/>
                            </w:rPr>
                            <w:t>.1</w:t>
                          </w:r>
                        </w:sdtContent>
                      </w:sdt>
                      <w:r>
                        <w:rPr>
                          <w:color w:val="000000"/>
                          <w:szCs w:val="24"/>
                          <w:lang w:eastAsia="zh-CN"/>
                        </w:rPr>
                        <w:t>. putų plokštės, sluoksniuotosios plokštės ir putos iš putų plokščių ir sluoksniuotųjų plokščių statybvietėje atliekant statybos darbus (</w:t>
                      </w:r>
                      <w:r>
                        <w:rPr>
                          <w:szCs w:val="24"/>
                          <w:lang w:val="lt" w:eastAsia="zh-CN"/>
                        </w:rPr>
                        <w:t>rekonstruojant, remontuojant ar griaunant statinį)</w:t>
                      </w:r>
                      <w:r>
                        <w:rPr>
                          <w:color w:val="000000"/>
                          <w:szCs w:val="24"/>
                          <w:lang w:eastAsia="zh-CN"/>
                        </w:rPr>
                        <w:t xml:space="preserve"> turi būti pašalinamos iš statinio konstrukcijų stengiantis jų nepažeisti ardant ir smulkinant, kad būtų išvengta ozono sluoksnį ardančių medžiagų </w:t>
                      </w:r>
                      <w:r>
                        <w:rPr>
                          <w:lang w:eastAsia="zh-CN"/>
                        </w:rPr>
                        <w:t>(toliau – OAM)</w:t>
                      </w:r>
                      <w:r>
                        <w:rPr>
                          <w:color w:val="000000"/>
                          <w:szCs w:val="24"/>
                          <w:lang w:eastAsia="zh-CN"/>
                        </w:rPr>
                        <w:t xml:space="preserve"> ir fluorintų šiltnamio efektą sukeliančių dujų </w:t>
                      </w:r>
                      <w:r>
                        <w:rPr>
                          <w:lang w:eastAsia="zh-CN"/>
                        </w:rPr>
                        <w:t>(toliau – F-dujos)</w:t>
                      </w:r>
                      <w:r>
                        <w:rPr>
                          <w:color w:val="000000"/>
                          <w:szCs w:val="24"/>
                          <w:lang w:eastAsia="zh-CN"/>
                        </w:rPr>
                        <w:t xml:space="preserve"> išmetimo į aplinką;</w:t>
                      </w:r>
                    </w:p>
                  </w:sdtContent>
                </w:sdt>
                <w:sdt>
                  <w:sdtPr>
                    <w:alias w:val="26-1.2 pp."/>
                    <w:tag w:val="part_4a4e5466e3434cebb460d239de86050d"/>
                    <w:lock w:val="sdtLocked"/>
                    <w:richText/>
                  </w:sdtPr>
                  <w:sdtContent>
                    <w:p>
                      <w:pPr>
                        <w:suppressAutoHyphens/>
                        <w:ind w:firstLine="567"/>
                        <w:jc w:val="both"/>
                        <w:rPr>
                          <w:color w:val="000000"/>
                          <w:szCs w:val="24"/>
                          <w:lang w:eastAsia="zh-CN"/>
                        </w:rPr>
                      </w:pPr>
                      <w:sdt>
                        <w:sdtPr>
                          <w:alias w:val="Numeris"/>
                          <w:tag w:val="nr_4a4e5466e3434cebb460d239de86050d"/>
                          <w:lock w:val="sdtLocked"/>
                          <w:richText/>
                        </w:sdtPr>
                        <w:sdtContent>
                          <w:r>
                            <w:rPr>
                              <w:color w:val="000000"/>
                              <w:szCs w:val="24"/>
                              <w:lang w:eastAsia="zh-CN"/>
                            </w:rPr>
                            <w:t>26</w:t>
                          </w:r>
                          <w:r>
                            <w:rPr>
                              <w:color w:val="000000"/>
                              <w:szCs w:val="24"/>
                              <w:vertAlign w:val="superscript"/>
                              <w:lang w:eastAsia="zh-CN"/>
                            </w:rPr>
                            <w:t>1</w:t>
                          </w:r>
                          <w:r>
                            <w:rPr>
                              <w:color w:val="000000"/>
                              <w:szCs w:val="24"/>
                              <w:lang w:eastAsia="zh-CN"/>
                            </w:rPr>
                            <w:t>.2</w:t>
                          </w:r>
                        </w:sdtContent>
                      </w:sdt>
                      <w:r>
                        <w:rPr>
                          <w:color w:val="000000"/>
                          <w:szCs w:val="24"/>
                          <w:lang w:eastAsia="zh-CN"/>
                        </w:rPr>
                        <w:t>. surenkant, vežant ir apdorojant putų plokščių, sluoksniuotųjų plokščių ir putų iš putų plokščių ir sluoksniuotųjų plokščių statybines atliekas turi būti išvengta OAM ir F-dujų išmetimo. OAM ir F-dujos surenkamos iš putų plokščių, sluoksniuotųjų plokščių, putų iš putų plokščių ir sluoksniuotųjų plokščių atliekų prieš toliau jas apdorojant vadovaujantis Reglamento</w:t>
                      </w:r>
                      <w:r>
                        <w:rPr>
                          <w:lang w:eastAsia="zh-CN"/>
                        </w:rPr>
                        <w:t> </w:t>
                      </w:r>
                      <w:r>
                        <w:rPr>
                          <w:color w:val="000000"/>
                          <w:szCs w:val="24"/>
                          <w:lang w:eastAsia="zh-CN"/>
                        </w:rPr>
                        <w:t>(ES)</w:t>
                      </w:r>
                      <w:r>
                        <w:rPr>
                          <w:lang w:eastAsia="zh-CN"/>
                        </w:rPr>
                        <w:t> </w:t>
                      </w:r>
                      <w:r>
                        <w:rPr>
                          <w:color w:val="000000"/>
                          <w:szCs w:val="24"/>
                          <w:lang w:eastAsia="zh-CN"/>
                        </w:rPr>
                        <w:t>2024/590 ir Reglamento (ES)</w:t>
                      </w:r>
                      <w:r>
                        <w:rPr>
                          <w:lang w:eastAsia="zh-CN"/>
                        </w:rPr>
                        <w:t> </w:t>
                      </w:r>
                      <w:r>
                        <w:rPr>
                          <w:color w:val="000000"/>
                          <w:szCs w:val="24"/>
                          <w:lang w:eastAsia="zh-CN"/>
                        </w:rPr>
                        <w:t>2024/573 nuostatomis;</w:t>
                      </w:r>
                    </w:p>
                  </w:sdtContent>
                </w:sdt>
                <w:sdt>
                  <w:sdtPr>
                    <w:alias w:val="26-1.3 pp."/>
                    <w:tag w:val="part_123d2196dd87409eb876d6dc0ddfb847"/>
                    <w:lock w:val="sdtLocked"/>
                    <w:richText/>
                  </w:sdtPr>
                  <w:sdtContent>
                    <w:p>
                      <w:pPr>
                        <w:suppressAutoHyphens/>
                        <w:ind w:firstLine="567"/>
                        <w:jc w:val="both"/>
                      </w:pPr>
                      <w:sdt>
                        <w:sdtPr>
                          <w:alias w:val="Numeris"/>
                          <w:tag w:val="nr_123d2196dd87409eb876d6dc0ddfb847"/>
                          <w:lock w:val="sdtLocked"/>
                          <w:richText/>
                        </w:sdtPr>
                        <w:sdtContent>
                          <w:r>
                            <w:rPr>
                              <w:color w:val="000000"/>
                              <w:szCs w:val="24"/>
                              <w:lang w:eastAsia="zh-CN"/>
                            </w:rPr>
                            <w:t>26</w:t>
                          </w:r>
                          <w:r>
                            <w:rPr>
                              <w:color w:val="000000"/>
                              <w:szCs w:val="24"/>
                              <w:vertAlign w:val="superscript"/>
                              <w:lang w:eastAsia="zh-CN"/>
                            </w:rPr>
                            <w:t>1</w:t>
                          </w:r>
                          <w:r>
                            <w:rPr>
                              <w:color w:val="000000"/>
                              <w:szCs w:val="24"/>
                              <w:lang w:eastAsia="zh-CN"/>
                            </w:rPr>
                            <w:t>.3</w:t>
                          </w:r>
                        </w:sdtContent>
                      </w:sdt>
                      <w:r>
                        <w:rPr>
                          <w:color w:val="000000"/>
                          <w:szCs w:val="24"/>
                          <w:lang w:eastAsia="zh-CN"/>
                        </w:rPr>
                        <w:t>. jei OAM ir F-dujos nebuvo surinktos iš putų plokščių, sluoksniuotųjų plokščių, putų iš putų plokščių ir sluoksniuotųjų plokščių atliekų, šios pavojingosios atliekos turi būti saugiai sutvarkomos jas sudeginan</w:t>
                      </w:r>
                      <w:r>
                        <w:rPr>
                          <w:rFonts w:ascii="Arial" w:eastAsia="Arial" w:hAnsi="Arial" w:cs="Arial"/>
                          <w:color w:val="474747"/>
                          <w:sz w:val="21"/>
                          <w:szCs w:val="21"/>
                          <w:lang w:eastAsia="zh-CN"/>
                        </w:rPr>
                        <w:t>t</w:t>
                      </w:r>
                      <w:r>
                        <w:rPr>
                          <w:color w:val="000000"/>
                          <w:szCs w:val="24"/>
                          <w:lang w:eastAsia="zh-CN"/>
                        </w:rPr>
                        <w: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f9d160861711efabdbb4a1fc8b0b63">
                <w:r w:rsidRPr="00532B9F">
                  <w:rPr>
                    <w:rFonts w:ascii="Times New Roman" w:eastAsia="MS Mincho" w:hAnsi="Times New Roman"/>
                    <w:sz w:val="20"/>
                    <w:i/>
                    <w:iCs/>
                    <w:color w:val="0000FF" w:themeColor="hyperlink"/>
                    <w:u w:val="single"/>
                  </w:rPr>
                  <w:t>D1-334</w:t>
                </w:r>
              </w:fldSimple>
              <w:r>
                <w:rPr>
                  <w:rFonts w:ascii="Times New Roman" w:eastAsia="MS Mincho" w:hAnsi="Times New Roman"/>
                  <w:sz w:val="20"/>
                  <w:i/>
                  <w:iCs/>
                </w:rPr>
                <w:t>,
2024-10-09,
paskelbta TAR 2024-10-09, i. k. 2024-17701        </w:t>
              </w:r>
            </w:p>
            <w:p/>
          </w:sdtContent>
        </w:sdt>
        <w:sdt>
          <w:sdtPr>
            <w:alias w:val="skyrius"/>
            <w:tag w:val="part_1ce35d1d71d5441899bcc542133ebf07"/>
            <w:lock w:val="sdtLocked"/>
            <w:richText/>
          </w:sdtPr>
          <w:sdtContent>
            <w:p>
              <w:pPr>
                <w:tabs>
                  <w:tab w:val="left" w:pos="993"/>
                </w:tabs>
                <w:suppressAutoHyphens/>
                <w:jc w:val="center"/>
                <w:textAlignment w:val="baseline"/>
                <w:rPr>
                  <w:b/>
                  <w:szCs w:val="24"/>
                  <w:lang w:eastAsia="lt-LT"/>
                </w:rPr>
              </w:pPr>
              <w:sdt>
                <w:sdtPr>
                  <w:alias w:val="Numeris"/>
                  <w:tag w:val="nr_1ce35d1d71d5441899bcc542133ebf07"/>
                  <w:lock w:val="sdtLocked"/>
                  <w:richText/>
                </w:sdtPr>
                <w:sdtContent>
                  <w:r>
                    <w:rPr>
                      <w:b/>
                      <w:szCs w:val="24"/>
                      <w:lang w:eastAsia="lt-LT"/>
                    </w:rPr>
                    <w:t>VIII</w:t>
                  </w:r>
                </w:sdtContent>
              </w:sdt>
              <w:r>
                <w:rPr>
                  <w:b/>
                  <w:szCs w:val="24"/>
                  <w:lang w:eastAsia="lt-LT"/>
                </w:rPr>
                <w:t xml:space="preserve"> SKYRIUS</w:t>
              </w:r>
            </w:p>
            <w:p>
              <w:pPr>
                <w:tabs>
                  <w:tab w:val="left" w:pos="993"/>
                </w:tabs>
                <w:suppressAutoHyphens/>
                <w:jc w:val="center"/>
                <w:textAlignment w:val="baseline"/>
                <w:rPr>
                  <w:b/>
                  <w:szCs w:val="24"/>
                  <w:lang w:eastAsia="lt-LT"/>
                </w:rPr>
              </w:pPr>
              <w:sdt>
                <w:sdtPr>
                  <w:alias w:val="Pavadinimas"/>
                  <w:tag w:val="title_1ce35d1d71d5441899bcc542133ebf07"/>
                  <w:lock w:val="sdtLocked"/>
                  <w:richText/>
                </w:sdtPr>
                <w:sdtContent>
                  <w:r>
                    <w:rPr>
                      <w:b/>
                      <w:szCs w:val="24"/>
                      <w:lang w:eastAsia="lt-LT"/>
                    </w:rPr>
                    <w:t>PERDIRBTŲ INERTINIŲ STATYBINIŲ ATLIEKŲ NEBELAIKYMAS ATLIEKOMIS</w:t>
                  </w:r>
                </w:sdtContent>
              </w:sdt>
            </w:p>
            <w:p>
              <w:pPr>
                <w:tabs>
                  <w:tab w:val="left" w:pos="993"/>
                </w:tabs>
                <w:suppressAutoHyphens/>
                <w:ind w:firstLine="709"/>
                <w:jc w:val="both"/>
                <w:textAlignment w:val="baseline"/>
                <w:rPr>
                  <w:bCs/>
                  <w:szCs w:val="24"/>
                  <w:lang w:eastAsia="lt-LT"/>
                </w:rPr>
              </w:pPr>
            </w:p>
            <w:sdt>
              <w:sdtPr>
                <w:alias w:val="27 p."/>
                <w:tag w:val="part_ddb855f063ce420985883ba42f01ac87"/>
                <w:lock w:val="sdtLocked"/>
                <w:richText/>
              </w:sdtPr>
              <w:sdtContent>
                <w:p>
                  <w:pPr>
                    <w:tabs>
                      <w:tab w:val="left" w:pos="993"/>
                    </w:tabs>
                    <w:suppressAutoHyphens/>
                    <w:ind w:firstLine="709"/>
                    <w:jc w:val="both"/>
                    <w:textAlignment w:val="baseline"/>
                    <w:rPr>
                      <w:lang w:eastAsia="lt-LT"/>
                    </w:rPr>
                  </w:pPr>
                  <w:sdt>
                    <w:sdtPr>
                      <w:alias w:val="Numeris"/>
                      <w:tag w:val="nr_ddb855f063ce420985883ba42f01ac87"/>
                      <w:lock w:val="sdtLocked"/>
                      <w:richText/>
                    </w:sdtPr>
                    <w:sdtContent>
                      <w:r>
                        <w:rPr>
                          <w:lang w:eastAsia="lt-LT"/>
                        </w:rPr>
                        <w:t>27</w:t>
                      </w:r>
                    </w:sdtContent>
                  </w:sdt>
                  <w:r>
                    <w:rPr>
                      <w:lang w:eastAsia="lt-LT"/>
                    </w:rPr>
                    <w:t>. Perdirbtos inertinės statybinės atliekos, nurodytos Taisyklių 1 priedo 1.1 papunktyje (toliau – inertinės statybinės atliekos), nebelaikomos atliekomis, jei atitinka visus Taisyklių 1 priede nustatytus kriterijus.</w:t>
                  </w:r>
                </w:p>
              </w:sdtContent>
            </w:sdt>
            <w:sdt>
              <w:sdtPr>
                <w:alias w:val="27-1 p."/>
                <w:tag w:val="part_a0779dd8e1744c8dbaf7266ffca691a0"/>
                <w:lock w:val="sdtLocked"/>
                <w:richText/>
              </w:sdtPr>
              <w:sdtContent>
                <w:p>
                  <w:pPr>
                    <w:ind w:firstLine="709"/>
                    <w:jc w:val="both"/>
                    <w:textAlignment w:val="baseline"/>
                    <w:rPr>
                      <w:rFonts w:eastAsia="Calibri"/>
                      <w:szCs w:val="24"/>
                      <w:lang w:eastAsia="lt-LT"/>
                    </w:rPr>
                  </w:pPr>
                  <w:sdt>
                    <w:sdtPr>
                      <w:alias w:val="Numeris"/>
                      <w:tag w:val="nr_a0779dd8e1744c8dbaf7266ffca691a0"/>
                      <w:lock w:val="sdtLocked"/>
                      <w:richText/>
                    </w:sdtPr>
                    <w:sdtContent>
                      <w:r>
                        <w:rPr>
                          <w:rFonts w:eastAsia="Calibri"/>
                          <w:szCs w:val="24"/>
                          <w:lang w:eastAsia="lt-LT"/>
                        </w:rPr>
                        <w:t>27</w:t>
                      </w:r>
                      <w:r>
                        <w:rPr>
                          <w:rFonts w:eastAsia="Calibri"/>
                          <w:szCs w:val="24"/>
                          <w:vertAlign w:val="superscript"/>
                          <w:lang w:eastAsia="lt-LT"/>
                        </w:rPr>
                        <w:t>1</w:t>
                      </w:r>
                    </w:sdtContent>
                  </w:sdt>
                  <w:r>
                    <w:rPr>
                      <w:rFonts w:eastAsia="Calibri"/>
                      <w:szCs w:val="24"/>
                      <w:lang w:eastAsia="lt-LT"/>
                    </w:rPr>
                    <w:t>. Pagal Taisyklių 27 punktą atliekomis nebelaikomos Taisyklių 1 priedo 3.1.2 papunktyje nurodytos medžiagos gali būti panaudotos:</w:t>
                  </w:r>
                </w:p>
                <w:sdt>
                  <w:sdtPr>
                    <w:alias w:val="27-1.1 pp."/>
                    <w:tag w:val="part_73f8eccc2147465987fd330098a23a77"/>
                    <w:lock w:val="sdtLocked"/>
                    <w:richText/>
                  </w:sdtPr>
                  <w:sdtContent>
                    <w:p>
                      <w:pPr>
                        <w:ind w:firstLine="709"/>
                        <w:jc w:val="both"/>
                        <w:textAlignment w:val="baseline"/>
                        <w:rPr>
                          <w:rFonts w:eastAsia="Calibri"/>
                          <w:szCs w:val="24"/>
                          <w:lang w:eastAsia="lt-LT"/>
                        </w:rPr>
                      </w:pPr>
                      <w:sdt>
                        <w:sdtPr>
                          <w:alias w:val="Numeris"/>
                          <w:tag w:val="nr_73f8eccc2147465987fd330098a23a77"/>
                          <w:lock w:val="sdtLocked"/>
                          <w:richText/>
                        </w:sdtPr>
                        <w:sdtContent>
                          <w:r>
                            <w:rPr>
                              <w:rFonts w:eastAsia="Calibri"/>
                              <w:szCs w:val="24"/>
                              <w:lang w:eastAsia="lt-LT"/>
                            </w:rPr>
                            <w:t>27</w:t>
                          </w:r>
                          <w:r>
                            <w:rPr>
                              <w:rFonts w:eastAsia="Calibri"/>
                              <w:szCs w:val="24"/>
                              <w:vertAlign w:val="superscript"/>
                              <w:lang w:eastAsia="lt-LT"/>
                            </w:rPr>
                            <w:t>1</w:t>
                          </w:r>
                          <w:r>
                            <w:rPr>
                              <w:rFonts w:eastAsia="Calibri"/>
                              <w:szCs w:val="24"/>
                              <w:lang w:eastAsia="lt-LT"/>
                            </w:rPr>
                            <w:t>.1</w:t>
                          </w:r>
                        </w:sdtContent>
                      </w:sdt>
                      <w:r>
                        <w:rPr>
                          <w:rFonts w:eastAsia="Calibri"/>
                          <w:szCs w:val="24"/>
                          <w:lang w:eastAsia="lt-LT"/>
                        </w:rPr>
                        <w:t>. esamose (ne naujai suprojektuotose) ketvirtos grupės (mažai jautriose) teritorijose, nustatytose Cheminėmis medžiagomis užterštų teritorijų tvarkymo aplinkos apsaugos reikalavimuose, patvirtintuose Lietuvos Respublikos aplinkos ministro 2008 m. balandžio 30 d. įsakymu Nr. D1-230 „Dėl Cheminėmis medžiagomis užterštų teritorijų tvarkymo aplinkos apsaugos reikalavimų patvirtinimo“;</w:t>
                      </w:r>
                    </w:p>
                  </w:sdtContent>
                </w:sdt>
                <w:sdt>
                  <w:sdtPr>
                    <w:alias w:val="27-1.2 pp."/>
                    <w:tag w:val="part_9e40763c7ce84d75b32e77bc84f26e42"/>
                    <w:lock w:val="sdtLocked"/>
                    <w:richText/>
                  </w:sdtPr>
                  <w:sdtContent>
                    <w:p>
                      <w:pPr>
                        <w:ind w:firstLine="709"/>
                        <w:jc w:val="both"/>
                        <w:textAlignment w:val="baseline"/>
                        <w:rPr>
                          <w:lang w:eastAsia="lt-LT"/>
                        </w:rPr>
                      </w:pPr>
                      <w:sdt>
                        <w:sdtPr>
                          <w:alias w:val="Numeris"/>
                          <w:tag w:val="nr_9e40763c7ce84d75b32e77bc84f26e42"/>
                          <w:lock w:val="sdtLocked"/>
                          <w:richText/>
                        </w:sdtPr>
                        <w:sdtContent>
                          <w:r>
                            <w:rPr>
                              <w:rFonts w:eastAsia="Calibri"/>
                              <w:szCs w:val="24"/>
                              <w:lang w:eastAsia="lt-LT"/>
                            </w:rPr>
                            <w:t>27</w:t>
                          </w:r>
                          <w:r>
                            <w:rPr>
                              <w:rFonts w:eastAsia="Calibri"/>
                              <w:szCs w:val="24"/>
                              <w:vertAlign w:val="superscript"/>
                              <w:lang w:eastAsia="lt-LT"/>
                            </w:rPr>
                            <w:t>1</w:t>
                          </w:r>
                          <w:r>
                            <w:rPr>
                              <w:rFonts w:eastAsia="Calibri"/>
                              <w:szCs w:val="24"/>
                              <w:lang w:eastAsia="lt-LT"/>
                            </w:rPr>
                            <w:t>.2</w:t>
                          </w:r>
                        </w:sdtContent>
                      </w:sdt>
                      <w:r>
                        <w:rPr>
                          <w:rFonts w:eastAsia="Calibri"/>
                          <w:szCs w:val="24"/>
                          <w:lang w:eastAsia="lt-LT"/>
                        </w:rPr>
                        <w:t>. naujai suprojektuotuose Taisyklių 27</w:t>
                      </w:r>
                      <w:r>
                        <w:rPr>
                          <w:rFonts w:eastAsia="Calibri"/>
                          <w:szCs w:val="24"/>
                          <w:vertAlign w:val="superscript"/>
                          <w:lang w:eastAsia="lt-LT"/>
                        </w:rPr>
                        <w:t>1</w:t>
                      </w:r>
                      <w:r>
                        <w:rPr>
                          <w:rFonts w:eastAsia="Calibri"/>
                          <w:szCs w:val="24"/>
                          <w:lang w:eastAsia="lt-LT"/>
                        </w:rPr>
                        <w:t>.1 papunktyje nustatytoms teritorijoms priskiriamuose automobilių keliuose ir (ar) geležinkelio kelių sankasos ribose uždengiant šias medžiagas papildoma dirbtine danga arba sutankintu grunto sluoksniu.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ad371114211f08e9f87c0d053bf09">
                    <w:r w:rsidRPr="00532B9F">
                      <w:rPr>
                        <w:rFonts w:ascii="Times New Roman" w:eastAsia="MS Mincho" w:hAnsi="Times New Roman"/>
                        <w:sz w:val="20"/>
                        <w:i/>
                        <w:iCs/>
                        <w:color w:val="0000FF" w:themeColor="hyperlink"/>
                        <w:u w:val="single"/>
                      </w:rPr>
                      <w:t>D1-43</w:t>
                    </w:r>
                  </w:fldSimple>
                  <w:r>
                    <w:rPr>
                      <w:rFonts w:ascii="Times New Roman" w:eastAsia="MS Mincho" w:hAnsi="Times New Roman"/>
                      <w:sz w:val="20"/>
                      <w:i/>
                      <w:iCs/>
                    </w:rPr>
                    <w:t>,
2025-04-04,
paskelbta TAR 2025-04-04, i. k. 2025-05980        </w:t>
                  </w:r>
                </w:p>
                <w:p/>
              </w:sdtContent>
            </w:sdt>
            <w:sdt>
              <w:sdtPr>
                <w:alias w:val="28 p."/>
                <w:tag w:val="part_e091c9b6acb046929111620cde5e3f4a"/>
                <w:lock w:val="sdtLocked"/>
                <w:richText/>
              </w:sdtPr>
              <w:sdtContent>
                <w:p>
                  <w:pPr>
                    <w:tabs>
                      <w:tab w:val="left" w:pos="993"/>
                    </w:tabs>
                    <w:ind w:firstLine="709"/>
                    <w:jc w:val="both"/>
                    <w:textAlignment w:val="baseline"/>
                    <w:rPr>
                      <w:lang w:eastAsia="zh-CN"/>
                    </w:rPr>
                  </w:pPr>
                  <w:sdt>
                    <w:sdtPr>
                      <w:alias w:val="Numeris"/>
                      <w:tag w:val="nr_e091c9b6acb046929111620cde5e3f4a"/>
                      <w:lock w:val="sdtLocked"/>
                      <w:richText/>
                    </w:sdtPr>
                    <w:sdtContent>
                      <w:r>
                        <w:rPr>
                          <w:rFonts w:eastAsia="Calibri"/>
                          <w:szCs w:val="24"/>
                          <w:lang w:eastAsia="lt-LT"/>
                        </w:rPr>
                        <w:t>28</w:t>
                      </w:r>
                    </w:sdtContent>
                  </w:sdt>
                  <w:r>
                    <w:rPr>
                      <w:rFonts w:eastAsia="Calibri"/>
                      <w:szCs w:val="24"/>
                      <w:lang w:eastAsia="lt-LT"/>
                    </w:rPr>
                    <w:t>. Iš Taisyklių 1 priedo 1.1 papunktyje nurodytų mechaniniu būdu perdirbtų atliekų gaunama statyboje naudojama grūdėta medžiaga (toliau – perdirbtas statybinis produktas) priskiriama vienai iš</w:t>
                  </w:r>
                  <w:r>
                    <w:rPr>
                      <w:rFonts w:eastAsia="Calibri"/>
                      <w:b/>
                      <w:bCs/>
                      <w:szCs w:val="24"/>
                      <w:lang w:eastAsia="lt-LT"/>
                    </w:rPr>
                    <w:t xml:space="preserve"> </w:t>
                  </w:r>
                  <w:r>
                    <w:rPr>
                      <w:rFonts w:eastAsia="Calibri"/>
                      <w:szCs w:val="24"/>
                      <w:lang w:eastAsia="lt-LT"/>
                    </w:rPr>
                    <w:t>Taisyklių 1 priedo 3.1 papunktyje nurodytų medžiagų.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ad371114211f08e9f87c0d053bf09">
                    <w:r w:rsidRPr="00532B9F">
                      <w:rPr>
                        <w:rFonts w:ascii="Times New Roman" w:eastAsia="MS Mincho" w:hAnsi="Times New Roman"/>
                        <w:sz w:val="20"/>
                        <w:i/>
                        <w:iCs/>
                        <w:color w:val="0000FF" w:themeColor="hyperlink"/>
                        <w:u w:val="single"/>
                      </w:rPr>
                      <w:t>D1-43</w:t>
                    </w:r>
                  </w:fldSimple>
                  <w:r>
                    <w:rPr>
                      <w:rFonts w:ascii="Times New Roman" w:eastAsia="MS Mincho" w:hAnsi="Times New Roman"/>
                      <w:sz w:val="20"/>
                      <w:i/>
                      <w:iCs/>
                    </w:rPr>
                    <w:t>,
2025-04-04,
paskelbta TAR 2025-04-04, i. k. 2025-05980            </w:t>
                  </w:r>
                </w:p>
                <w:p/>
              </w:sdtContent>
            </w:sdt>
            <w:sdt>
              <w:sdtPr>
                <w:alias w:val="29 p."/>
                <w:tag w:val="part_ab37d19168114e6f815d11f7598d24f7"/>
                <w:lock w:val="sdtLocked"/>
                <w:richText/>
              </w:sdtPr>
              <w:sdtContent>
                <w:p>
                  <w:pPr>
                    <w:tabs>
                      <w:tab w:val="left" w:pos="993"/>
                    </w:tabs>
                    <w:suppressAutoHyphens/>
                    <w:ind w:firstLine="709"/>
                    <w:jc w:val="both"/>
                    <w:textAlignment w:val="baseline"/>
                    <w:rPr>
                      <w:lang w:eastAsia="lt-LT"/>
                    </w:rPr>
                  </w:pPr>
                  <w:sdt>
                    <w:sdtPr>
                      <w:alias w:val="Numeris"/>
                      <w:tag w:val="nr_ab37d19168114e6f815d11f7598d24f7"/>
                      <w:lock w:val="sdtLocked"/>
                      <w:richText/>
                    </w:sdtPr>
                    <w:sdtContent>
                      <w:r>
                        <w:rPr>
                          <w:szCs w:val="24"/>
                          <w:lang w:eastAsia="lt-LT"/>
                        </w:rPr>
                        <w:t>29</w:t>
                      </w:r>
                    </w:sdtContent>
                  </w:sdt>
                  <w:r>
                    <w:rPr>
                      <w:szCs w:val="24"/>
                      <w:lang w:eastAsia="lt-LT"/>
                    </w:rPr>
                    <w:t>. Perdirbtas statybinis produktas, išskyrus Taisyklių 1 priedo 3.1.2 papunktyje nurodytas medžiagas, turi atitikti statybiniams produktams keliamus tiekimo rinkai reikalavimus, nustatytus: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ad371114211f08e9f87c0d053bf09">
                    <w:r w:rsidRPr="00532B9F">
                      <w:rPr>
                        <w:rFonts w:ascii="Times New Roman" w:eastAsia="MS Mincho" w:hAnsi="Times New Roman"/>
                        <w:sz w:val="20"/>
                        <w:i/>
                        <w:iCs/>
                        <w:color w:val="0000FF" w:themeColor="hyperlink"/>
                        <w:u w:val="single"/>
                      </w:rPr>
                      <w:t>D1-43</w:t>
                    </w:r>
                  </w:fldSimple>
                  <w:r>
                    <w:rPr>
                      <w:rFonts w:ascii="Times New Roman" w:eastAsia="MS Mincho" w:hAnsi="Times New Roman"/>
                      <w:sz w:val="20"/>
                      <w:i/>
                      <w:iCs/>
                    </w:rPr>
                    <w:t>,
2025-04-04,
paskelbta TAR 2025-04-04, i. k. 2025-05980            </w:t>
                  </w:r>
                </w:p>
                <w:sdt>
                  <w:sdtPr>
                    <w:alias w:val="29.1 pp."/>
                    <w:tag w:val="part_0e7083cd8aa04d109f722156127f7dc2"/>
                    <w:lock w:val="sdtLocked"/>
                    <w:richText/>
                  </w:sdtPr>
                  <w:sdtContent>
                    <w:p>
                      <w:pPr>
                        <w:tabs>
                          <w:tab w:val="left" w:pos="993"/>
                        </w:tabs>
                        <w:suppressAutoHyphens/>
                        <w:ind w:firstLine="709"/>
                        <w:jc w:val="both"/>
                        <w:textAlignment w:val="baseline"/>
                        <w:rPr>
                          <w:szCs w:val="24"/>
                          <w:lang w:eastAsia="lt-LT"/>
                        </w:rPr>
                      </w:pPr>
                      <w:sdt>
                        <w:sdtPr>
                          <w:alias w:val="Numeris"/>
                          <w:tag w:val="nr_0e7083cd8aa04d109f722156127f7dc2"/>
                          <w:lock w:val="sdtLocked"/>
                          <w:richText/>
                        </w:sdtPr>
                        <w:sdtContent>
                          <w:r>
                            <w:rPr>
                              <w:lang w:eastAsia="lt-LT"/>
                            </w:rPr>
                            <w:t>29.1</w:t>
                          </w:r>
                        </w:sdtContent>
                      </w:sdt>
                      <w:r>
                        <w:rPr>
                          <w:szCs w:val="24"/>
                          <w:lang w:eastAsia="lt-LT"/>
                        </w:rPr>
                        <w:t>. Lietuvos Respublikos statybos įstatyme;</w:t>
                      </w:r>
                    </w:p>
                  </w:sdtContent>
                </w:sdt>
                <w:sdt>
                  <w:sdtPr>
                    <w:alias w:val="29.2 pp."/>
                    <w:tag w:val="part_9d62c6332f7e45ceb1a45d679eb213e0"/>
                    <w:lock w:val="sdtLocked"/>
                    <w:richText/>
                  </w:sdtPr>
                  <w:sdtContent>
                    <w:p>
                      <w:pPr>
                        <w:tabs>
                          <w:tab w:val="left" w:pos="993"/>
                        </w:tabs>
                        <w:suppressAutoHyphens/>
                        <w:ind w:firstLine="709"/>
                        <w:jc w:val="both"/>
                        <w:textAlignment w:val="baseline"/>
                        <w:rPr>
                          <w:lang w:eastAsia="lt-LT"/>
                        </w:rPr>
                      </w:pPr>
                      <w:sdt>
                        <w:sdtPr>
                          <w:alias w:val="Numeris"/>
                          <w:tag w:val="nr_9d62c6332f7e45ceb1a45d679eb213e0"/>
                          <w:lock w:val="sdtLocked"/>
                          <w:richText/>
                        </w:sdtPr>
                        <w:sdtContent>
                          <w:r>
                            <w:rPr>
                              <w:lang w:eastAsia="lt-LT"/>
                            </w:rPr>
                            <w:t>29.2</w:t>
                          </w:r>
                        </w:sdtContent>
                      </w:sdt>
                      <w:r>
                        <w:rPr>
                          <w:lang w:eastAsia="lt-LT"/>
                        </w:rPr>
                        <w:t>. aplinkos ministro 2022 m. sausio 24 d. įsakyme Nr. D1-15 „Dėl Reglamentuojamų statybos produktų sąrašo patvirtinimo“;</w:t>
                      </w:r>
                    </w:p>
                  </w:sdtContent>
                </w:sdt>
                <w:sdt>
                  <w:sdtPr>
                    <w:alias w:val="29.3 pp."/>
                    <w:tag w:val="part_8894e5abdd2f4e159dcdbff1d9e8d3e6"/>
                    <w:lock w:val="sdtLocked"/>
                    <w:richText/>
                  </w:sdtPr>
                  <w:sdtContent>
                    <w:p>
                      <w:pPr>
                        <w:tabs>
                          <w:tab w:val="left" w:pos="993"/>
                        </w:tabs>
                        <w:suppressAutoHyphens/>
                        <w:ind w:firstLine="709"/>
                        <w:jc w:val="both"/>
                        <w:textAlignment w:val="baseline"/>
                        <w:rPr>
                          <w:lang w:eastAsia="lt-LT"/>
                        </w:rPr>
                      </w:pPr>
                      <w:sdt>
                        <w:sdtPr>
                          <w:alias w:val="Numeris"/>
                          <w:tag w:val="nr_8894e5abdd2f4e159dcdbff1d9e8d3e6"/>
                          <w:lock w:val="sdtLocked"/>
                          <w:richText/>
                        </w:sdtPr>
                        <w:sdtContent>
                          <w:r>
                            <w:rPr>
                              <w:lang w:eastAsia="lt-LT"/>
                            </w:rPr>
                            <w:t>29.3</w:t>
                          </w:r>
                        </w:sdtContent>
                      </w:sdt>
                      <w:r>
                        <w:rPr>
                          <w:lang w:eastAsia="lt-LT"/>
                        </w:rPr>
                        <w:t>. Reglamente (ES) Nr. 305/2011;</w:t>
                      </w:r>
                    </w:p>
                  </w:sdtContent>
                </w:sdt>
                <w:sdt>
                  <w:sdtPr>
                    <w:alias w:val="29.4 pp."/>
                    <w:tag w:val="part_143480d67bfc4f21bfc4eac8639a83a1"/>
                    <w:lock w:val="sdtLocked"/>
                    <w:richText/>
                  </w:sdtPr>
                  <w:sdtContent>
                    <w:p>
                      <w:pPr>
                        <w:tabs>
                          <w:tab w:val="left" w:pos="993"/>
                        </w:tabs>
                        <w:suppressAutoHyphens/>
                        <w:ind w:firstLine="709"/>
                        <w:jc w:val="both"/>
                        <w:textAlignment w:val="baseline"/>
                        <w:rPr>
                          <w:lang w:eastAsia="lt-LT"/>
                        </w:rPr>
                      </w:pPr>
                      <w:sdt>
                        <w:sdtPr>
                          <w:alias w:val="Numeris"/>
                          <w:tag w:val="nr_143480d67bfc4f21bfc4eac8639a83a1"/>
                          <w:lock w:val="sdtLocked"/>
                          <w:richText/>
                        </w:sdtPr>
                        <w:sdtContent>
                          <w:r>
                            <w:rPr>
                              <w:lang w:eastAsia="lt-LT"/>
                            </w:rPr>
                            <w:t>29.4</w:t>
                          </w:r>
                        </w:sdtContent>
                      </w:sdt>
                      <w:r>
                        <w:rPr>
                          <w:lang w:eastAsia="lt-LT"/>
                        </w:rPr>
                        <w:t>. statybos techniniame reglamente STR 1.01.04:2015 „Statybos produktų, neturinčių darniųjų techninių specifikacijų, eksploatacinių savybių pastovumo vertinimas, tikrinimas ir deklaravimas. Bandymų laboratorijų ir sertifikavimo įstaigų paskyrimas. Nacionaliniai techniniai įvertinimai ir techninio vertinimo įstaigų paskyrimas ir paskelbimas“, patvirtintame Lietuvos Respublikos aplinkos ministro 2015 m. gruodžio 10 d. įsakymu Nr. D1-901 „Dėl statybos techninio reglamento STR 1.01.04:2015 „Statybos produktų, neturinčių darniųjų techninių specifikacijų, eksploatacinių savybių pastovumo vertinimas, tikrinimas ir deklaravimas. Bandymų laboratorijų ir sertifikavimo įstaigų paskyrimas. Nacionaliniai techniniai įvertinimai ir techninio vertinimo įstaigų paskyrimas ir paskelbimas“ patvirtinimo“ (toliau – STR 1.01.04:2015).</w:t>
                      </w:r>
                    </w:p>
                  </w:sdtContent>
                </w:sdt>
              </w:sdtContent>
            </w:sdt>
            <w:sdt>
              <w:sdtPr>
                <w:alias w:val="30 p."/>
                <w:tag w:val="part_1b82b6741c01486da36a86f3ea00e9ae"/>
                <w:lock w:val="sdtLocked"/>
                <w:richText/>
              </w:sdtPr>
              <w:sdtContent>
                <w:p>
                  <w:pPr>
                    <w:tabs>
                      <w:tab w:val="left" w:pos="993"/>
                    </w:tabs>
                    <w:suppressAutoHyphens/>
                    <w:ind w:firstLine="709"/>
                    <w:jc w:val="both"/>
                    <w:textAlignment w:val="baseline"/>
                    <w:rPr>
                      <w:lang w:eastAsia="lt-LT"/>
                    </w:rPr>
                  </w:pPr>
                  <w:sdt>
                    <w:sdtPr>
                      <w:alias w:val="Numeris"/>
                      <w:tag w:val="nr_1b82b6741c01486da36a86f3ea00e9ae"/>
                      <w:lock w:val="sdtLocked"/>
                      <w:richText/>
                    </w:sdtPr>
                    <w:sdtContent>
                      <w:r>
                        <w:rPr>
                          <w:lang w:eastAsia="lt-LT"/>
                        </w:rPr>
                        <w:t>30</w:t>
                      </w:r>
                    </w:sdtContent>
                  </w:sdt>
                  <w:r>
                    <w:rPr>
                      <w:lang w:eastAsia="lt-LT"/>
                    </w:rPr>
                    <w:t>. Statybinių atliekų tvarkytojas, kurio perdirbamos atliekos atitinka Taisyklių 27 punktą, (toliau – perdirbto statybinio produkto gamintojas) parengia ir išduoda perdirbtų inertinių statybinių atliekų nebelaikymo atliekomis atitikties deklaraciją pagal Taisyklių 2 priede pateiktą formą (toliau – atitikties deklaracija). Perdirbto statybinio produkto gamintojas užpildydamas atitikties deklaraciją patvirtina, kad inertinės statybinės atliekos atitinka statybinių atliekų nebelaikymo atliekomis kriterijus, nurodytus Taisyklių 1 priede.</w:t>
                  </w:r>
                </w:p>
              </w:sdtContent>
            </w:sdt>
            <w:sdt>
              <w:sdtPr>
                <w:alias w:val="31 p."/>
                <w:tag w:val="part_a462163acd0a41a586d340ea82877982"/>
                <w:lock w:val="sdtLocked"/>
                <w:richText/>
              </w:sdtPr>
              <w:sdtContent>
                <w:p>
                  <w:pPr>
                    <w:tabs>
                      <w:tab w:val="left" w:pos="993"/>
                    </w:tabs>
                    <w:suppressAutoHyphens/>
                    <w:ind w:firstLine="709"/>
                    <w:jc w:val="both"/>
                    <w:textAlignment w:val="baseline"/>
                    <w:rPr>
                      <w:szCs w:val="24"/>
                      <w:lang w:eastAsia="lt-LT"/>
                    </w:rPr>
                  </w:pPr>
                  <w:sdt>
                    <w:sdtPr>
                      <w:alias w:val="Numeris"/>
                      <w:tag w:val="nr_a462163acd0a41a586d340ea82877982"/>
                      <w:lock w:val="sdtLocked"/>
                      <w:richText/>
                    </w:sdtPr>
                    <w:sdtContent>
                      <w:r>
                        <w:rPr>
                          <w:lang w:eastAsia="lt-LT"/>
                        </w:rPr>
                        <w:t>31</w:t>
                      </w:r>
                    </w:sdtContent>
                  </w:sdt>
                  <w:r>
                    <w:rPr>
                      <w:lang w:eastAsia="lt-LT"/>
                    </w:rPr>
                    <w:t xml:space="preserve">. Perdirbtas statybinis produktas laikomas atliekomis ir turi būti perduotas atliekų tvarkytojams, turintiems teisę tvarkyti tokias atliekas, arba perdirbto statybinio produkto gamintojas ir (ar) gavėjas gali atliekas tvarkyti pats pagal Taisyklių 16 punktą, jei perdirbtas statybinis produktas nepanaudojamas pagal jam išduotoje </w:t>
                  </w:r>
                  <w:r>
                    <w:rPr>
                      <w:szCs w:val="24"/>
                      <w:lang w:eastAsia="lt-LT"/>
                    </w:rPr>
                    <w:t xml:space="preserve">darniosios ar nedarniosios srities </w:t>
                  </w:r>
                  <w:r>
                    <w:rPr>
                      <w:lang w:eastAsia="lt-LT"/>
                    </w:rPr>
                    <w:t xml:space="preserve">eksploatacinių savybių deklaracijoje, </w:t>
                  </w:r>
                  <w:r>
                    <w:rPr>
                      <w:szCs w:val="24"/>
                      <w:lang w:eastAsia="lt-LT"/>
                    </w:rPr>
                    <w:t xml:space="preserve">parengtoje pagal Taisyklių 29 punkte nurodytus teisės aktus </w:t>
                  </w:r>
                  <w:r>
                    <w:rPr>
                      <w:lang w:eastAsia="lt-LT"/>
                    </w:rPr>
                    <w:t>(toliau </w:t>
                  </w:r>
                  <w:r>
                    <w:rPr>
                      <w:szCs w:val="24"/>
                      <w:lang w:eastAsia="lt-LT"/>
                    </w:rPr>
                    <w:t>–</w:t>
                  </w:r>
                  <w:r>
                    <w:rPr>
                      <w:lang w:eastAsia="lt-LT"/>
                    </w:rPr>
                    <w:t> eksploatacinių savybių deklaracija), arba atitikties deklaracijoje, jei nėra prievolės rengti eksploatacinių savybių deklaraciją, nurodytą Taisyklių 27</w:t>
                  </w:r>
                  <w:r>
                    <w:rPr>
                      <w:vertAlign w:val="superscript"/>
                      <w:lang w:eastAsia="lt-LT"/>
                    </w:rPr>
                    <w:t>1</w:t>
                  </w:r>
                  <w:r>
                    <w:rPr>
                      <w:lang w:eastAsia="lt-LT"/>
                    </w:rPr>
                    <w:t xml:space="preserve"> punkte nustatytą paskirtį ilgiau kaip trejus metus nuo atitikties deklaracijos išdavimo dienos arba jei išdavus atitikties deklaraciją perdirbto statybinio produkto gavėjas, Aplinkos apsaugos departamentas prie Aplinkos ministerijos (toliau – AAD) ar kitos ūkio subjektų veiklos priežiūrą atliekančios institucijos nustato, kad dar nepanaudoto perdirbto statybinio produkto atitikties deklaracijoje pateikti tikrovės neatitinkantys duomenys, ji išduota neteisėtai arba pasikeičia perdirbto statybinio produkto savybės, kurios neatitinka deklaruotų atitikties deklaracijoje ir jos prieduose.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ad371114211f08e9f87c0d053bf09">
                    <w:r w:rsidRPr="00532B9F">
                      <w:rPr>
                        <w:rFonts w:ascii="Times New Roman" w:eastAsia="MS Mincho" w:hAnsi="Times New Roman"/>
                        <w:sz w:val="20"/>
                        <w:i/>
                        <w:iCs/>
                        <w:color w:val="0000FF" w:themeColor="hyperlink"/>
                        <w:u w:val="single"/>
                      </w:rPr>
                      <w:t>D1-43</w:t>
                    </w:r>
                  </w:fldSimple>
                  <w:r>
                    <w:rPr>
                      <w:rFonts w:ascii="Times New Roman" w:eastAsia="MS Mincho" w:hAnsi="Times New Roman"/>
                      <w:sz w:val="20"/>
                      <w:i/>
                      <w:iCs/>
                    </w:rPr>
                    <w:t>,
2025-04-04,
paskelbta TAR 2025-04-04, i. k. 2025-05980            </w:t>
                  </w:r>
                </w:p>
                <w:p/>
              </w:sdtContent>
            </w:sdt>
            <w:sdt>
              <w:sdtPr>
                <w:alias w:val="32 p."/>
                <w:tag w:val="part_48c059e3a4844029a879067728ace49f"/>
                <w:lock w:val="sdtLocked"/>
                <w:richText/>
              </w:sdtPr>
              <w:sdtContent>
                <w:p>
                  <w:pPr>
                    <w:tabs>
                      <w:tab w:val="left" w:pos="993"/>
                    </w:tabs>
                    <w:suppressAutoHyphens/>
                    <w:spacing w:line="259" w:lineRule="auto"/>
                    <w:ind w:firstLine="709"/>
                    <w:jc w:val="both"/>
                    <w:rPr>
                      <w:lang w:eastAsia="lt-LT"/>
                    </w:rPr>
                  </w:pPr>
                  <w:sdt>
                    <w:sdtPr>
                      <w:alias w:val="Numeris"/>
                      <w:tag w:val="nr_48c059e3a4844029a879067728ace49f"/>
                      <w:lock w:val="sdtLocked"/>
                      <w:richText/>
                    </w:sdtPr>
                    <w:sdtContent>
                      <w:r>
                        <w:rPr>
                          <w:lang w:eastAsia="lt-LT"/>
                        </w:rPr>
                        <w:t>32</w:t>
                      </w:r>
                    </w:sdtContent>
                  </w:sdt>
                  <w:r>
                    <w:rPr>
                      <w:lang w:eastAsia="lt-LT"/>
                    </w:rPr>
                    <w:t xml:space="preserve">. Dėl </w:t>
                  </w:r>
                  <w:r>
                    <w:rPr>
                      <w:lang w:eastAsia="zh-CN"/>
                    </w:rPr>
                    <w:t>objektyvių</w:t>
                  </w:r>
                  <w:r>
                    <w:rPr>
                      <w:lang w:eastAsia="lt-LT"/>
                    </w:rPr>
                    <w:t xml:space="preserve"> nuo perdirbto statybinio produkto gamintojo </w:t>
                  </w:r>
                  <w:r>
                    <w:rPr>
                      <w:lang w:eastAsia="zh-CN"/>
                    </w:rPr>
                    <w:t>nepriklausančių priežasčių (trečiųjų asmenų veiksmai, blogos oro sąlygos ar pan.) AAD</w:t>
                  </w:r>
                  <w:r>
                    <w:rPr>
                      <w:lang w:eastAsia="lt-LT"/>
                    </w:rPr>
                    <w:t xml:space="preserve"> sprendimu perdirbto statybinio produkto panaudojimo terminas gali būti pratęstas vieną kartą ne ilgiau kaip 12 mėnesių. Prašymai pratęsti perdirbto statybinio produkto panaudojimo terminą, užpildyti pagal Taisyklių 3 priede nustatytą formą, nagrinėjami Lietuvos Respublikos viešojo administravimo įstatyme ir kituose teisės aktuose, reglamentuojančiuose viešąjį administravimą, nustatyta tvarka. </w:t>
                  </w:r>
                </w:p>
              </w:sdtContent>
            </w:sdt>
            <w:sdt>
              <w:sdtPr>
                <w:alias w:val="33 p."/>
                <w:tag w:val="part_7770e724e43e404a8654a313f6dfc206"/>
                <w:lock w:val="sdtLocked"/>
                <w:richText/>
              </w:sdtPr>
              <w:sdtContent>
                <w:p>
                  <w:pPr>
                    <w:tabs>
                      <w:tab w:val="left" w:pos="993"/>
                    </w:tabs>
                    <w:suppressAutoHyphens/>
                    <w:ind w:firstLine="709"/>
                    <w:jc w:val="both"/>
                    <w:textAlignment w:val="baseline"/>
                    <w:rPr>
                      <w:lang w:eastAsia="lt-LT"/>
                    </w:rPr>
                  </w:pPr>
                  <w:sdt>
                    <w:sdtPr>
                      <w:alias w:val="Numeris"/>
                      <w:tag w:val="nr_7770e724e43e404a8654a313f6dfc206"/>
                      <w:lock w:val="sdtLocked"/>
                      <w:richText/>
                    </w:sdtPr>
                    <w:sdtContent>
                      <w:r>
                        <w:rPr>
                          <w:lang w:eastAsia="lt-LT"/>
                        </w:rPr>
                        <w:t>33</w:t>
                      </w:r>
                    </w:sdtContent>
                  </w:sdt>
                  <w:r>
                    <w:rPr>
                      <w:lang w:eastAsia="lt-LT"/>
                    </w:rPr>
                    <w:t>. Perdirbtas statybinis produktas, atitinkantis Taisyklių 31 punkte nustatytas sąlygas, tvarkomas Atliekų tvarkymo taisyklėse, patvirtintose Lietuvos Respublikos aplinkos ministro 1999</w:t>
                  </w:r>
                  <w:r>
                    <w:rPr>
                      <w:lang w:eastAsia="zh-CN"/>
                    </w:rPr>
                    <w:t> </w:t>
                  </w:r>
                  <w:r>
                    <w:rPr>
                      <w:lang w:eastAsia="lt-LT"/>
                    </w:rPr>
                    <w:t>m. liepos 14 d. įsakymu Nr. 217 „Dėl Atliekų tvarkymo taisyklių patvirtinimo“, (toliau – Atliekų tvarkymo taisyklės), nustatyta tvarka, jų tvarkymo apskaita vykdoma Atliekų susidarymo ir tvarkymo apskaitos ir ataskaitų teikimo taisyklėse, patvirtintose Lietuvos Respublikos aplinkos ministro 2011 m. gegužės 3 d. įsakymu Nr. D1-367 „Dėl Atliekų susidarymo ir tvarkymo apskaitos ir ataskaitų teikimo taisyklių patvirtinimo“ (toliau – Atliekų apskaitos taisyklės), nustatyta tvarka.</w:t>
                  </w:r>
                </w:p>
              </w:sdtContent>
            </w:sdt>
            <w:sdt>
              <w:sdtPr>
                <w:alias w:val="34 p."/>
                <w:tag w:val="part_468feb6b8c8e4b9695efcb06e6dd5d4d"/>
                <w:lock w:val="sdtLocked"/>
                <w:richText/>
              </w:sdtPr>
              <w:sdtContent>
                <w:p>
                  <w:pPr>
                    <w:tabs>
                      <w:tab w:val="left" w:pos="993"/>
                    </w:tabs>
                    <w:suppressAutoHyphens/>
                    <w:ind w:firstLine="709"/>
                    <w:jc w:val="both"/>
                    <w:textAlignment w:val="baseline"/>
                    <w:rPr>
                      <w:lang w:eastAsia="lt-LT"/>
                    </w:rPr>
                  </w:pPr>
                  <w:sdt>
                    <w:sdtPr>
                      <w:alias w:val="Numeris"/>
                      <w:tag w:val="nr_468feb6b8c8e4b9695efcb06e6dd5d4d"/>
                      <w:lock w:val="sdtLocked"/>
                      <w:richText/>
                    </w:sdtPr>
                    <w:sdtContent>
                      <w:r>
                        <w:rPr>
                          <w:lang w:eastAsia="lt-LT"/>
                        </w:rPr>
                        <w:t>34</w:t>
                      </w:r>
                    </w:sdtContent>
                  </w:sdt>
                  <w:r>
                    <w:rPr>
                      <w:lang w:eastAsia="lt-LT"/>
                    </w:rPr>
                    <w:t>. Perdirbto statybinio produkto, atitinkančio Taisyklių 27 punktą, apskaita vykdoma Atliekų apskaitos taisyklėse nustatyta tvarka kaip po atliekų apdorojimo gautų medžiagų ir (ar) daiktų.</w:t>
                  </w:r>
                </w:p>
              </w:sdtContent>
            </w:sdt>
            <w:sdt>
              <w:sdtPr>
                <w:alias w:val="35 p."/>
                <w:tag w:val="part_1765e5fe91a74d71b9d4f1feb8e0e9b3"/>
                <w:lock w:val="sdtLocked"/>
                <w:richText/>
              </w:sdtPr>
              <w:sdtContent>
                <w:p>
                  <w:pPr>
                    <w:tabs>
                      <w:tab w:val="left" w:pos="993"/>
                    </w:tabs>
                    <w:suppressAutoHyphens/>
                    <w:ind w:firstLine="709"/>
                    <w:jc w:val="both"/>
                    <w:textAlignment w:val="baseline"/>
                    <w:rPr>
                      <w:lang w:eastAsia="lt-LT"/>
                    </w:rPr>
                  </w:pPr>
                  <w:sdt>
                    <w:sdtPr>
                      <w:alias w:val="Numeris"/>
                      <w:tag w:val="nr_1765e5fe91a74d71b9d4f1feb8e0e9b3"/>
                      <w:lock w:val="sdtLocked"/>
                      <w:richText/>
                    </w:sdtPr>
                    <w:sdtContent>
                      <w:r>
                        <w:rPr>
                          <w:lang w:eastAsia="lt-LT"/>
                        </w:rPr>
                        <w:t>35</w:t>
                      </w:r>
                    </w:sdtContent>
                  </w:sdt>
                  <w:r>
                    <w:rPr>
                      <w:lang w:eastAsia="lt-LT"/>
                    </w:rPr>
                    <w:t>. Esant 2019 m. kovo 19 d. Europos Parlamento ir Tarybos reglamente (ES) Nr. 2019/515 dėl kitoje valstybėje narėje teisėtai parduodamų prekių abipusio pripažinimo, kuriuo panaikinamas Reglamentas (EB) Nr. 764/2008, nustatytoms sąlygoms, perdirbto statybinio produkto tiekimui rinkai, vadovaujantis Reglamentu (ES) Nr. 2019/515, taikomas abipusio pripažinimo principas.</w:t>
                  </w:r>
                </w:p>
              </w:sdtContent>
            </w:sdt>
            <w:sdt>
              <w:sdtPr>
                <w:alias w:val="36 p."/>
                <w:tag w:val="part_c626f3fd5ce2412d86184606a37a103f"/>
                <w:lock w:val="sdtLocked"/>
                <w:richText/>
              </w:sdtPr>
              <w:sdtContent>
                <w:p>
                  <w:pPr>
                    <w:tabs>
                      <w:tab w:val="left" w:pos="567"/>
                    </w:tabs>
                    <w:suppressAutoHyphens/>
                    <w:ind w:firstLine="709"/>
                    <w:jc w:val="both"/>
                    <w:textAlignment w:val="baseline"/>
                  </w:pPr>
                  <w:sdt>
                    <w:sdtPr>
                      <w:alias w:val="Numeris"/>
                      <w:tag w:val="nr_c626f3fd5ce2412d86184606a37a103f"/>
                      <w:lock w:val="sdtLocked"/>
                      <w:richText/>
                    </w:sdtPr>
                    <w:sdtContent>
                      <w:r>
                        <w:rPr>
                          <w:lang w:eastAsia="lt-LT"/>
                        </w:rPr>
                        <w:t>36</w:t>
                      </w:r>
                    </w:sdtContent>
                  </w:sdt>
                  <w:r>
                    <w:rPr>
                      <w:lang w:eastAsia="lt-LT"/>
                    </w:rPr>
                    <w:t>. Perdirbtos ar kitaip panaudotos Taisyklių 1 priedo 1.1 papunktyje nenurodytos statybinės atliekos tampa nebe atliekomis, jei įvykdomos Atliekų tvarkymo įstatymo 3</w:t>
                  </w:r>
                  <w:r>
                    <w:rPr>
                      <w:color w:val="2B579A"/>
                      <w:vertAlign w:val="superscript"/>
                      <w:lang w:eastAsia="lt-LT"/>
                    </w:rPr>
                    <w:t xml:space="preserve">2 </w:t>
                  </w:r>
                  <w:r>
                    <w:rPr>
                      <w:lang w:eastAsia="lt-LT"/>
                    </w:rPr>
                    <w:t xml:space="preserve">straipsnio 1 dalyje nustatytos sąlygos.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005b0ea7511ee9f5b8ffa077f9188">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2024-03-25,
paskelbta TAR 2024-03-25, i. k. 2024-05293            </w:t>
              </w:r>
            </w:p>
            <w:p/>
          </w:sdtContent>
        </w:sdt>
        <w:sdt>
          <w:sdtPr>
            <w:alias w:val="skyrius"/>
            <w:tag w:val="part_1d324f37300a4877b00bee066070b2c0"/>
            <w:lock w:val="sdtLocked"/>
            <w:richText/>
          </w:sdtPr>
          <w:sdtContent>
            <w:p>
              <w:pPr>
                <w:tabs>
                  <w:tab w:val="left" w:pos="993"/>
                </w:tabs>
                <w:jc w:val="center"/>
                <w:textAlignment w:val="baseline"/>
                <w:rPr>
                  <w:rFonts w:eastAsia="Calibri"/>
                  <w:b/>
                  <w:szCs w:val="24"/>
                  <w:lang w:eastAsia="lt-LT"/>
                </w:rPr>
              </w:pPr>
              <w:sdt>
                <w:sdtPr>
                  <w:alias w:val="Numeris"/>
                  <w:tag w:val="nr_1d324f37300a4877b00bee066070b2c0"/>
                  <w:lock w:val="sdtLocked"/>
                  <w:richText/>
                </w:sdtPr>
                <w:sdtContent>
                  <w:r>
                    <w:rPr>
                      <w:rFonts w:eastAsia="Calibri"/>
                      <w:b/>
                      <w:szCs w:val="24"/>
                      <w:lang w:eastAsia="lt-LT"/>
                    </w:rPr>
                    <w:t>IX</w:t>
                  </w:r>
                </w:sdtContent>
              </w:sdt>
              <w:r>
                <w:rPr>
                  <w:rFonts w:eastAsia="Calibri"/>
                  <w:b/>
                  <w:szCs w:val="24"/>
                  <w:lang w:eastAsia="lt-LT"/>
                </w:rPr>
                <w:t xml:space="preserve"> SKYRIUS</w:t>
              </w:r>
            </w:p>
            <w:p>
              <w:pPr>
                <w:tabs>
                  <w:tab w:val="left" w:pos="993"/>
                </w:tabs>
                <w:jc w:val="center"/>
                <w:textAlignment w:val="baseline"/>
                <w:rPr>
                  <w:rFonts w:eastAsia="Calibri"/>
                  <w:b/>
                  <w:szCs w:val="24"/>
                  <w:lang w:eastAsia="lt-LT"/>
                </w:rPr>
              </w:pPr>
              <w:sdt>
                <w:sdtPr>
                  <w:alias w:val="Pavadinimas"/>
                  <w:tag w:val="title_1d324f37300a4877b00bee066070b2c0"/>
                  <w:lock w:val="sdtLocked"/>
                  <w:richText/>
                </w:sdtPr>
                <w:sdtContent>
                  <w:r>
                    <w:rPr>
                      <w:rFonts w:eastAsia="Calibri"/>
                      <w:b/>
                      <w:szCs w:val="24"/>
                      <w:lang w:eastAsia="lt-LT"/>
                    </w:rPr>
                    <w:t>PERDIRBTŲ INERTINIŲ STATYBINIŲ ATLIEKŲ NEBELAIKYMO ATLIEKOMIS ATITIKTIES DEKLARACIJA</w:t>
                  </w:r>
                </w:sdtContent>
              </w:sdt>
            </w:p>
            <w:p>
              <w:pPr>
                <w:tabs>
                  <w:tab w:val="left" w:pos="993"/>
                </w:tabs>
                <w:spacing w:line="276" w:lineRule="auto"/>
                <w:ind w:firstLine="709"/>
                <w:jc w:val="both"/>
                <w:textAlignment w:val="baseline"/>
                <w:rPr>
                  <w:rFonts w:eastAsia="Calibri"/>
                  <w:bCs/>
                  <w:szCs w:val="24"/>
                  <w:lang w:eastAsia="lt-LT"/>
                </w:rPr>
              </w:pPr>
            </w:p>
            <w:sdt>
              <w:sdtPr>
                <w:alias w:val="37 p."/>
                <w:tag w:val="part_e3f1e9daf7e24a25b96050c9415314f1"/>
                <w:lock w:val="sdtLocked"/>
                <w:richText/>
              </w:sdtPr>
              <w:sdtContent>
                <w:p>
                  <w:pPr>
                    <w:tabs>
                      <w:tab w:val="left" w:pos="993"/>
                    </w:tabs>
                    <w:ind w:firstLine="709"/>
                    <w:jc w:val="both"/>
                    <w:textAlignment w:val="baseline"/>
                    <w:rPr>
                      <w:rFonts w:eastAsia="Calibri"/>
                      <w:bCs/>
                      <w:szCs w:val="24"/>
                      <w:lang w:eastAsia="lt-LT"/>
                    </w:rPr>
                  </w:pPr>
                  <w:sdt>
                    <w:sdtPr>
                      <w:alias w:val="Numeris"/>
                      <w:tag w:val="nr_e3f1e9daf7e24a25b96050c9415314f1"/>
                      <w:lock w:val="sdtLocked"/>
                      <w:richText/>
                    </w:sdtPr>
                    <w:sdtContent>
                      <w:r>
                        <w:rPr>
                          <w:rFonts w:eastAsia="Calibri"/>
                          <w:bCs/>
                          <w:szCs w:val="24"/>
                          <w:lang w:eastAsia="lt-LT"/>
                        </w:rPr>
                        <w:t>37</w:t>
                      </w:r>
                    </w:sdtContent>
                  </w:sdt>
                  <w:r>
                    <w:rPr>
                      <w:rFonts w:eastAsia="Calibri"/>
                      <w:bCs/>
                      <w:szCs w:val="24"/>
                      <w:lang w:eastAsia="lt-LT"/>
                    </w:rPr>
                    <w:t>. Perdirbto statybinio produkto gamintojas turi:</w:t>
                  </w:r>
                </w:p>
                <w:sdt>
                  <w:sdtPr>
                    <w:alias w:val="37.1 pp."/>
                    <w:tag w:val="part_6d71b85a03b44523a3cdcde81c2d75fb"/>
                    <w:lock w:val="sdtLocked"/>
                    <w:richText/>
                  </w:sdtPr>
                  <w:sdtContent>
                    <w:p>
                      <w:pPr>
                        <w:tabs>
                          <w:tab w:val="left" w:pos="993"/>
                        </w:tabs>
                        <w:ind w:firstLine="709"/>
                        <w:jc w:val="both"/>
                        <w:textAlignment w:val="baseline"/>
                        <w:rPr>
                          <w:rFonts w:eastAsia="Calibri"/>
                          <w:bCs/>
                          <w:szCs w:val="24"/>
                          <w:lang w:eastAsia="lt-LT"/>
                        </w:rPr>
                      </w:pPr>
                      <w:sdt>
                        <w:sdtPr>
                          <w:alias w:val="Numeris"/>
                          <w:tag w:val="nr_6d71b85a03b44523a3cdcde81c2d75fb"/>
                          <w:lock w:val="sdtLocked"/>
                          <w:richText/>
                        </w:sdtPr>
                        <w:sdtContent>
                          <w:r>
                            <w:rPr>
                              <w:rFonts w:eastAsia="Calibri"/>
                              <w:bCs/>
                              <w:szCs w:val="24"/>
                              <w:lang w:eastAsia="lt-LT"/>
                            </w:rPr>
                            <w:t>37.1</w:t>
                          </w:r>
                        </w:sdtContent>
                      </w:sdt>
                      <w:r>
                        <w:rPr>
                          <w:rFonts w:eastAsia="Calibri"/>
                          <w:bCs/>
                          <w:szCs w:val="24"/>
                          <w:lang w:eastAsia="lt-LT"/>
                        </w:rPr>
                        <w:t>. parengti ir perdirbto statybinio produkto gavėjui, kuris šių šalių sudarytoje pirkimo–pardavimo sutartyje nustatytą ir perleidžiamą perdirbto statybinio produkto kiekį (toliau – siunta) panaudos konkrečiam tikslui (toliau – siuntos gavėjas), išduoti siuntos atitikties deklaraciją. Siuntos atitikties deklaracija pateikiama siuntos gavėjui el. paštu ar kitomis elektroninių ryšių priemonėmis, išskyrus, kai nėra techninių galimybių tokiu būdu pateiktos informacijos atgaminti ar perskaityti. Tokiu atveju perdirbto statybinio produkto gamintojas atitikties deklaraciją pateikia išspausdintą ir pasirašytą. Teikiant atitikties deklaraciją elektroniniu formatu, ji turi būti pasirašyta kvalifikuotu elektroniniu parašu arba suformuota elektroninių ryšių priemonėmis, kurios leidžia užtikrinti teksto vientisumą, nepakeičiamumą ir identifikuoti asmenį;</w:t>
                      </w:r>
                    </w:p>
                  </w:sdtContent>
                </w:sdt>
                <w:sdt>
                  <w:sdtPr>
                    <w:alias w:val="37.2 pp."/>
                    <w:tag w:val="part_d8ff20479cda460e8bf9702d01572598"/>
                    <w:lock w:val="sdtLocked"/>
                    <w:richText/>
                  </w:sdtPr>
                  <w:sdtContent>
                    <w:p>
                      <w:pPr>
                        <w:tabs>
                          <w:tab w:val="left" w:pos="993"/>
                        </w:tabs>
                        <w:ind w:firstLine="709"/>
                        <w:jc w:val="both"/>
                        <w:textAlignment w:val="baseline"/>
                        <w:rPr>
                          <w:rFonts w:eastAsia="Calibri"/>
                          <w:bCs/>
                          <w:szCs w:val="24"/>
                          <w:lang w:eastAsia="lt-LT"/>
                        </w:rPr>
                      </w:pPr>
                      <w:sdt>
                        <w:sdtPr>
                          <w:alias w:val="Numeris"/>
                          <w:tag w:val="nr_d8ff20479cda460e8bf9702d01572598"/>
                          <w:lock w:val="sdtLocked"/>
                          <w:richText/>
                        </w:sdtPr>
                        <w:sdtContent>
                          <w:r>
                            <w:rPr>
                              <w:rFonts w:eastAsia="Calibri"/>
                              <w:bCs/>
                              <w:szCs w:val="24"/>
                              <w:lang w:eastAsia="lt-LT"/>
                            </w:rPr>
                            <w:t>37.2</w:t>
                          </w:r>
                        </w:sdtContent>
                      </w:sdt>
                      <w:r>
                        <w:rPr>
                          <w:rFonts w:eastAsia="Calibri"/>
                          <w:bCs/>
                          <w:szCs w:val="24"/>
                          <w:lang w:eastAsia="lt-LT"/>
                        </w:rPr>
                        <w:t>. Taisyklių 1 priedo 3.1.2 papunktyje nurodytų medžiagų siuntos atitikties deklaracijoje nurodyti Taisyklių 27</w:t>
                      </w:r>
                      <w:r>
                        <w:rPr>
                          <w:rFonts w:eastAsia="Calibri"/>
                          <w:bCs/>
                          <w:szCs w:val="24"/>
                          <w:vertAlign w:val="superscript"/>
                          <w:lang w:eastAsia="lt-LT"/>
                        </w:rPr>
                        <w:t>1</w:t>
                      </w:r>
                      <w:r>
                        <w:rPr>
                          <w:rFonts w:eastAsia="Calibri"/>
                          <w:bCs/>
                          <w:szCs w:val="24"/>
                          <w:lang w:eastAsia="lt-LT"/>
                        </w:rPr>
                        <w:t xml:space="preserve"> punkte nustatytą šių medžiagų panaudojimo paskirtį;</w:t>
                      </w:r>
                    </w:p>
                  </w:sdtContent>
                </w:sdt>
                <w:sdt>
                  <w:sdtPr>
                    <w:alias w:val="37.3 pp."/>
                    <w:tag w:val="part_e19772647b4541949105d85f8621aea4"/>
                    <w:lock w:val="sdtLocked"/>
                    <w:richText/>
                  </w:sdtPr>
                  <w:sdtContent>
                    <w:p>
                      <w:pPr>
                        <w:tabs>
                          <w:tab w:val="left" w:pos="993"/>
                        </w:tabs>
                        <w:ind w:firstLine="709"/>
                        <w:jc w:val="both"/>
                        <w:textAlignment w:val="baseline"/>
                        <w:rPr>
                          <w:rFonts w:eastAsia="Calibri"/>
                          <w:bCs/>
                          <w:szCs w:val="24"/>
                          <w:lang w:eastAsia="lt-LT"/>
                        </w:rPr>
                      </w:pPr>
                      <w:sdt>
                        <w:sdtPr>
                          <w:alias w:val="Numeris"/>
                          <w:tag w:val="nr_e19772647b4541949105d85f8621aea4"/>
                          <w:lock w:val="sdtLocked"/>
                          <w:richText/>
                        </w:sdtPr>
                        <w:sdtContent>
                          <w:r>
                            <w:rPr>
                              <w:rFonts w:eastAsia="Calibri"/>
                              <w:bCs/>
                              <w:szCs w:val="24"/>
                              <w:lang w:eastAsia="lt-LT"/>
                            </w:rPr>
                            <w:t>37.3</w:t>
                          </w:r>
                        </w:sdtContent>
                      </w:sdt>
                      <w:r>
                        <w:rPr>
                          <w:rFonts w:eastAsia="Calibri"/>
                          <w:bCs/>
                          <w:szCs w:val="24"/>
                          <w:lang w:eastAsia="lt-LT"/>
                        </w:rPr>
                        <w:t>. kartu su atitikties deklaracija siuntos gavėjui išduoti siuntos eksploatacinių savybių deklaraciją (lietuvių kalba) ir kitus šiuose teisės aktuose nurodytus dokumentus, kuriuos privaloma pridėti pateikiant rinkai statybos produktą. Šis reikalavimas netaikomas perduodant Taisyklių 1 priedo 3.1.2 papunktyje nurodytas medžiagas;</w:t>
                      </w:r>
                    </w:p>
                  </w:sdtContent>
                </w:sdt>
                <w:sdt>
                  <w:sdtPr>
                    <w:alias w:val="37.4 pp."/>
                    <w:tag w:val="part_40faacb80481417881901a6316c203ef"/>
                    <w:lock w:val="sdtLocked"/>
                    <w:richText/>
                  </w:sdtPr>
                  <w:sdtContent>
                    <w:p>
                      <w:pPr>
                        <w:tabs>
                          <w:tab w:val="left" w:pos="993"/>
                        </w:tabs>
                        <w:ind w:firstLine="709"/>
                        <w:jc w:val="both"/>
                        <w:textAlignment w:val="baseline"/>
                        <w:rPr>
                          <w:rFonts w:eastAsia="Calibri"/>
                          <w:szCs w:val="24"/>
                          <w:lang w:eastAsia="lt-LT"/>
                        </w:rPr>
                      </w:pPr>
                      <w:sdt>
                        <w:sdtPr>
                          <w:alias w:val="Numeris"/>
                          <w:tag w:val="nr_40faacb80481417881901a6316c203ef"/>
                          <w:lock w:val="sdtLocked"/>
                          <w:richText/>
                        </w:sdtPr>
                        <w:sdtContent>
                          <w:r>
                            <w:rPr>
                              <w:rFonts w:eastAsia="Calibri"/>
                              <w:bCs/>
                              <w:szCs w:val="24"/>
                              <w:lang w:eastAsia="lt-LT"/>
                            </w:rPr>
                            <w:t>37.4</w:t>
                          </w:r>
                        </w:sdtContent>
                      </w:sdt>
                      <w:r>
                        <w:rPr>
                          <w:rFonts w:eastAsia="Calibri"/>
                          <w:bCs/>
                          <w:szCs w:val="24"/>
                          <w:lang w:eastAsia="lt-LT"/>
                        </w:rPr>
                        <w:t>. saugoti atitikties deklaraciją ir laboratorinių tyrimų, jei buvo atlikti pagal statybos produktui taikomą techninę specifikaciją ir (ar) Taisyklių 46 punktą, rezultatus Atliekų tvarkymo taisyklių 98 punkte nustatytą terminą, perduoti siuntos gavėjui ir pateikti juos AAD ir kitoms ūkio subjektų veiklos priežiūrą atliekančioms institucijoms jų prašymu.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ad371114211f08e9f87c0d053bf09">
                    <w:r w:rsidRPr="00532B9F">
                      <w:rPr>
                        <w:rFonts w:ascii="Times New Roman" w:eastAsia="MS Mincho" w:hAnsi="Times New Roman"/>
                        <w:sz w:val="20"/>
                        <w:i/>
                        <w:iCs/>
                        <w:color w:val="0000FF" w:themeColor="hyperlink"/>
                        <w:u w:val="single"/>
                      </w:rPr>
                      <w:t>D1-43</w:t>
                    </w:r>
                  </w:fldSimple>
                  <w:r>
                    <w:rPr>
                      <w:rFonts w:ascii="Times New Roman" w:eastAsia="MS Mincho" w:hAnsi="Times New Roman"/>
                      <w:sz w:val="20"/>
                      <w:i/>
                      <w:iCs/>
                    </w:rPr>
                    <w:t>,
2025-04-04,
paskelbta TAR 2025-04-04, i. k. 2025-05980            </w:t>
                  </w:r>
                </w:p>
                <w:p/>
              </w:sdtContent>
            </w:sdt>
            <w:sdt>
              <w:sdtPr>
                <w:alias w:val="38 p."/>
                <w:tag w:val="part_f71bb7eb65034dd2b7af734cf2fc69ac"/>
                <w:lock w:val="sdtLocked"/>
                <w:richText/>
              </w:sdtPr>
              <w:sdtContent>
                <w:p>
                  <w:pPr>
                    <w:tabs>
                      <w:tab w:val="left" w:pos="993"/>
                    </w:tabs>
                    <w:ind w:firstLine="709"/>
                    <w:jc w:val="both"/>
                    <w:textAlignment w:val="baseline"/>
                    <w:rPr>
                      <w:rFonts w:eastAsia="Calibri"/>
                      <w:szCs w:val="24"/>
                      <w:lang w:eastAsia="lt-LT"/>
                    </w:rPr>
                  </w:pPr>
                  <w:sdt>
                    <w:sdtPr>
                      <w:alias w:val="Numeris"/>
                      <w:tag w:val="nr_f71bb7eb65034dd2b7af734cf2fc69ac"/>
                      <w:lock w:val="sdtLocked"/>
                      <w:richText/>
                    </w:sdtPr>
                    <w:sdtContent>
                      <w:r>
                        <w:rPr>
                          <w:rFonts w:eastAsia="Calibri"/>
                          <w:bCs/>
                          <w:szCs w:val="24"/>
                          <w:lang w:eastAsia="lt-LT"/>
                        </w:rPr>
                        <w:t>38</w:t>
                      </w:r>
                    </w:sdtContent>
                  </w:sdt>
                  <w:r>
                    <w:rPr>
                      <w:rFonts w:eastAsia="Calibri"/>
                      <w:bCs/>
                      <w:szCs w:val="24"/>
                      <w:lang w:eastAsia="lt-LT"/>
                    </w:rPr>
                    <w:t>. Siuntos gavėjas turi saugoti atitikties deklaraciją ir laboratorinių tyrimų, jei buvo atlikti pagal statybos produktui taikomą techninę specifikaciją ir (ar) Taisyklių 46 punktą, rezultatus Atliekų tvarkymo taisyklių 98 punkte nustatytą terminą</w:t>
                  </w:r>
                  <w:r>
                    <w:rPr>
                      <w:rFonts w:eastAsia="Calibri"/>
                      <w:bCs/>
                      <w:szCs w:val="24"/>
                    </w:rPr>
                    <w:t>, Taisyklių 32 punkte nurodytu atveju pratęsus perdirbto statybinio produkto panaudojimo terminą,</w:t>
                  </w:r>
                  <w:r>
                    <w:rPr>
                      <w:rFonts w:eastAsia="Calibri"/>
                      <w:bCs/>
                      <w:szCs w:val="24"/>
                      <w:lang w:eastAsia="lt-LT"/>
                    </w:rPr>
                    <w:t xml:space="preserve"> –</w:t>
                  </w:r>
                  <w:r>
                    <w:rPr>
                      <w:rFonts w:eastAsia="Calibri"/>
                      <w:bCs/>
                      <w:szCs w:val="24"/>
                    </w:rPr>
                    <w:t xml:space="preserve"> 12 mėnesių po faktinio perdirbto statybinio produkto panaudojimo, ir pateikti</w:t>
                  </w:r>
                  <w:r>
                    <w:rPr>
                      <w:rFonts w:eastAsia="Calibri"/>
                      <w:bCs/>
                      <w:szCs w:val="24"/>
                      <w:lang w:eastAsia="lt-LT"/>
                    </w:rPr>
                    <w:t xml:space="preserve"> juos AAD ir kitoms ūkio subjektų veiklos priežiūrą atliekančioms institucijoms jų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ad371114211f08e9f87c0d053bf09">
                    <w:r w:rsidRPr="00532B9F">
                      <w:rPr>
                        <w:rFonts w:ascii="Times New Roman" w:eastAsia="MS Mincho" w:hAnsi="Times New Roman"/>
                        <w:sz w:val="20"/>
                        <w:i/>
                        <w:iCs/>
                        <w:color w:val="0000FF" w:themeColor="hyperlink"/>
                        <w:u w:val="single"/>
                      </w:rPr>
                      <w:t>D1-43</w:t>
                    </w:r>
                  </w:fldSimple>
                  <w:r>
                    <w:rPr>
                      <w:rFonts w:ascii="Times New Roman" w:eastAsia="MS Mincho" w:hAnsi="Times New Roman"/>
                      <w:sz w:val="20"/>
                      <w:i/>
                      <w:iCs/>
                    </w:rPr>
                    <w:t>,
2025-04-04,
paskelbta TAR 2025-04-04, i. k. 2025-05980            </w:t>
                  </w:r>
                </w:p>
                <w:p/>
              </w:sdtContent>
            </w:sdt>
            <w:sdt>
              <w:sdtPr>
                <w:alias w:val="39 p."/>
                <w:tag w:val="part_618ab38050a0432eab6e238fb51f4d32"/>
                <w:lock w:val="sdtLocked"/>
                <w:richText/>
              </w:sdtPr>
              <w:sdtContent>
                <w:p>
                  <w:pPr>
                    <w:tabs>
                      <w:tab w:val="left" w:pos="993"/>
                    </w:tabs>
                    <w:ind w:firstLine="709"/>
                    <w:jc w:val="both"/>
                    <w:textAlignment w:val="baseline"/>
                  </w:pPr>
                  <w:sdt>
                    <w:sdtPr>
                      <w:alias w:val="Numeris"/>
                      <w:tag w:val="nr_618ab38050a0432eab6e238fb51f4d32"/>
                      <w:lock w:val="sdtLocked"/>
                      <w:richText/>
                    </w:sdtPr>
                    <w:sdtContent>
                      <w:r>
                        <w:rPr>
                          <w:rFonts w:eastAsia="Calibri"/>
                          <w:szCs w:val="24"/>
                          <w:lang w:eastAsia="lt-LT"/>
                        </w:rPr>
                        <w:t>39</w:t>
                      </w:r>
                    </w:sdtContent>
                  </w:sdt>
                  <w:r>
                    <w:rPr>
                      <w:rFonts w:eastAsia="Calibri"/>
                      <w:szCs w:val="24"/>
                      <w:lang w:eastAsia="lt-LT"/>
                    </w:rPr>
                    <w:t>. Perdirbto statybinio produkto gamintojas Taisyklių 37 punkte nustatyta tvarka parengia ir išduoda po vieną kiekvienos siuntos atitikties deklaraciją.</w:t>
                  </w:r>
                </w:p>
              </w:sdtContent>
            </w:sdt>
            <w:sdt>
              <w:sdtPr>
                <w:alias w:val="39-1 p."/>
                <w:tag w:val="part_87f0a5b58d2045079907449fa06eb8d2"/>
                <w:lock w:val="sdtLocked"/>
                <w:richText/>
              </w:sdtPr>
              <w:sdtContent>
                <w:p>
                  <w:pPr>
                    <w:tabs>
                      <w:tab w:val="left" w:pos="993"/>
                    </w:tabs>
                    <w:ind w:firstLine="709"/>
                    <w:jc w:val="both"/>
                    <w:textAlignment w:val="baseline"/>
                  </w:pPr>
                  <w:sdt>
                    <w:sdtPr>
                      <w:alias w:val="Numeris"/>
                      <w:tag w:val="nr_87f0a5b58d2045079907449fa06eb8d2"/>
                      <w:lock w:val="sdtLocked"/>
                      <w:richText/>
                    </w:sdtPr>
                    <w:sdtContent>
                      <w:r>
                        <w:rPr>
                          <w:rFonts w:eastAsia="Calibri"/>
                          <w:bCs/>
                          <w:szCs w:val="24"/>
                          <w:lang w:eastAsia="lt-LT"/>
                        </w:rPr>
                        <w:t>39</w:t>
                      </w:r>
                      <w:r>
                        <w:rPr>
                          <w:rFonts w:eastAsia="Calibri"/>
                          <w:bCs/>
                          <w:szCs w:val="24"/>
                          <w:vertAlign w:val="superscript"/>
                          <w:lang w:eastAsia="lt-LT"/>
                        </w:rPr>
                        <w:t>1</w:t>
                      </w:r>
                    </w:sdtContent>
                  </w:sdt>
                  <w:r>
                    <w:rPr>
                      <w:rFonts w:eastAsia="Calibri"/>
                      <w:bCs/>
                      <w:szCs w:val="24"/>
                      <w:lang w:eastAsia="lt-LT"/>
                    </w:rPr>
                    <w:t>. Jei atitikties deklaracijoje nurodytas perdirbto statybinio produkto gavėjas nepanaudoja perdirbto statybinio produkto ir jį perleidžia kitam perdirbto statybinio produkto gavėjui, kartu perleidžiamos Taisyklių 37 punkte nurodytų dokumentų kopijos, autentiški elektroniniai dokumentai, jei jie sudaryti kaip elektroniniai dokumentai, elektroninių dokumentų nuorašai ir (ar) dokumentų išrašai. Perleistas perdirbtas statybinis produktas laikomas atliekomis, jei atitinka Taisyklių 31 punkto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ad371114211f08e9f87c0d053bf09">
                    <w:r w:rsidRPr="00532B9F">
                      <w:rPr>
                        <w:rFonts w:ascii="Times New Roman" w:eastAsia="MS Mincho" w:hAnsi="Times New Roman"/>
                        <w:sz w:val="20"/>
                        <w:i/>
                        <w:iCs/>
                        <w:color w:val="0000FF" w:themeColor="hyperlink"/>
                        <w:u w:val="single"/>
                      </w:rPr>
                      <w:t>D1-43</w:t>
                    </w:r>
                  </w:fldSimple>
                  <w:r>
                    <w:rPr>
                      <w:rFonts w:ascii="Times New Roman" w:eastAsia="MS Mincho" w:hAnsi="Times New Roman"/>
                      <w:sz w:val="20"/>
                      <w:i/>
                      <w:iCs/>
                    </w:rPr>
                    <w:t>,
2025-04-04,
paskelbta TAR 2025-04-04, i. k. 2025-05980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005b0ea7511ee9f5b8ffa077f9188">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2024-03-25,
paskelbta TAR 2024-03-25, i. k. 2024-05293        </w:t>
              </w:r>
            </w:p>
            <w:p/>
          </w:sdtContent>
        </w:sdt>
        <w:sdt>
          <w:sdtPr>
            <w:alias w:val="skyrius"/>
            <w:tag w:val="part_33dfa79d3f914ce0bdeae65d1c01ecd0"/>
            <w:lock w:val="sdtLocked"/>
            <w:richText/>
          </w:sdtPr>
          <w:sdtContent>
            <w:p>
              <w:pPr>
                <w:tabs>
                  <w:tab w:val="left" w:pos="993"/>
                </w:tabs>
                <w:jc w:val="center"/>
                <w:textAlignment w:val="baseline"/>
                <w:rPr>
                  <w:rFonts w:eastAsia="Calibri"/>
                  <w:b/>
                  <w:sz w:val="28"/>
                  <w:szCs w:val="28"/>
                  <w:lang w:eastAsia="lt-LT"/>
                </w:rPr>
              </w:pPr>
              <w:sdt>
                <w:sdtPr>
                  <w:alias w:val="Numeris"/>
                  <w:tag w:val="nr_33dfa79d3f914ce0bdeae65d1c01ecd0"/>
                  <w:lock w:val="sdtLocked"/>
                  <w:richText/>
                </w:sdtPr>
                <w:sdtContent>
                  <w:r>
                    <w:rPr>
                      <w:rFonts w:eastAsia="Calibri"/>
                      <w:b/>
                      <w:szCs w:val="28"/>
                      <w:lang w:eastAsia="lt-LT"/>
                    </w:rPr>
                    <w:t>X</w:t>
                  </w:r>
                </w:sdtContent>
              </w:sdt>
              <w:r>
                <w:rPr>
                  <w:rFonts w:eastAsia="Calibri"/>
                  <w:b/>
                  <w:szCs w:val="28"/>
                  <w:lang w:eastAsia="lt-LT"/>
                </w:rPr>
                <w:t xml:space="preserve"> SKYRIUS</w:t>
              </w:r>
            </w:p>
            <w:p>
              <w:pPr>
                <w:tabs>
                  <w:tab w:val="left" w:pos="993"/>
                </w:tabs>
                <w:spacing w:line="276" w:lineRule="auto"/>
                <w:jc w:val="center"/>
                <w:textAlignment w:val="baseline"/>
                <w:rPr>
                  <w:rFonts w:eastAsia="Calibri"/>
                  <w:b/>
                  <w:szCs w:val="24"/>
                  <w:lang w:eastAsia="lt-LT"/>
                </w:rPr>
              </w:pPr>
              <w:sdt>
                <w:sdtPr>
                  <w:alias w:val="Pavadinimas"/>
                  <w:tag w:val="title_33dfa79d3f914ce0bdeae65d1c01ecd0"/>
                  <w:lock w:val="sdtLocked"/>
                  <w:richText/>
                </w:sdtPr>
                <w:sdtContent>
                  <w:r>
                    <w:rPr>
                      <w:rFonts w:eastAsia="Calibri"/>
                      <w:b/>
                      <w:szCs w:val="24"/>
                      <w:lang w:eastAsia="lt-LT"/>
                    </w:rPr>
                    <w:t>INERTINIŲ STATYBINIŲ ATLIEKŲ PERDIRBIMO KOKYBĖS VALDYMO SISTEMA</w:t>
                  </w:r>
                </w:sdtContent>
              </w:sdt>
            </w:p>
            <w:p>
              <w:pPr>
                <w:tabs>
                  <w:tab w:val="left" w:pos="993"/>
                </w:tabs>
                <w:spacing w:line="276" w:lineRule="auto"/>
                <w:ind w:firstLine="709"/>
                <w:jc w:val="center"/>
                <w:textAlignment w:val="baseline"/>
                <w:rPr>
                  <w:rFonts w:eastAsia="Calibri"/>
                  <w:szCs w:val="24"/>
                  <w:lang w:eastAsia="lt-LT"/>
                </w:rPr>
              </w:pPr>
            </w:p>
            <w:sdt>
              <w:sdtPr>
                <w:alias w:val="40 p."/>
                <w:tag w:val="part_9a2ca0c451044cc1adfedeae5206c1dc"/>
                <w:lock w:val="sdtLocked"/>
                <w:richText/>
              </w:sdtPr>
              <w:sdtContent>
                <w:p>
                  <w:pPr>
                    <w:tabs>
                      <w:tab w:val="left" w:pos="993"/>
                    </w:tabs>
                    <w:ind w:firstLine="709"/>
                    <w:jc w:val="both"/>
                    <w:textAlignment w:val="baseline"/>
                    <w:rPr>
                      <w:rFonts w:eastAsia="Calibri"/>
                      <w:szCs w:val="24"/>
                      <w:lang w:eastAsia="lt-LT"/>
                    </w:rPr>
                  </w:pPr>
                  <w:sdt>
                    <w:sdtPr>
                      <w:alias w:val="Numeris"/>
                      <w:tag w:val="nr_9a2ca0c451044cc1adfedeae5206c1dc"/>
                      <w:lock w:val="sdtLocked"/>
                      <w:richText/>
                    </w:sdtPr>
                    <w:sdtContent>
                      <w:r>
                        <w:rPr>
                          <w:rFonts w:eastAsia="Calibri"/>
                          <w:szCs w:val="24"/>
                          <w:lang w:eastAsia="lt-LT"/>
                        </w:rPr>
                        <w:t>40</w:t>
                      </w:r>
                    </w:sdtContent>
                  </w:sdt>
                  <w:r>
                    <w:rPr>
                      <w:rFonts w:eastAsia="Calibri"/>
                      <w:szCs w:val="24"/>
                      <w:lang w:eastAsia="lt-LT"/>
                    </w:rPr>
                    <w:t xml:space="preserve">. Perdirbto statybinio  produkto gamintojas turi įdiegti statybinių atliekų perdirbimo kokybės valdymo sistemą (toliau – kokybės valdymo sistema), užtikrinančią atliekų naudojimo veiklos metu pagaminto perdirbto statybinio  produkto atitiktį Taisyklių</w:t>
                  </w:r>
                  <w:r>
                    <w:rPr>
                      <w:rFonts w:eastAsia="Calibri"/>
                      <w:szCs w:val="24"/>
                    </w:rPr>
                    <w:t xml:space="preserve"> </w:t>
                  </w:r>
                  <w:r>
                    <w:rPr>
                      <w:rFonts w:eastAsia="Calibri"/>
                      <w:szCs w:val="24"/>
                      <w:lang w:eastAsia="lt-LT"/>
                    </w:rPr>
                    <w:t>VIII–X skyriuose nustatytiems kriterijams ir sąlygoms.</w:t>
                  </w:r>
                </w:p>
              </w:sdtContent>
            </w:sdt>
            <w:sdt>
              <w:sdtPr>
                <w:alias w:val="41 p."/>
                <w:tag w:val="part_7e394f89e18f4a46ad520eaea9721d72"/>
                <w:lock w:val="sdtLocked"/>
                <w:richText/>
              </w:sdtPr>
              <w:sdtContent>
                <w:p>
                  <w:pPr>
                    <w:tabs>
                      <w:tab w:val="left" w:pos="993"/>
                    </w:tabs>
                    <w:ind w:firstLine="709"/>
                    <w:jc w:val="both"/>
                    <w:textAlignment w:val="baseline"/>
                    <w:rPr>
                      <w:rFonts w:eastAsia="Calibri"/>
                      <w:szCs w:val="24"/>
                      <w:lang w:eastAsia="lt-LT"/>
                    </w:rPr>
                  </w:pPr>
                  <w:sdt>
                    <w:sdtPr>
                      <w:alias w:val="Numeris"/>
                      <w:tag w:val="nr_7e394f89e18f4a46ad520eaea9721d72"/>
                      <w:lock w:val="sdtLocked"/>
                      <w:richText/>
                    </w:sdtPr>
                    <w:sdtContent>
                      <w:r>
                        <w:rPr>
                          <w:rFonts w:eastAsia="Calibri"/>
                          <w:szCs w:val="24"/>
                          <w:lang w:eastAsia="lt-LT"/>
                        </w:rPr>
                        <w:t>41</w:t>
                      </w:r>
                    </w:sdtContent>
                  </w:sdt>
                  <w:r>
                    <w:rPr>
                      <w:rFonts w:eastAsia="Calibri"/>
                      <w:szCs w:val="24"/>
                      <w:lang w:eastAsia="lt-LT"/>
                    </w:rPr>
                    <w:t>. Kokybės valdymo sistemos aprašyme turi būti pateikta ši informacija:</w:t>
                  </w:r>
                </w:p>
                <w:sdt>
                  <w:sdtPr>
                    <w:alias w:val="41.1 pp."/>
                    <w:tag w:val="part_c4ef9ee695404955888990d66810384b"/>
                    <w:lock w:val="sdtLocked"/>
                    <w:richText/>
                  </w:sdtPr>
                  <w:sdtContent>
                    <w:p>
                      <w:pPr>
                        <w:tabs>
                          <w:tab w:val="left" w:pos="993"/>
                        </w:tabs>
                        <w:ind w:firstLine="709"/>
                        <w:jc w:val="both"/>
                        <w:textAlignment w:val="baseline"/>
                        <w:rPr>
                          <w:rFonts w:eastAsia="Calibri"/>
                          <w:szCs w:val="24"/>
                          <w:lang w:eastAsia="lt-LT"/>
                        </w:rPr>
                      </w:pPr>
                      <w:sdt>
                        <w:sdtPr>
                          <w:alias w:val="Numeris"/>
                          <w:tag w:val="nr_c4ef9ee695404955888990d66810384b"/>
                          <w:lock w:val="sdtLocked"/>
                          <w:richText/>
                        </w:sdtPr>
                        <w:sdtContent>
                          <w:r>
                            <w:rPr>
                              <w:rFonts w:eastAsia="Calibri"/>
                              <w:szCs w:val="24"/>
                              <w:lang w:eastAsia="lt-LT"/>
                            </w:rPr>
                            <w:t>41.1</w:t>
                          </w:r>
                        </w:sdtContent>
                      </w:sdt>
                      <w:r>
                        <w:rPr>
                          <w:rFonts w:eastAsia="Calibri"/>
                          <w:szCs w:val="24"/>
                          <w:lang w:eastAsia="lt-LT"/>
                        </w:rPr>
                        <w:t>. statybinių atliekų perdirbimo procesų ir metodų stebėsenos tvarka;</w:t>
                      </w:r>
                    </w:p>
                  </w:sdtContent>
                </w:sdt>
                <w:sdt>
                  <w:sdtPr>
                    <w:alias w:val="41.2 pp."/>
                    <w:tag w:val="part_220222bb92fe475e8957d35317df47cd"/>
                    <w:lock w:val="sdtLocked"/>
                    <w:richText/>
                  </w:sdtPr>
                  <w:sdtContent>
                    <w:p>
                      <w:pPr>
                        <w:tabs>
                          <w:tab w:val="left" w:pos="993"/>
                        </w:tabs>
                        <w:ind w:firstLine="709"/>
                        <w:jc w:val="both"/>
                        <w:textAlignment w:val="baseline"/>
                        <w:rPr>
                          <w:rFonts w:eastAsia="Calibri"/>
                          <w:szCs w:val="24"/>
                          <w:lang w:eastAsia="lt-LT"/>
                        </w:rPr>
                      </w:pPr>
                      <w:sdt>
                        <w:sdtPr>
                          <w:alias w:val="Numeris"/>
                          <w:tag w:val="nr_220222bb92fe475e8957d35317df47cd"/>
                          <w:lock w:val="sdtLocked"/>
                          <w:richText/>
                        </w:sdtPr>
                        <w:sdtContent>
                          <w:r>
                            <w:rPr>
                              <w:rFonts w:eastAsia="Calibri"/>
                              <w:szCs w:val="24"/>
                              <w:lang w:eastAsia="lt-LT"/>
                            </w:rPr>
                            <w:t>41.2</w:t>
                          </w:r>
                        </w:sdtContent>
                      </w:sdt>
                      <w:r>
                        <w:rPr>
                          <w:rFonts w:eastAsia="Calibri"/>
                          <w:szCs w:val="24"/>
                          <w:lang w:eastAsia="lt-LT"/>
                        </w:rPr>
                        <w:t>. atitikties kriterijams ir reikalavimams, nurodytiems Taisyklių 1 priede, stebėsenos tvarka;</w:t>
                      </w:r>
                    </w:p>
                  </w:sdtContent>
                </w:sdt>
                <w:sdt>
                  <w:sdtPr>
                    <w:alias w:val="41.3 pp."/>
                    <w:tag w:val="part_3ab9066693eb47acad61ad0c27b4505d"/>
                    <w:lock w:val="sdtLocked"/>
                    <w:richText/>
                  </w:sdtPr>
                  <w:sdtContent>
                    <w:p>
                      <w:pPr>
                        <w:tabs>
                          <w:tab w:val="left" w:pos="993"/>
                        </w:tabs>
                        <w:ind w:firstLine="709"/>
                        <w:jc w:val="both"/>
                        <w:textAlignment w:val="baseline"/>
                        <w:rPr>
                          <w:rFonts w:eastAsia="Calibri"/>
                          <w:szCs w:val="24"/>
                          <w:lang w:eastAsia="lt-LT"/>
                        </w:rPr>
                      </w:pPr>
                      <w:sdt>
                        <w:sdtPr>
                          <w:alias w:val="Numeris"/>
                          <w:tag w:val="nr_3ab9066693eb47acad61ad0c27b4505d"/>
                          <w:lock w:val="sdtLocked"/>
                          <w:richText/>
                        </w:sdtPr>
                        <w:sdtContent>
                          <w:r>
                            <w:rPr>
                              <w:rFonts w:eastAsia="Calibri"/>
                              <w:szCs w:val="24"/>
                              <w:lang w:eastAsia="lt-LT"/>
                            </w:rPr>
                            <w:t>41.3</w:t>
                          </w:r>
                        </w:sdtContent>
                      </w:sdt>
                      <w:r>
                        <w:rPr>
                          <w:rFonts w:eastAsia="Calibri"/>
                          <w:szCs w:val="24"/>
                          <w:lang w:eastAsia="lt-LT"/>
                        </w:rPr>
                        <w:t>. perdirbto statybinio produkto kokybės stebėsenos tvarka pagal šiam produktui taikomą standartą ar techninę specifikaciją, įskaitant ėminių ėmimą ir laboratorinius tyrimus;</w:t>
                      </w:r>
                    </w:p>
                  </w:sdtContent>
                </w:sdt>
                <w:sdt>
                  <w:sdtPr>
                    <w:alias w:val="41.4 pp."/>
                    <w:tag w:val="part_68f1d8ef2e864532acfc39253b1930c6"/>
                    <w:lock w:val="sdtLocked"/>
                    <w:richText/>
                  </w:sdtPr>
                  <w:sdtContent>
                    <w:p>
                      <w:pPr>
                        <w:tabs>
                          <w:tab w:val="left" w:pos="993"/>
                        </w:tabs>
                        <w:ind w:firstLine="709"/>
                        <w:jc w:val="both"/>
                        <w:textAlignment w:val="baseline"/>
                        <w:rPr>
                          <w:rFonts w:eastAsia="Calibri"/>
                          <w:szCs w:val="24"/>
                          <w:lang w:eastAsia="lt-LT"/>
                        </w:rPr>
                      </w:pPr>
                      <w:sdt>
                        <w:sdtPr>
                          <w:alias w:val="Numeris"/>
                          <w:tag w:val="nr_68f1d8ef2e864532acfc39253b1930c6"/>
                          <w:lock w:val="sdtLocked"/>
                          <w:richText/>
                        </w:sdtPr>
                        <w:sdtContent>
                          <w:r>
                            <w:rPr>
                              <w:rFonts w:eastAsia="Calibri"/>
                              <w:szCs w:val="24"/>
                              <w:lang w:eastAsia="lt-LT"/>
                            </w:rPr>
                            <w:t>41.4</w:t>
                          </w:r>
                        </w:sdtContent>
                      </w:sdt>
                      <w:r>
                        <w:rPr>
                          <w:rFonts w:eastAsia="Calibri"/>
                          <w:szCs w:val="24"/>
                          <w:lang w:eastAsia="lt-LT"/>
                        </w:rPr>
                        <w:t>. atitikties deklaracijų rengimo, išdavimo tvarka ir saugojimo terminai;</w:t>
                      </w:r>
                    </w:p>
                  </w:sdtContent>
                </w:sdt>
                <w:sdt>
                  <w:sdtPr>
                    <w:alias w:val="41.5 pp."/>
                    <w:tag w:val="part_94cef20d5fbc418fbb9a8d154bac695c"/>
                    <w:lock w:val="sdtLocked"/>
                    <w:richText/>
                  </w:sdtPr>
                  <w:sdtContent>
                    <w:p>
                      <w:pPr>
                        <w:tabs>
                          <w:tab w:val="left" w:pos="993"/>
                        </w:tabs>
                        <w:ind w:firstLine="709"/>
                        <w:jc w:val="both"/>
                        <w:textAlignment w:val="baseline"/>
                        <w:rPr>
                          <w:rFonts w:eastAsia="Calibri"/>
                          <w:szCs w:val="24"/>
                          <w:lang w:eastAsia="lt-LT"/>
                        </w:rPr>
                      </w:pPr>
                      <w:sdt>
                        <w:sdtPr>
                          <w:alias w:val="Numeris"/>
                          <w:tag w:val="nr_94cef20d5fbc418fbb9a8d154bac695c"/>
                          <w:lock w:val="sdtLocked"/>
                          <w:richText/>
                        </w:sdtPr>
                        <w:sdtContent>
                          <w:r>
                            <w:rPr>
                              <w:rFonts w:eastAsia="Calibri"/>
                              <w:szCs w:val="24"/>
                              <w:lang w:eastAsia="lt-LT"/>
                            </w:rPr>
                            <w:t>41.5</w:t>
                          </w:r>
                        </w:sdtContent>
                      </w:sdt>
                      <w:r>
                        <w:rPr>
                          <w:rFonts w:eastAsia="Calibri"/>
                          <w:szCs w:val="24"/>
                          <w:lang w:eastAsia="lt-LT"/>
                        </w:rPr>
                        <w:t>. siuntos ženklinimo (nurodomi unikalus perdirbto statybinio produkto siuntos identifikavimo kodas, tipas, partija, serijos numeris ar bet koks kitas elementas, pagal kurį būtų galima identifikuoti perdirbtus statybinius produktus, jų gamintoją, gamybos ir pakavimo datą, vietą) ir laikymo aprašymai;</w:t>
                      </w:r>
                    </w:p>
                  </w:sdtContent>
                </w:sdt>
                <w:sdt>
                  <w:sdtPr>
                    <w:alias w:val="41.6 pp."/>
                    <w:tag w:val="part_f4b784689b264e52ba51b7425bc86223"/>
                    <w:lock w:val="sdtLocked"/>
                    <w:richText/>
                  </w:sdtPr>
                  <w:sdtContent>
                    <w:p>
                      <w:pPr>
                        <w:tabs>
                          <w:tab w:val="left" w:pos="993"/>
                        </w:tabs>
                        <w:ind w:firstLine="709"/>
                        <w:jc w:val="both"/>
                        <w:textAlignment w:val="baseline"/>
                        <w:rPr>
                          <w:rFonts w:eastAsia="Calibri"/>
                          <w:szCs w:val="24"/>
                          <w:lang w:eastAsia="lt-LT"/>
                        </w:rPr>
                      </w:pPr>
                      <w:sdt>
                        <w:sdtPr>
                          <w:alias w:val="Numeris"/>
                          <w:tag w:val="nr_f4b784689b264e52ba51b7425bc86223"/>
                          <w:lock w:val="sdtLocked"/>
                          <w:richText/>
                        </w:sdtPr>
                        <w:sdtContent>
                          <w:r>
                            <w:rPr>
                              <w:rFonts w:eastAsia="Calibri"/>
                              <w:bCs/>
                              <w:szCs w:val="24"/>
                              <w:lang w:eastAsia="lt-LT"/>
                            </w:rPr>
                            <w:t>41.6</w:t>
                          </w:r>
                        </w:sdtContent>
                      </w:sdt>
                      <w:r>
                        <w:rPr>
                          <w:rFonts w:eastAsia="Calibri"/>
                          <w:bCs/>
                          <w:szCs w:val="24"/>
                          <w:lang w:eastAsia="lt-LT"/>
                        </w:rPr>
                        <w:t>. siuntos gavėjų atsiliepimų apie perdirbą statybinį produktą saugojimas.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ad371114211f08e9f87c0d053bf09">
                        <w:r w:rsidRPr="00532B9F">
                          <w:rPr>
                            <w:rFonts w:ascii="Times New Roman" w:eastAsia="MS Mincho" w:hAnsi="Times New Roman"/>
                            <w:sz w:val="20"/>
                            <w:i/>
                            <w:iCs/>
                            <w:color w:val="0000FF" w:themeColor="hyperlink"/>
                            <w:u w:val="single"/>
                          </w:rPr>
                          <w:t>D1-43</w:t>
                        </w:r>
                      </w:fldSimple>
                      <w:r>
                        <w:rPr>
                          <w:rFonts w:ascii="Times New Roman" w:eastAsia="MS Mincho" w:hAnsi="Times New Roman"/>
                          <w:sz w:val="20"/>
                          <w:i/>
                          <w:iCs/>
                        </w:rPr>
                        <w:t>,
2025-04-04,
paskelbta TAR 2025-04-04, i. k. 2025-05980            </w:t>
                      </w:r>
                    </w:p>
                    <w:p/>
                  </w:sdtContent>
                </w:sdt>
              </w:sdtContent>
            </w:sdt>
            <w:sdt>
              <w:sdtPr>
                <w:alias w:val="42 p."/>
                <w:tag w:val="part_14d2794ec6c545a78f983f2ddc00622f"/>
                <w:lock w:val="sdtLocked"/>
                <w:richText/>
              </w:sdtPr>
              <w:sdtContent>
                <w:p>
                  <w:pPr>
                    <w:tabs>
                      <w:tab w:val="left" w:pos="993"/>
                    </w:tabs>
                    <w:ind w:firstLine="709"/>
                    <w:jc w:val="both"/>
                    <w:textAlignment w:val="baseline"/>
                    <w:rPr>
                      <w:rFonts w:eastAsia="Calibri"/>
                      <w:szCs w:val="24"/>
                      <w:lang w:eastAsia="lt-LT"/>
                    </w:rPr>
                  </w:pPr>
                  <w:sdt>
                    <w:sdtPr>
                      <w:alias w:val="Numeris"/>
                      <w:tag w:val="nr_14d2794ec6c545a78f983f2ddc00622f"/>
                      <w:lock w:val="sdtLocked"/>
                      <w:richText/>
                    </w:sdtPr>
                    <w:sdtContent>
                      <w:r>
                        <w:rPr>
                          <w:rFonts w:eastAsia="Calibri"/>
                          <w:szCs w:val="24"/>
                          <w:lang w:eastAsia="lt-LT"/>
                        </w:rPr>
                        <w:t>42</w:t>
                      </w:r>
                    </w:sdtContent>
                  </w:sdt>
                  <w:r>
                    <w:rPr>
                      <w:rFonts w:eastAsia="Calibri"/>
                      <w:szCs w:val="24"/>
                      <w:lang w:eastAsia="lt-LT"/>
                    </w:rPr>
                    <w:t xml:space="preserve">. </w:t>
                  </w:r>
                  <w:r>
                    <w:rPr>
                      <w:rFonts w:eastAsia="Calibri"/>
                      <w:szCs w:val="24"/>
                    </w:rPr>
                    <w:t>Jei perdirbto statybinio produkto gamintojo pagal Reglamento Nr. 305/2011 ir (ar) STR 1.01.04:2015 parengtame</w:t>
                  </w:r>
                  <w:r>
                    <w:rPr>
                      <w:rFonts w:eastAsia="Calibri"/>
                      <w:szCs w:val="24"/>
                      <w:lang w:eastAsia="lt-LT"/>
                    </w:rPr>
                    <w:t xml:space="preserve"> vidinę gamybos kontrolę aprašančiame dokumente pateikta visa Taisyklių 40 punkte nurodyta informacija, perdirbto statybinio produkto gamintojas gali nerengti kokybės valdymo sistemos</w:t>
                  </w:r>
                  <w:r>
                    <w:rPr>
                      <w:color w:val="333333"/>
                      <w:szCs w:val="24"/>
                    </w:rPr>
                    <w:t xml:space="preserve"> – ja bus laikomas pagal minėtus teisės aktus parengtas vidinę gamybos kontrolę aprašantis dokumentas.</w:t>
                  </w:r>
                </w:p>
              </w:sdtContent>
            </w:sdt>
            <w:sdt>
              <w:sdtPr>
                <w:alias w:val="43 p."/>
                <w:tag w:val="part_c9e2bfb07a214f22a645f54eb66ebd75"/>
                <w:lock w:val="sdtLocked"/>
                <w:richText/>
              </w:sdtPr>
              <w:sdtContent>
                <w:p>
                  <w:pPr>
                    <w:tabs>
                      <w:tab w:val="left" w:pos="993"/>
                    </w:tabs>
                    <w:ind w:firstLine="709"/>
                    <w:jc w:val="both"/>
                    <w:textAlignment w:val="baseline"/>
                    <w:rPr>
                      <w:rFonts w:eastAsia="Calibri"/>
                      <w:szCs w:val="24"/>
                      <w:lang w:eastAsia="lt-LT"/>
                    </w:rPr>
                  </w:pPr>
                  <w:sdt>
                    <w:sdtPr>
                      <w:alias w:val="Numeris"/>
                      <w:tag w:val="nr_c9e2bfb07a214f22a645f54eb66ebd75"/>
                      <w:lock w:val="sdtLocked"/>
                      <w:richText/>
                    </w:sdtPr>
                    <w:sdtContent>
                      <w:r>
                        <w:rPr>
                          <w:rFonts w:eastAsia="Calibri"/>
                          <w:szCs w:val="24"/>
                          <w:lang w:eastAsia="lt-LT"/>
                        </w:rPr>
                        <w:t>43</w:t>
                      </w:r>
                    </w:sdtContent>
                  </w:sdt>
                  <w:r>
                    <w:rPr>
                      <w:rFonts w:eastAsia="Calibri"/>
                      <w:szCs w:val="24"/>
                      <w:lang w:eastAsia="lt-LT"/>
                    </w:rPr>
                    <w:t xml:space="preserve">. Ūkio subjekto vadovo įsakymu paskiriami specialistai, atsakingi už perdirbto statybinio produkto atitiktį Taisyklių 1 priede nustatytiems kriterijams. </w:t>
                  </w:r>
                </w:p>
              </w:sdtContent>
            </w:sdt>
            <w:sdt>
              <w:sdtPr>
                <w:alias w:val="44 p."/>
                <w:tag w:val="part_a3f771fd276547fda00ff25ddd90649f"/>
                <w:lock w:val="sdtLocked"/>
                <w:richText/>
              </w:sdtPr>
              <w:sdtContent>
                <w:p>
                  <w:pPr>
                    <w:tabs>
                      <w:tab w:val="left" w:pos="993"/>
                    </w:tabs>
                    <w:ind w:firstLine="709"/>
                    <w:jc w:val="both"/>
                    <w:textAlignment w:val="baseline"/>
                    <w:rPr>
                      <w:rFonts w:eastAsia="Calibri"/>
                      <w:bCs/>
                      <w:szCs w:val="24"/>
                      <w:lang w:eastAsia="lt-LT"/>
                    </w:rPr>
                  </w:pPr>
                  <w:sdt>
                    <w:sdtPr>
                      <w:alias w:val="Numeris"/>
                      <w:tag w:val="nr_a3f771fd276547fda00ff25ddd90649f"/>
                      <w:lock w:val="sdtLocked"/>
                      <w:richText/>
                    </w:sdtPr>
                    <w:sdtContent>
                      <w:r>
                        <w:rPr>
                          <w:rFonts w:eastAsia="Calibri"/>
                          <w:bCs/>
                          <w:szCs w:val="24"/>
                          <w:lang w:eastAsia="lt-LT"/>
                        </w:rPr>
                        <w:t>44</w:t>
                      </w:r>
                    </w:sdtContent>
                  </w:sdt>
                  <w:r>
                    <w:rPr>
                      <w:rFonts w:eastAsia="Calibri"/>
                      <w:bCs/>
                      <w:szCs w:val="24"/>
                      <w:lang w:eastAsia="lt-LT"/>
                    </w:rPr>
                    <w:t>. Perdirbto statybinio produkto gamintojo atliekamos vidinės kontrolės reikalavimai:</w:t>
                  </w:r>
                </w:p>
                <w:sdt>
                  <w:sdtPr>
                    <w:alias w:val="44.1 pp."/>
                    <w:tag w:val="part_8fd110acaea04cb7a397428922296684"/>
                    <w:lock w:val="sdtLocked"/>
                    <w:richText/>
                  </w:sdtPr>
                  <w:sdtContent>
                    <w:p>
                      <w:pPr>
                        <w:tabs>
                          <w:tab w:val="left" w:pos="1134"/>
                        </w:tabs>
                        <w:ind w:firstLine="709"/>
                        <w:jc w:val="both"/>
                        <w:textAlignment w:val="baseline"/>
                        <w:rPr>
                          <w:rFonts w:eastAsia="Calibri"/>
                          <w:bCs/>
                          <w:szCs w:val="24"/>
                          <w:lang w:eastAsia="lt-LT"/>
                        </w:rPr>
                      </w:pPr>
                      <w:sdt>
                        <w:sdtPr>
                          <w:alias w:val="Numeris"/>
                          <w:tag w:val="nr_8fd110acaea04cb7a397428922296684"/>
                          <w:lock w:val="sdtLocked"/>
                          <w:richText/>
                        </w:sdtPr>
                        <w:sdtContent>
                          <w:r>
                            <w:rPr>
                              <w:rFonts w:eastAsia="Calibri"/>
                              <w:bCs/>
                              <w:szCs w:val="24"/>
                              <w:lang w:eastAsia="lt-LT"/>
                            </w:rPr>
                            <w:t>44.1</w:t>
                          </w:r>
                        </w:sdtContent>
                      </w:sdt>
                      <w:r>
                        <w:rPr>
                          <w:rFonts w:eastAsia="Calibri"/>
                          <w:bCs/>
                          <w:szCs w:val="24"/>
                          <w:lang w:eastAsia="lt-LT"/>
                        </w:rPr>
                        <w:t>.</w:t>
                      </w:r>
                      <w:r>
                        <w:rPr>
                          <w:rFonts w:ascii="Calibri" w:eastAsia="Calibri" w:hAnsi="Calibri"/>
                          <w:bCs/>
                          <w:sz w:val="22"/>
                          <w:szCs w:val="22"/>
                        </w:rPr>
                        <w:tab/>
                      </w:r>
                      <w:r>
                        <w:rPr>
                          <w:rFonts w:eastAsia="Calibri"/>
                          <w:bCs/>
                          <w:szCs w:val="24"/>
                          <w:lang w:eastAsia="lt-LT"/>
                        </w:rPr>
                        <w:t>Statybinių atliekų kokybė vertinama vizualiai, atsižvelgiant į Taisyklių 1 priedo 2.1 ir 3.6</w:t>
                      </w:r>
                      <w:r>
                        <w:rPr>
                          <w:rFonts w:ascii="Calibri" w:eastAsia="Calibri" w:hAnsi="Calibri"/>
                          <w:sz w:val="22"/>
                          <w:szCs w:val="22"/>
                        </w:rPr>
                        <w:t> </w:t>
                      </w:r>
                      <w:r>
                        <w:rPr>
                          <w:rFonts w:eastAsia="Calibri"/>
                          <w:bCs/>
                          <w:szCs w:val="24"/>
                          <w:lang w:eastAsia="lt-LT"/>
                        </w:rPr>
                        <w:t>papunkčiuose nurodytus kriterijus.</w:t>
                      </w:r>
                    </w:p>
                  </w:sdtContent>
                </w:sdt>
                <w:sdt>
                  <w:sdtPr>
                    <w:alias w:val="44.2 pp."/>
                    <w:tag w:val="part_27b92de484d44f70b867a7fe5604e44f"/>
                    <w:lock w:val="sdtLocked"/>
                    <w:richText/>
                  </w:sdtPr>
                  <w:sdtContent>
                    <w:p>
                      <w:pPr>
                        <w:tabs>
                          <w:tab w:val="left" w:pos="1134"/>
                        </w:tabs>
                        <w:ind w:firstLine="709"/>
                        <w:jc w:val="both"/>
                        <w:textAlignment w:val="baseline"/>
                        <w:rPr>
                          <w:rFonts w:eastAsia="Calibri"/>
                          <w:szCs w:val="24"/>
                          <w:lang w:eastAsia="lt-LT"/>
                        </w:rPr>
                      </w:pPr>
                      <w:sdt>
                        <w:sdtPr>
                          <w:alias w:val="Numeris"/>
                          <w:tag w:val="nr_27b92de484d44f70b867a7fe5604e44f"/>
                          <w:lock w:val="sdtLocked"/>
                          <w:richText/>
                        </w:sdtPr>
                        <w:sdtContent>
                          <w:r>
                            <w:rPr>
                              <w:rFonts w:eastAsia="Calibri"/>
                              <w:szCs w:val="24"/>
                              <w:lang w:eastAsia="lt-LT"/>
                            </w:rPr>
                            <w:t>44.2</w:t>
                          </w:r>
                        </w:sdtContent>
                      </w:sdt>
                      <w:r>
                        <w:rPr>
                          <w:rFonts w:eastAsia="Calibri"/>
                          <w:szCs w:val="24"/>
                          <w:lang w:eastAsia="lt-LT"/>
                        </w:rPr>
                        <w:t>.</w:t>
                      </w:r>
                      <w:r>
                        <w:rPr>
                          <w:rFonts w:ascii="Calibri" w:eastAsia="Calibri" w:hAnsi="Calibri"/>
                          <w:sz w:val="22"/>
                          <w:szCs w:val="22"/>
                        </w:rPr>
                        <w:tab/>
                      </w:r>
                      <w:r>
                        <w:rPr>
                          <w:rFonts w:eastAsia="Calibri"/>
                          <w:szCs w:val="24"/>
                          <w:lang w:eastAsia="lt-LT"/>
                        </w:rPr>
                        <w:t xml:space="preserve">Naudojantis kokybės valdymo sistema ar Taisyklių 42 punktą atitinkančiu </w:t>
                      </w:r>
                      <w:r>
                        <w:rPr>
                          <w:szCs w:val="24"/>
                        </w:rPr>
                        <w:t xml:space="preserve">dokumentu, kuriame aprašoma vidinė gamybos kontrolė, </w:t>
                      </w:r>
                      <w:r>
                        <w:rPr>
                          <w:rFonts w:eastAsia="Calibri"/>
                          <w:szCs w:val="24"/>
                          <w:lang w:eastAsia="lt-LT"/>
                        </w:rPr>
                        <w:t>perdirbtų statybinių produktų kokybė vertinama:</w:t>
                      </w:r>
                    </w:p>
                    <w:sdt>
                      <w:sdtPr>
                        <w:alias w:val="44.2.1 pp."/>
                        <w:tag w:val="part_8bc1c097960a427a9ff9408ef92ae186"/>
                        <w:lock w:val="sdtLocked"/>
                        <w:richText/>
                      </w:sdtPr>
                      <w:sdtContent>
                        <w:p>
                          <w:pPr>
                            <w:tabs>
                              <w:tab w:val="left" w:pos="1134"/>
                            </w:tabs>
                            <w:ind w:firstLine="709"/>
                            <w:jc w:val="both"/>
                            <w:textAlignment w:val="baseline"/>
                            <w:rPr>
                              <w:rFonts w:eastAsia="Calibri"/>
                              <w:szCs w:val="24"/>
                              <w:lang w:eastAsia="lt-LT"/>
                            </w:rPr>
                          </w:pPr>
                          <w:sdt>
                            <w:sdtPr>
                              <w:alias w:val="Numeris"/>
                              <w:tag w:val="nr_8bc1c097960a427a9ff9408ef92ae186"/>
                              <w:lock w:val="sdtLocked"/>
                              <w:richText/>
                            </w:sdtPr>
                            <w:sdtContent>
                              <w:r>
                                <w:rPr>
                                  <w:rFonts w:eastAsia="Calibri"/>
                                  <w:szCs w:val="24"/>
                                  <w:lang w:eastAsia="lt-LT"/>
                                </w:rPr>
                                <w:t>44.2.1</w:t>
                              </w:r>
                            </w:sdtContent>
                          </w:sdt>
                          <w:r>
                            <w:rPr>
                              <w:rFonts w:eastAsia="Calibri"/>
                              <w:szCs w:val="24"/>
                              <w:lang w:eastAsia="lt-LT"/>
                            </w:rPr>
                            <w:t>. vizualiai, atsižvelgiant į Taisyklių 1 priedo 3.1, 3.2 ir 3.6–3.8 papunkčiuose nurodytus kriterijus;</w:t>
                          </w:r>
                        </w:p>
                      </w:sdtContent>
                    </w:sdt>
                    <w:sdt>
                      <w:sdtPr>
                        <w:alias w:val="44.2.2 pp."/>
                        <w:tag w:val="part_e32f4e7ab7b34621b8f50a3cb23a8237"/>
                        <w:lock w:val="sdtLocked"/>
                        <w:richText/>
                      </w:sdtPr>
                      <w:sdtContent>
                        <w:p>
                          <w:pPr>
                            <w:tabs>
                              <w:tab w:val="left" w:pos="1701"/>
                            </w:tabs>
                            <w:ind w:firstLine="709"/>
                            <w:jc w:val="both"/>
                            <w:textAlignment w:val="baseline"/>
                            <w:rPr>
                              <w:rFonts w:eastAsia="Calibri"/>
                              <w:szCs w:val="24"/>
                              <w:lang w:eastAsia="lt-LT"/>
                            </w:rPr>
                          </w:pPr>
                          <w:sdt>
                            <w:sdtPr>
                              <w:alias w:val="Numeris"/>
                              <w:tag w:val="nr_e32f4e7ab7b34621b8f50a3cb23a8237"/>
                              <w:lock w:val="sdtLocked"/>
                              <w:richText/>
                            </w:sdtPr>
                            <w:sdtContent>
                              <w:r>
                                <w:rPr>
                                  <w:rFonts w:eastAsia="Calibri"/>
                                  <w:szCs w:val="24"/>
                                  <w:lang w:eastAsia="lt-LT"/>
                                </w:rPr>
                                <w:t>44.2.2</w:t>
                              </w:r>
                            </w:sdtContent>
                          </w:sdt>
                          <w:r>
                            <w:rPr>
                              <w:rFonts w:eastAsia="Calibri"/>
                              <w:szCs w:val="24"/>
                              <w:lang w:eastAsia="lt-LT"/>
                            </w:rPr>
                            <w:t xml:space="preserve">. </w:t>
                          </w:r>
                          <w:r>
                            <w:rPr>
                              <w:szCs w:val="24"/>
                            </w:rPr>
                            <w:t>naudojantis Pavojingųjų atliekų identifikavimo ir klasifikavimo metodika, patvirtinta Lietuvos Respublikos aplinkos ministro 2023 m. liepos 24 d. įsakymu Nr. D1-246 „Dėl Pavojingųjų atliekų identifikavimo ir klasifikavimo metodikos patvirtinimo“,</w:t>
                          </w:r>
                          <w:r>
                            <w:rPr>
                              <w:rFonts w:eastAsia="Calibri"/>
                              <w:szCs w:val="24"/>
                              <w:lang w:eastAsia="lt-LT"/>
                            </w:rPr>
                            <w:t xml:space="preserve"> – į Taisyklių 1 priedo 3.4 ir 3.5</w:t>
                          </w:r>
                          <w:r>
                            <w:rPr>
                              <w:rFonts w:ascii="Calibri" w:eastAsia="Calibri" w:hAnsi="Calibri"/>
                              <w:sz w:val="22"/>
                              <w:szCs w:val="22"/>
                            </w:rPr>
                            <w:t> </w:t>
                          </w:r>
                          <w:r>
                            <w:rPr>
                              <w:rFonts w:eastAsia="Calibri"/>
                              <w:szCs w:val="24"/>
                              <w:lang w:eastAsia="lt-LT"/>
                            </w:rPr>
                            <w:t>papunkčiuose nurodytus kriterijus;</w:t>
                          </w:r>
                        </w:p>
                      </w:sdtContent>
                    </w:sdt>
                    <w:sdt>
                      <w:sdtPr>
                        <w:alias w:val="44.2.3 pp."/>
                        <w:tag w:val="part_11742d5db4304599bf05e03b9f7057cd"/>
                        <w:lock w:val="sdtLocked"/>
                        <w:richText/>
                      </w:sdtPr>
                      <w:sdtContent>
                        <w:p>
                          <w:pPr>
                            <w:tabs>
                              <w:tab w:val="left" w:pos="1134"/>
                            </w:tabs>
                            <w:ind w:firstLine="709"/>
                            <w:jc w:val="both"/>
                            <w:textAlignment w:val="baseline"/>
                            <w:rPr>
                              <w:rFonts w:eastAsia="Calibri"/>
                              <w:szCs w:val="24"/>
                              <w:lang w:eastAsia="lt-LT"/>
                            </w:rPr>
                          </w:pPr>
                          <w:sdt>
                            <w:sdtPr>
                              <w:alias w:val="Numeris"/>
                              <w:tag w:val="nr_11742d5db4304599bf05e03b9f7057cd"/>
                              <w:lock w:val="sdtLocked"/>
                              <w:richText/>
                            </w:sdtPr>
                            <w:sdtContent>
                              <w:r>
                                <w:rPr>
                                  <w:rFonts w:eastAsia="Calibri"/>
                                  <w:szCs w:val="24"/>
                                  <w:lang w:eastAsia="lt-LT"/>
                                </w:rPr>
                                <w:t>44.2.3</w:t>
                              </w:r>
                            </w:sdtContent>
                          </w:sdt>
                          <w:r>
                            <w:rPr>
                              <w:rFonts w:eastAsia="Calibri"/>
                              <w:szCs w:val="24"/>
                              <w:lang w:eastAsia="lt-LT"/>
                            </w:rPr>
                            <w:t xml:space="preserve">. taikant Taisyklių 4 priede nustatytus fizinių teršalų </w:t>
                          </w:r>
                          <w:r>
                            <w:rPr>
                              <w:rFonts w:eastAsia="Calibri"/>
                              <w:szCs w:val="24"/>
                            </w:rPr>
                            <w:t xml:space="preserve">santykinės masės dalies </w:t>
                          </w:r>
                          <w:r>
                            <w:rPr>
                              <w:rFonts w:eastAsia="Calibri"/>
                              <w:szCs w:val="24"/>
                              <w:lang w:eastAsia="lt-LT"/>
                            </w:rPr>
                            <w:t>nustatymo metodus, kai vertinama atitiktis Taisyklių 1 priedo 2.2 papunktyje nustatytiems reikalavimams;</w:t>
                          </w:r>
                        </w:p>
                      </w:sdtContent>
                    </w:sdt>
                    <w:sdt>
                      <w:sdtPr>
                        <w:alias w:val="44.2.4 pp."/>
                        <w:tag w:val="part_5587aca075bd4d39bb94b53189ccff9d"/>
                        <w:lock w:val="sdtLocked"/>
                        <w:richText/>
                      </w:sdtPr>
                      <w:sdtContent>
                        <w:p>
                          <w:pPr>
                            <w:tabs>
                              <w:tab w:val="left" w:pos="1134"/>
                            </w:tabs>
                            <w:ind w:firstLine="709"/>
                            <w:jc w:val="both"/>
                            <w:textAlignment w:val="baseline"/>
                            <w:rPr>
                              <w:rFonts w:eastAsia="Calibri"/>
                              <w:color w:val="000000"/>
                              <w:szCs w:val="24"/>
                              <w:lang w:val="lt"/>
                            </w:rPr>
                          </w:pPr>
                          <w:sdt>
                            <w:sdtPr>
                              <w:alias w:val="Numeris"/>
                              <w:tag w:val="nr_5587aca075bd4d39bb94b53189ccff9d"/>
                              <w:lock w:val="sdtLocked"/>
                              <w:richText/>
                            </w:sdtPr>
                            <w:sdtContent>
                              <w:r>
                                <w:rPr>
                                  <w:rFonts w:eastAsia="Calibri"/>
                                  <w:szCs w:val="24"/>
                                  <w:lang w:eastAsia="lt-LT"/>
                                </w:rPr>
                                <w:t>44.2.4</w:t>
                              </w:r>
                            </w:sdtContent>
                          </w:sdt>
                          <w:r>
                            <w:rPr>
                              <w:rFonts w:eastAsia="Calibri"/>
                              <w:szCs w:val="24"/>
                              <w:lang w:eastAsia="lt-LT"/>
                            </w:rPr>
                            <w:t>. imant ėminius pagal standartą ISO 18400, nustatant organinės medžiagos kiekį pagal standartą LST EN 15935, sausųjų medžiagų kiekį – pagal standartą LST EN 15934 arba lygiaverčius standartus, kai vertinama atitiktis Taisyklių 1 priedo 3.3 papunktyje nurodytiems reikalavimams.</w:t>
                          </w:r>
                        </w:p>
                      </w:sdtContent>
                    </w:sdt>
                  </w:sdtContent>
                </w:sdt>
                <w:sdt>
                  <w:sdtPr>
                    <w:alias w:val="44.3 pp."/>
                    <w:tag w:val="part_bfe9a69ba9a0464fb147dc4f5f704fa3"/>
                    <w:lock w:val="sdtLocked"/>
                    <w:richText/>
                  </w:sdtPr>
                  <w:sdtContent>
                    <w:p>
                      <w:pPr>
                        <w:tabs>
                          <w:tab w:val="left" w:pos="1134"/>
                        </w:tabs>
                        <w:ind w:firstLine="709"/>
                        <w:jc w:val="both"/>
                        <w:textAlignment w:val="baseline"/>
                        <w:rPr>
                          <w:rFonts w:eastAsia="Calibri"/>
                          <w:szCs w:val="24"/>
                          <w:lang w:eastAsia="lt-LT"/>
                        </w:rPr>
                      </w:pPr>
                      <w:sdt>
                        <w:sdtPr>
                          <w:alias w:val="Numeris"/>
                          <w:tag w:val="nr_bfe9a69ba9a0464fb147dc4f5f704fa3"/>
                          <w:lock w:val="sdtLocked"/>
                          <w:richText/>
                        </w:sdtPr>
                        <w:sdtContent>
                          <w:r>
                            <w:rPr>
                              <w:rFonts w:eastAsia="Calibri"/>
                              <w:szCs w:val="24"/>
                              <w:lang w:eastAsia="lt-LT"/>
                            </w:rPr>
                            <w:t>44.3</w:t>
                          </w:r>
                        </w:sdtContent>
                      </w:sdt>
                      <w:r>
                        <w:rPr>
                          <w:rFonts w:eastAsia="Calibri"/>
                          <w:szCs w:val="24"/>
                          <w:lang w:eastAsia="lt-LT"/>
                        </w:rPr>
                        <w:t>.</w:t>
                      </w:r>
                      <w:r>
                        <w:rPr>
                          <w:rFonts w:ascii="Calibri" w:eastAsia="Calibri" w:hAnsi="Calibri"/>
                          <w:sz w:val="22"/>
                          <w:szCs w:val="22"/>
                        </w:rPr>
                        <w:tab/>
                      </w:r>
                      <w:r>
                        <w:rPr>
                          <w:rFonts w:eastAsia="Calibri"/>
                          <w:szCs w:val="24"/>
                          <w:lang w:eastAsia="lt-LT"/>
                        </w:rPr>
                        <w:t xml:space="preserve">Atliekami visų pagamintų ir Taisyklių 28 punkte nurodytų perdirbtų statybinių produktų ėminių tam perdirbtam statybiniam produktui pagal panaudojimo paskirtį aktualių eksploatacinių savybių laboratoriniai tyrimai, kai tai nustatyta statybos produktui taikomoje techninėje specifikacijoje. Šis reikalavimas netaikomas </w:t>
                      </w:r>
                      <w:r>
                        <w:rPr>
                          <w:szCs w:val="24"/>
                        </w:rPr>
                        <w:t>Taisyklių 1 priedo 3.1.2 papunktyje nurodytoms</w:t>
                      </w:r>
                      <w:r>
                        <w:rPr>
                          <w:rFonts w:eastAsia="Calibri"/>
                          <w:szCs w:val="24"/>
                          <w:lang w:eastAsia="lt-LT"/>
                        </w:rPr>
                        <w:t xml:space="preserve"> medžiagoms.</w:t>
                      </w:r>
                    </w:p>
                  </w:sdtContent>
                </w:sdt>
                <w:sdt>
                  <w:sdtPr>
                    <w:alias w:val="44.4 pp."/>
                    <w:tag w:val="part_f48320d0f9fa41ce95a4d73d650ea5f6"/>
                    <w:lock w:val="sdtLocked"/>
                    <w:richText/>
                  </w:sdtPr>
                  <w:sdtContent>
                    <w:p>
                      <w:pPr>
                        <w:tabs>
                          <w:tab w:val="left" w:pos="1134"/>
                        </w:tabs>
                        <w:ind w:firstLine="709"/>
                        <w:jc w:val="both"/>
                        <w:textAlignment w:val="baseline"/>
                        <w:rPr>
                          <w:rFonts w:eastAsia="Calibri"/>
                          <w:szCs w:val="24"/>
                          <w:lang w:eastAsia="lt-LT"/>
                        </w:rPr>
                      </w:pPr>
                      <w:sdt>
                        <w:sdtPr>
                          <w:alias w:val="Numeris"/>
                          <w:tag w:val="nr_f48320d0f9fa41ce95a4d73d650ea5f6"/>
                          <w:lock w:val="sdtLocked"/>
                          <w:richText/>
                        </w:sdtPr>
                        <w:sdtContent>
                          <w:r>
                            <w:rPr>
                              <w:rFonts w:eastAsia="Calibri"/>
                              <w:szCs w:val="24"/>
                              <w:lang w:eastAsia="lt-LT"/>
                            </w:rPr>
                            <w:t>44.4</w:t>
                          </w:r>
                        </w:sdtContent>
                      </w:sdt>
                      <w:r>
                        <w:rPr>
                          <w:rFonts w:eastAsia="Calibri"/>
                          <w:szCs w:val="24"/>
                          <w:lang w:eastAsia="lt-LT"/>
                        </w:rPr>
                        <w:t>.</w:t>
                      </w:r>
                      <w:r>
                        <w:rPr>
                          <w:rFonts w:ascii="Calibri" w:eastAsia="Calibri" w:hAnsi="Calibri"/>
                          <w:sz w:val="22"/>
                          <w:szCs w:val="22"/>
                        </w:rPr>
                        <w:tab/>
                      </w:r>
                      <w:r>
                        <w:rPr>
                          <w:rFonts w:eastAsia="Calibri"/>
                          <w:szCs w:val="24"/>
                          <w:lang w:eastAsia="lt-LT"/>
                        </w:rPr>
                        <w:t xml:space="preserve">Perleidžiant perdirbtą statybinį produktą, jo gamintojo ir siuntos gavėjo sutarimu atliekami kiti laboratoriniai tyrimai </w:t>
                      </w:r>
                      <w:r>
                        <w:rPr>
                          <w:rFonts w:eastAsia="Calibri"/>
                          <w:sz w:val="22"/>
                          <w:szCs w:val="22"/>
                        </w:rPr>
                        <w:t>p</w:t>
                      </w:r>
                      <w:r>
                        <w:rPr>
                          <w:rFonts w:eastAsia="Calibri"/>
                          <w:szCs w:val="24"/>
                          <w:lang w:eastAsia="lt-LT"/>
                        </w:rPr>
                        <w:t xml:space="preserve">agal siuntos gavėjo pateiktas perdirbto statybinio produkto eksploatacines savybes. Ėminių ėmimas atliekamas vadovaujantis kokybės valdymo sistema. Šis reikalavimas netaikomas </w:t>
                      </w:r>
                      <w:r>
                        <w:rPr>
                          <w:szCs w:val="24"/>
                        </w:rPr>
                        <w:t xml:space="preserve">Taisyklių 1 priedo 3.1.2 papunktyje nurodytoms </w:t>
                      </w:r>
                      <w:r>
                        <w:rPr>
                          <w:rFonts w:eastAsia="Calibri"/>
                          <w:szCs w:val="24"/>
                          <w:lang w:eastAsia="lt-LT"/>
                        </w:rPr>
                        <w:t>medžiagoms.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ad371114211f08e9f87c0d053bf09">
                    <w:r w:rsidRPr="00532B9F">
                      <w:rPr>
                        <w:rFonts w:ascii="Times New Roman" w:eastAsia="MS Mincho" w:hAnsi="Times New Roman"/>
                        <w:sz w:val="20"/>
                        <w:i/>
                        <w:iCs/>
                        <w:color w:val="0000FF" w:themeColor="hyperlink"/>
                        <w:u w:val="single"/>
                      </w:rPr>
                      <w:t>D1-43</w:t>
                    </w:r>
                  </w:fldSimple>
                  <w:r>
                    <w:rPr>
                      <w:rFonts w:ascii="Times New Roman" w:eastAsia="MS Mincho" w:hAnsi="Times New Roman"/>
                      <w:sz w:val="20"/>
                      <w:i/>
                      <w:iCs/>
                    </w:rPr>
                    <w:t>,
2025-04-04,
paskelbta TAR 2025-04-04, i. k. 2025-05980            </w:t>
                  </w:r>
                </w:p>
                <w:p/>
              </w:sdtContent>
            </w:sdt>
            <w:sdt>
              <w:sdtPr>
                <w:alias w:val="45 p."/>
                <w:tag w:val="part_80eacfe72c144745bcd8bafdc4cf6b48"/>
                <w:lock w:val="sdtLocked"/>
                <w:richText/>
              </w:sdtPr>
              <w:sdtContent>
                <w:p>
                  <w:pPr>
                    <w:tabs>
                      <w:tab w:val="left" w:pos="993"/>
                    </w:tabs>
                    <w:ind w:firstLine="709"/>
                    <w:jc w:val="both"/>
                    <w:textAlignment w:val="baseline"/>
                  </w:pPr>
                  <w:sdt>
                    <w:sdtPr>
                      <w:alias w:val="Numeris"/>
                      <w:tag w:val="nr_80eacfe72c144745bcd8bafdc4cf6b48"/>
                      <w:lock w:val="sdtLocked"/>
                      <w:richText/>
                    </w:sdtPr>
                    <w:sdtContent>
                      <w:r>
                        <w:rPr>
                          <w:rFonts w:eastAsia="Calibri"/>
                          <w:szCs w:val="24"/>
                          <w:lang w:eastAsia="lt-LT"/>
                        </w:rPr>
                        <w:t>45</w:t>
                      </w:r>
                    </w:sdtContent>
                  </w:sdt>
                  <w:r>
                    <w:rPr>
                      <w:rFonts w:eastAsia="Calibri"/>
                      <w:szCs w:val="24"/>
                      <w:lang w:eastAsia="lt-LT"/>
                    </w:rPr>
                    <w:t>. Taisyklių 1 priedo 3.1.2 papunktyje nurodytų medžiagų laboratoriniai tyrimai, siekiant įvertinti Taisyklių 1 priedo 3.3 papunktyje ir 4 priede nustatytus reikalavimus, atliekami akredituotose laboratorijose, atitinkančiose standartą LST EN ISO/IEC 17025 arba lygiavertį standartą konkretiems teršalams tirti, matuoti, laboratoriniams tyrimams atlikti. Taisyklių 1 priedo 3.1.2 papunktyje nurodytų medžiagų ėminiai imami pagal Taisyklių 44.2.4 papunktyje</w:t>
                  </w:r>
                  <w:r>
                    <w:rPr>
                      <w:rFonts w:eastAsia="Calibri"/>
                      <w:color w:val="000000"/>
                      <w:szCs w:val="24"/>
                      <w:lang w:val="lt"/>
                    </w:rPr>
                    <w:t xml:space="preserve"> nurodytus standartus.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ad371114211f08e9f87c0d053bf09">
                    <w:r w:rsidRPr="00532B9F">
                      <w:rPr>
                        <w:rFonts w:ascii="Times New Roman" w:eastAsia="MS Mincho" w:hAnsi="Times New Roman"/>
                        <w:sz w:val="20"/>
                        <w:i/>
                        <w:iCs/>
                        <w:color w:val="0000FF" w:themeColor="hyperlink"/>
                        <w:u w:val="single"/>
                      </w:rPr>
                      <w:t>D1-43</w:t>
                    </w:r>
                  </w:fldSimple>
                  <w:r>
                    <w:rPr>
                      <w:rFonts w:ascii="Times New Roman" w:eastAsia="MS Mincho" w:hAnsi="Times New Roman"/>
                      <w:sz w:val="20"/>
                      <w:i/>
                      <w:iCs/>
                    </w:rPr>
                    <w:t>,
2025-04-04,
paskelbta TAR 2025-04-04, i. k. 2025-05980        </w:t>
                  </w:r>
                </w:p>
                <w:p/>
              </w:sdtContent>
            </w:sdt>
            <w:sdt>
              <w:sdtPr>
                <w:alias w:val="46 p."/>
                <w:tag w:val="part_70d87d03055b4194ab4579392cc640a1"/>
                <w:lock w:val="sdtLocked"/>
                <w:richText/>
              </w:sdtPr>
              <w:sdtContent>
                <w:p>
                  <w:pPr>
                    <w:tabs>
                      <w:tab w:val="left" w:pos="1134"/>
                    </w:tabs>
                    <w:ind w:firstLine="709"/>
                    <w:jc w:val="both"/>
                    <w:textAlignment w:val="baseline"/>
                  </w:pPr>
                  <w:sdt>
                    <w:sdtPr>
                      <w:alias w:val="Numeris"/>
                      <w:tag w:val="nr_70d87d03055b4194ab4579392cc640a1"/>
                      <w:lock w:val="sdtLocked"/>
                      <w:richText/>
                    </w:sdtPr>
                    <w:sdtContent>
                      <w:r>
                        <w:rPr>
                          <w:rFonts w:eastAsia="Calibri"/>
                          <w:bCs/>
                          <w:szCs w:val="24"/>
                          <w:lang w:eastAsia="lt-LT"/>
                        </w:rPr>
                        <w:t>46</w:t>
                      </w:r>
                    </w:sdtContent>
                  </w:sdt>
                  <w:r>
                    <w:rPr>
                      <w:rFonts w:eastAsia="Calibri"/>
                      <w:bCs/>
                      <w:szCs w:val="24"/>
                      <w:lang w:eastAsia="lt-LT"/>
                    </w:rPr>
                    <w:t xml:space="preserve">. Taisyklių 1 priedo 3.1.2 papunktyje nurodytų medžiagų laboratoriniai tyrimai atliekami pagal Taisyklių 44.2.4 papunktyje ir 4 priede nurodytus standartus (toliau – laboratoriniai tyrimai).  Turi būti atliekamas bent vienas viso Taisyklių 1 priedo 3.1.2 papunktyje nurodytų medžiagų kiekio laboratorinis tyrimas, kai perdirbamas ir (ar) laikomas šių medžiagų kiekis neviršija 2 000 t. Jei perdirbamas ir (ar) laikomas Taisyklių 1 priedo 3.1.2 papunktyje nurodytų medžiagų kiekis viršija 2000 t, atliekami kiekvienos šių medžiagų dalies iki 2 000 t laboratoriniai tyrimai, pavyzdžiui, jei laikoma 5 000 t Taisyklių 1 priedo 3.1.2 papunktyje nurodytų medžiagų, šių medžiagų kiekis išdalijamas į 3 dalis (krūvas), kuriose yra iki 2 000 t Taisyklių 1 priedo 3.1.2 papunktyje nurodytų medžiagų ir laboratoriniai tyrimai atliekami kiekvienos dalies (krūvos).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ad371114211f08e9f87c0d053bf09">
                    <w:r w:rsidRPr="00532B9F">
                      <w:rPr>
                        <w:rFonts w:ascii="Times New Roman" w:eastAsia="MS Mincho" w:hAnsi="Times New Roman"/>
                        <w:sz w:val="20"/>
                        <w:i/>
                        <w:iCs/>
                        <w:color w:val="0000FF" w:themeColor="hyperlink"/>
                        <w:u w:val="single"/>
                      </w:rPr>
                      <w:t>D1-43</w:t>
                    </w:r>
                  </w:fldSimple>
                  <w:r>
                    <w:rPr>
                      <w:rFonts w:ascii="Times New Roman" w:eastAsia="MS Mincho" w:hAnsi="Times New Roman"/>
                      <w:sz w:val="20"/>
                      <w:i/>
                      <w:iCs/>
                    </w:rPr>
                    <w:t>,
2025-04-04,
paskelbta TAR 2025-04-04, i. k. 2025-05980        </w:t>
                  </w:r>
                </w:p>
                <w:p/>
              </w:sdtContent>
            </w:sdt>
            <w:sdt>
              <w:sdtPr>
                <w:alias w:val="47 p."/>
                <w:tag w:val="part_7d58b285b4a14d678f61a73f643101de"/>
                <w:lock w:val="sdtLocked"/>
                <w:richText/>
              </w:sdtPr>
              <w:sdtContent>
                <w:p>
                  <w:pPr>
                    <w:tabs>
                      <w:tab w:val="left" w:pos="993"/>
                    </w:tabs>
                    <w:ind w:firstLine="709"/>
                    <w:jc w:val="both"/>
                    <w:textAlignment w:val="baseline"/>
                    <w:rPr>
                      <w:rFonts w:eastAsia="Calibri"/>
                      <w:szCs w:val="24"/>
                      <w:lang w:eastAsia="lt-LT"/>
                    </w:rPr>
                  </w:pPr>
                  <w:sdt>
                    <w:sdtPr>
                      <w:alias w:val="Numeris"/>
                      <w:tag w:val="nr_7d58b285b4a14d678f61a73f643101de"/>
                      <w:lock w:val="sdtLocked"/>
                      <w:richText/>
                    </w:sdtPr>
                    <w:sdtContent>
                      <w:r>
                        <w:rPr>
                          <w:rFonts w:eastAsia="Calibri"/>
                          <w:szCs w:val="24"/>
                          <w:lang w:eastAsia="lt-LT"/>
                        </w:rPr>
                        <w:t>47</w:t>
                      </w:r>
                    </w:sdtContent>
                  </w:sdt>
                  <w:r>
                    <w:rPr>
                      <w:rFonts w:eastAsia="Calibri"/>
                      <w:szCs w:val="24"/>
                      <w:lang w:eastAsia="lt-LT"/>
                    </w:rPr>
                    <w:t>.</w:t>
                  </w:r>
                  <w:r>
                    <w:rPr>
                      <w:rFonts w:ascii="Calibri" w:eastAsia="Calibri" w:hAnsi="Calibri"/>
                      <w:sz w:val="22"/>
                      <w:szCs w:val="22"/>
                    </w:rPr>
                    <w:tab/>
                  </w:r>
                  <w:r>
                    <w:rPr>
                      <w:rFonts w:eastAsia="Calibri"/>
                      <w:szCs w:val="24"/>
                      <w:lang w:eastAsia="lt-LT"/>
                    </w:rPr>
                    <w:t xml:space="preserve">AAD ir kitoms ūkio subjektų veiklos priežiūrą vykdančioms institucijoms jų prašymu perdirbto statybinio produkto  gamintojas leidžia susipažinti su kokybės valdymo sistema ir jos vykdymu (pavyzdžiui, su procesų stebėsenos duomenimis, atitikties Taisyklių 1 priede nurodytiems kriterijams stebėsenos rezultatais, perdirbto statybinio produkto  vertinimo ataskaitomis ar įrašais žurnaluose), siuntos gavėjų atsiliepimais apie perdirbtus statybinius produktus, jei buvo pateikti, ir Taisyklių 42 punkte nurodytu dokumentu.</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ad371114211f08e9f87c0d053bf09">
                    <w:r w:rsidRPr="00532B9F">
                      <w:rPr>
                        <w:rFonts w:ascii="Times New Roman" w:eastAsia="MS Mincho" w:hAnsi="Times New Roman"/>
                        <w:sz w:val="20"/>
                        <w:i/>
                        <w:iCs/>
                        <w:color w:val="0000FF" w:themeColor="hyperlink"/>
                        <w:u w:val="single"/>
                      </w:rPr>
                      <w:t>D1-43</w:t>
                    </w:r>
                  </w:fldSimple>
                  <w:r>
                    <w:rPr>
                      <w:rFonts w:ascii="Times New Roman" w:eastAsia="MS Mincho" w:hAnsi="Times New Roman"/>
                      <w:sz w:val="20"/>
                      <w:i/>
                      <w:iCs/>
                    </w:rPr>
                    <w:t>,
2025-04-04,
paskelbta TAR 2025-04-04, i. k. 2025-05980        </w:t>
                  </w:r>
                </w:p>
                <w:p/>
              </w:sdtContent>
            </w:sdt>
            <w:sdt>
              <w:sdtPr>
                <w:alias w:val="48 p."/>
                <w:tag w:val="part_6da6f6a418c147cba7b59006d17eb206"/>
                <w:lock w:val="sdtLocked"/>
                <w:richText/>
              </w:sdtPr>
              <w:sdtContent>
                <w:p>
                  <w:pPr>
                    <w:tabs>
                      <w:tab w:val="left" w:pos="1134"/>
                    </w:tabs>
                    <w:ind w:firstLine="709"/>
                    <w:jc w:val="both"/>
                    <w:textAlignment w:val="baseline"/>
                    <w:rPr>
                      <w:rFonts w:eastAsia="Calibri"/>
                      <w:szCs w:val="24"/>
                      <w:lang w:eastAsia="lt-LT"/>
                    </w:rPr>
                  </w:pPr>
                  <w:sdt>
                    <w:sdtPr>
                      <w:alias w:val="Numeris"/>
                      <w:tag w:val="nr_6da6f6a418c147cba7b59006d17eb206"/>
                      <w:lock w:val="sdtLocked"/>
                      <w:richText/>
                    </w:sdtPr>
                    <w:sdtContent>
                      <w:r>
                        <w:rPr>
                          <w:rFonts w:eastAsia="Calibri"/>
                          <w:szCs w:val="24"/>
                          <w:lang w:eastAsia="lt-LT"/>
                        </w:rPr>
                        <w:t>48</w:t>
                      </w:r>
                    </w:sdtContent>
                  </w:sdt>
                  <w:r>
                    <w:rPr>
                      <w:rFonts w:eastAsia="Calibri"/>
                      <w:szCs w:val="24"/>
                      <w:lang w:eastAsia="lt-LT"/>
                    </w:rPr>
                    <w:t>. Jei kokybės valdymo sistema vertinama pagal 2008 m. liepos 9 d. Europos Parlamento ir Tarybos reglamentą (EB) Nr. 765/2008, nustatantį su gaminių prekyba susijusius akreditavimo ir rinkos priežiūros reikalavimus ir panaikinantį Reglamentą (EEB) Nr. 339/93, su visais pakeitimais, ar 2009 m. lapkričio 25 d. Europos Parlamento ir Tarybos reglamentą (EB) Nr. 1221/2009 dėl organizacijų savanoriško Bendrijos aplinkosaugos vadybos ir audito sistemos (EMAS) taikymo, panaikinantį Reglamentą (EB) Nr. 761/2001 ir Komisijos sprendimus 2001/681/EB bei 2006/193/EB, su visais pakeitimais, Reglamente (EB) Nr. 765/2008 apibrėžta atitikties vertinimo įstaiga, gavusi akreditaciją pagal tą reglamentą, arba bet kuris kitas Reglamento (EB) Nr. 1221/2009 2 straipsnio 20 dalies b punkte apibrėžtas aplinkosaugos vertintojas įvertina, ar kokybės valdymo sistema atitinka šio skyriaus reikalavimus. Vertinimas atliekamas šiame punkte nustatytuose reglamentuose nurodytu periodiškumu.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ad371114211f08e9f87c0d053bf09">
                    <w:r w:rsidRPr="00532B9F">
                      <w:rPr>
                        <w:rFonts w:ascii="Times New Roman" w:eastAsia="MS Mincho" w:hAnsi="Times New Roman"/>
                        <w:sz w:val="20"/>
                        <w:i/>
                        <w:iCs/>
                        <w:color w:val="0000FF" w:themeColor="hyperlink"/>
                        <w:u w:val="single"/>
                      </w:rPr>
                      <w:t>D1-43</w:t>
                    </w:r>
                  </w:fldSimple>
                  <w:r>
                    <w:rPr>
                      <w:rFonts w:ascii="Times New Roman" w:eastAsia="MS Mincho" w:hAnsi="Times New Roman"/>
                      <w:sz w:val="20"/>
                      <w:i/>
                      <w:iCs/>
                    </w:rPr>
                    <w:t>,
2025-04-04,
paskelbta TAR 2025-04-04, i. k. 2025-05980            </w:t>
                  </w:r>
                </w:p>
                <w:p/>
              </w:sdtContent>
            </w:sdt>
            <w:sdt>
              <w:sdtPr>
                <w:alias w:val="49 p."/>
                <w:tag w:val="part_fb14d23044ee47899b7042e79909710d"/>
                <w:lock w:val="sdtLocked"/>
                <w:richText/>
              </w:sdtPr>
              <w:sdtContent>
                <w:p>
                  <w:pPr>
                    <w:tabs>
                      <w:tab w:val="left" w:pos="993"/>
                    </w:tabs>
                    <w:ind w:firstLine="709"/>
                    <w:jc w:val="both"/>
                    <w:textAlignment w:val="baseline"/>
                  </w:pPr>
                  <w:sdt>
                    <w:sdtPr>
                      <w:alias w:val="Numeris"/>
                      <w:tag w:val="nr_fb14d23044ee47899b7042e79909710d"/>
                      <w:lock w:val="sdtLocked"/>
                      <w:richText/>
                    </w:sdtPr>
                    <w:sdtContent>
                      <w:r>
                        <w:rPr>
                          <w:rFonts w:eastAsia="Calibri"/>
                          <w:szCs w:val="24"/>
                          <w:lang w:eastAsia="lt-LT"/>
                        </w:rPr>
                        <w:t>49</w:t>
                      </w:r>
                    </w:sdtContent>
                  </w:sdt>
                  <w:r>
                    <w:rPr>
                      <w:rFonts w:eastAsia="Calibri"/>
                      <w:szCs w:val="24"/>
                      <w:lang w:eastAsia="lt-LT"/>
                    </w:rPr>
                    <w:t>.</w:t>
                  </w:r>
                  <w:r>
                    <w:rPr>
                      <w:rFonts w:ascii="Calibri" w:eastAsia="Calibri" w:hAnsi="Calibri"/>
                      <w:sz w:val="22"/>
                      <w:szCs w:val="22"/>
                    </w:rPr>
                    <w:tab/>
                  </w:r>
                  <w:r>
                    <w:rPr>
                      <w:rFonts w:eastAsia="Calibri"/>
                      <w:szCs w:val="24"/>
                      <w:lang w:eastAsia="lt-LT"/>
                    </w:rPr>
                    <w:t xml:space="preserve"> Perdirbto statybinio produkto gamintojas turi saugoti kokybės valdymo sistemos aprašymą ne trumpiau kaip penkerius metus nuo statybinių atliekų naudojimo veiklos nutraukimo.</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ad371114211f08e9f87c0d053bf09">
                    <w:r w:rsidRPr="00532B9F">
                      <w:rPr>
                        <w:rFonts w:ascii="Times New Roman" w:eastAsia="MS Mincho" w:hAnsi="Times New Roman"/>
                        <w:sz w:val="20"/>
                        <w:i/>
                        <w:iCs/>
                        <w:color w:val="0000FF" w:themeColor="hyperlink"/>
                        <w:u w:val="single"/>
                      </w:rPr>
                      <w:t>D1-43</w:t>
                    </w:r>
                  </w:fldSimple>
                  <w:r>
                    <w:rPr>
                      <w:rFonts w:ascii="Times New Roman" w:eastAsia="MS Mincho" w:hAnsi="Times New Roman"/>
                      <w:sz w:val="20"/>
                      <w:i/>
                      <w:iCs/>
                    </w:rPr>
                    <w:t>,
2025-04-04,
paskelbta TAR 2025-04-04, i. k. 2025-05980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005b0ea7511ee9f5b8ffa077f9188">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2024-03-25,
paskelbta TAR 2024-03-25, i. k. 2024-05293        </w:t>
              </w:r>
            </w:p>
            <w:p/>
          </w:sdtContent>
        </w:sdt>
        <w:sdt>
          <w:sdtPr>
            <w:alias w:val="skyrius"/>
            <w:tag w:val="part_4e52bf524cd747cfbe72f3a834da859d"/>
            <w:lock w:val="sdtLocked"/>
            <w:richText/>
          </w:sdtPr>
          <w:sdtContent>
            <w:p>
              <w:pPr>
                <w:spacing w:line="276" w:lineRule="auto"/>
                <w:jc w:val="center"/>
                <w:rPr>
                  <w:rFonts w:eastAsia="Calibri"/>
                  <w:b/>
                  <w:szCs w:val="28"/>
                  <w:lang w:eastAsia="lt-LT"/>
                </w:rPr>
              </w:pPr>
              <w:sdt>
                <w:sdtPr>
                  <w:alias w:val="Numeris"/>
                  <w:tag w:val="nr_4e52bf524cd747cfbe72f3a834da859d"/>
                  <w:lock w:val="sdtLocked"/>
                  <w:richText/>
                </w:sdtPr>
                <w:sdtContent>
                  <w:r>
                    <w:rPr>
                      <w:rFonts w:eastAsia="Calibri"/>
                      <w:b/>
                      <w:caps/>
                      <w:szCs w:val="28"/>
                      <w:lang w:eastAsia="lt-LT"/>
                    </w:rPr>
                    <w:t>XI</w:t>
                  </w:r>
                </w:sdtContent>
              </w:sdt>
              <w:r>
                <w:rPr>
                  <w:rFonts w:eastAsia="Calibri"/>
                  <w:b/>
                  <w:caps/>
                  <w:szCs w:val="28"/>
                  <w:lang w:eastAsia="lt-LT"/>
                </w:rPr>
                <w:t xml:space="preserve"> </w:t>
              </w:r>
              <w:r>
                <w:rPr>
                  <w:rFonts w:eastAsia="Calibri"/>
                  <w:b/>
                  <w:szCs w:val="28"/>
                  <w:lang w:eastAsia="lt-LT"/>
                </w:rPr>
                <w:t>SKYRIUS</w:t>
              </w:r>
            </w:p>
            <w:p>
              <w:pPr>
                <w:spacing w:line="276" w:lineRule="auto"/>
                <w:jc w:val="center"/>
                <w:rPr>
                  <w:rFonts w:eastAsia="Calibri"/>
                  <w:b/>
                  <w:szCs w:val="28"/>
                  <w:lang w:eastAsia="lt-LT"/>
                </w:rPr>
              </w:pPr>
              <w:sdt>
                <w:sdtPr>
                  <w:alias w:val="Pavadinimas"/>
                  <w:tag w:val="title_4e52bf524cd747cfbe72f3a834da859d"/>
                  <w:lock w:val="sdtLocked"/>
                  <w:richText/>
                </w:sdtPr>
                <w:sdtContent>
                  <w:r>
                    <w:rPr>
                      <w:rFonts w:eastAsia="Calibri"/>
                      <w:b/>
                      <w:caps/>
                      <w:szCs w:val="28"/>
                      <w:lang w:eastAsia="lt-LT"/>
                    </w:rPr>
                    <w:t>ATSAKOMYBĖ UŽ PAŽEIDIMĄ</w:t>
                  </w:r>
                </w:sdtContent>
              </w:sdt>
            </w:p>
            <w:p>
              <w:pPr>
                <w:spacing w:line="276" w:lineRule="auto"/>
                <w:ind w:firstLine="709"/>
                <w:jc w:val="center"/>
                <w:rPr>
                  <w:rFonts w:eastAsia="Calibri"/>
                  <w:szCs w:val="28"/>
                  <w:lang w:eastAsia="lt-LT"/>
                </w:rPr>
              </w:pPr>
            </w:p>
            <w:sdt>
              <w:sdtPr>
                <w:alias w:val="50 p."/>
                <w:tag w:val="part_c2b19b4a1e1e4110b4ff0b09e8e43800"/>
                <w:lock w:val="sdtLocked"/>
                <w:richText/>
              </w:sdtPr>
              <w:sdtContent>
                <w:p>
                  <w:pPr>
                    <w:spacing w:line="276" w:lineRule="auto"/>
                    <w:ind w:firstLine="709"/>
                    <w:jc w:val="both"/>
                  </w:pPr>
                  <w:sdt>
                    <w:sdtPr>
                      <w:alias w:val="Numeris"/>
                      <w:tag w:val="nr_c2b19b4a1e1e4110b4ff0b09e8e43800"/>
                      <w:lock w:val="sdtLocked"/>
                      <w:richText/>
                    </w:sdtPr>
                    <w:sdtContent>
                      <w:r>
                        <w:rPr>
                          <w:rFonts w:eastAsia="Calibri"/>
                          <w:szCs w:val="24"/>
                          <w:lang w:eastAsia="lt-LT"/>
                        </w:rPr>
                        <w:t>50</w:t>
                      </w:r>
                    </w:sdtContent>
                  </w:sdt>
                  <w:r>
                    <w:rPr>
                      <w:rFonts w:eastAsia="Calibri"/>
                      <w:szCs w:val="24"/>
                      <w:lang w:eastAsia="lt-LT"/>
                    </w:rPr>
                    <w:t xml:space="preserve">. </w:t>
                  </w:r>
                  <w:r>
                    <w:rPr>
                      <w:rFonts w:eastAsia="Calibri"/>
                      <w:szCs w:val="24"/>
                    </w:rPr>
                    <w:t>Asmenys, pažeidę Taisyklių reikalavimus, atsako Lietuvos Respublikos administracinių nusižengimų kodekso, Lietuvos Respublikos aplinkos apsaugos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ad371114211f08e9f87c0d053bf09">
                    <w:r w:rsidRPr="00532B9F">
                      <w:rPr>
                        <w:rFonts w:ascii="Times New Roman" w:eastAsia="MS Mincho" w:hAnsi="Times New Roman"/>
                        <w:sz w:val="20"/>
                        <w:i/>
                        <w:iCs/>
                        <w:color w:val="0000FF" w:themeColor="hyperlink"/>
                        <w:u w:val="single"/>
                      </w:rPr>
                      <w:t>D1-43</w:t>
                    </w:r>
                  </w:fldSimple>
                  <w:r>
                    <w:rPr>
                      <w:rFonts w:ascii="Times New Roman" w:eastAsia="MS Mincho" w:hAnsi="Times New Roman"/>
                      <w:sz w:val="20"/>
                      <w:i/>
                      <w:iCs/>
                    </w:rPr>
                    <w:t>,
2025-04-04,
paskelbta TAR 2025-04-04, i. k. 2025-05980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005b0ea7511ee9f5b8ffa077f9188">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2024-03-25,
paskelbta TAR 2024-03-25, i. k. 2024-05293        </w:t>
              </w:r>
            </w:p>
            <w:p/>
          </w:sdtContent>
        </w:sdt>
      </w:sdtContent>
    </w:sdt>
    <w:sdt>
      <w:sdtPr>
        <w:alias w:val="1 pr."/>
        <w:tag w:val="part_f4366bef9ad54a3ea74e4f67a1f98716"/>
        <w:lock w:val="sdtLocked"/>
        <w:richText/>
      </w:sdtPr>
      <w:sdtContent>
        <w:p>
          <w:pPr>
            <w:tabs>
              <w:tab w:val="left" w:pos="993"/>
            </w:tabs>
            <w:suppressAutoHyphens/>
            <w:jc w:val="both"/>
            <w:textAlignment w:val="baseline"/>
            <w:rPr>
              <w:bCs/>
              <w:szCs w:val="24"/>
              <w:lang w:eastAsia="lt-LT"/>
            </w:rPr>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567" w:bottom="1134" w:left="1701" w:header="709" w:footer="567" w:gutter="0"/>
              <w:pgNumType w:start="1"/>
              <w:cols w:space="1296"/>
              <w:titlePg/>
              <w:docGrid w:linePitch="360"/>
            </w:sectPr>
          </w:pPr>
        </w:p>
        <w:p>
          <w:pPr>
            <w:widowControl w:val="0"/>
            <w:tabs>
              <w:tab w:val="left" w:pos="8821"/>
            </w:tabs>
            <w:suppressAutoHyphens/>
            <w:ind w:left="6237" w:firstLine="567"/>
            <w:rPr>
              <w:rFonts w:eastAsia="Arial"/>
              <w:szCs w:val="24"/>
              <w:lang w:eastAsia="zh-CN"/>
            </w:rPr>
          </w:pPr>
          <w:r>
            <w:rPr>
              <w:rFonts w:eastAsia="Arial"/>
              <w:szCs w:val="24"/>
              <w:lang w:eastAsia="zh-CN"/>
            </w:rPr>
            <w:t xml:space="preserve">Statybinių atliekų </w:t>
          </w:r>
        </w:p>
        <w:p>
          <w:pPr>
            <w:widowControl w:val="0"/>
            <w:tabs>
              <w:tab w:val="left" w:pos="8821"/>
            </w:tabs>
            <w:suppressAutoHyphens/>
            <w:ind w:left="6237" w:firstLine="567"/>
            <w:rPr>
              <w:rFonts w:eastAsia="Arial"/>
              <w:szCs w:val="24"/>
              <w:lang w:eastAsia="zh-CN"/>
            </w:rPr>
          </w:pPr>
          <w:r>
            <w:rPr>
              <w:rFonts w:eastAsia="Arial"/>
              <w:szCs w:val="24"/>
              <w:lang w:eastAsia="zh-CN"/>
            </w:rPr>
            <w:t>tvarkymo taisyklių</w:t>
          </w:r>
        </w:p>
        <w:p>
          <w:pPr>
            <w:widowControl w:val="0"/>
            <w:tabs>
              <w:tab w:val="left" w:pos="8821"/>
            </w:tabs>
            <w:suppressAutoHyphens/>
            <w:ind w:left="6237" w:firstLine="567"/>
            <w:rPr>
              <w:rFonts w:eastAsia="Arial"/>
              <w:szCs w:val="24"/>
              <w:lang w:eastAsia="zh-CN"/>
            </w:rPr>
          </w:pPr>
          <w:sdt>
            <w:sdtPr>
              <w:alias w:val="Numeris"/>
              <w:tag w:val="nr_f4366bef9ad54a3ea74e4f67a1f98716"/>
              <w:lock w:val="sdtLocked"/>
              <w:richText/>
            </w:sdtPr>
            <w:sdtContent>
              <w:r>
                <w:rPr>
                  <w:rFonts w:eastAsia="Arial"/>
                  <w:szCs w:val="24"/>
                  <w:lang w:eastAsia="zh-CN"/>
                </w:rPr>
                <w:t>1</w:t>
              </w:r>
            </w:sdtContent>
          </w:sdt>
          <w:r>
            <w:rPr>
              <w:rFonts w:eastAsia="Arial"/>
              <w:szCs w:val="24"/>
              <w:lang w:eastAsia="zh-CN"/>
            </w:rPr>
            <w:t xml:space="preserve"> priedas </w:t>
          </w:r>
        </w:p>
        <w:p>
          <w:pPr>
            <w:suppressAutoHyphens/>
            <w:ind w:left="5670"/>
            <w:rPr>
              <w:szCs w:val="24"/>
              <w:lang w:eastAsia="lt-LT"/>
            </w:rPr>
          </w:pPr>
        </w:p>
        <w:p>
          <w:pPr>
            <w:keepNext/>
            <w:suppressAutoHyphens/>
            <w:jc w:val="center"/>
            <w:rPr>
              <w:b/>
              <w:kern w:val="1"/>
              <w:szCs w:val="24"/>
              <w:lang w:eastAsia="lt-LT"/>
            </w:rPr>
          </w:pPr>
          <w:r>
            <w:rPr>
              <w:b/>
              <w:kern w:val="1"/>
              <w:szCs w:val="24"/>
              <w:lang w:eastAsia="lt-LT"/>
            </w:rPr>
            <w:t xml:space="preserve">PERDIRBTŲ INERTINIŲ STATYBINIŲ ATLIEKŲ NEBELAIKYMO ATLIEKOMIS KRITERIJAI </w:t>
          </w:r>
        </w:p>
        <w:p>
          <w:pPr>
            <w:suppressAutoHyphens/>
            <w:rPr>
              <w:szCs w:val="24"/>
              <w:lang w:eastAsia="zh-CN"/>
            </w:rPr>
          </w:pPr>
        </w:p>
        <w:tbl>
          <w:tblPr>
            <w:tblW w:w="950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57" w:type="dxa"/>
            </w:tblCellMar>
            <w:tblLook w:val="01E0" w:firstRow="1" w:lastRow="1" w:firstColumn="1" w:lastColumn="1" w:noHBand="0" w:noVBand="0"/>
          </w:tblPr>
          <w:tblGrid>
            <w:gridCol w:w="1230"/>
            <w:gridCol w:w="8273"/>
          </w:tblGrid>
          <w:tr>
            <w:trPr>
              <w:trHeight w:val="424"/>
            </w:trPr>
            <w:tc>
              <w:tcPr>
                <w:tcW w:w="1230" w:type="dxa"/>
                <w:tcBorders>
                  <w:right w:val="single" w:sz="4" w:space="0" w:color="auto"/>
                </w:tcBorders>
                <w:vAlign w:val="center"/>
              </w:tcPr>
              <w:p>
                <w:pPr>
                  <w:suppressAutoHyphens/>
                  <w:rPr>
                    <w:b/>
                    <w:szCs w:val="24"/>
                    <w:lang w:eastAsia="lt-LT"/>
                  </w:rPr>
                </w:pPr>
                <w:r>
                  <w:rPr>
                    <w:b/>
                    <w:szCs w:val="24"/>
                    <w:lang w:eastAsia="lt-LT"/>
                  </w:rPr>
                  <w:t>Eil. Nr.</w:t>
                </w:r>
              </w:p>
            </w:tc>
            <w:tc>
              <w:tcPr>
                <w:tcW w:w="8273" w:type="dxa"/>
                <w:tcBorders>
                  <w:left w:val="single" w:sz="4" w:space="0" w:color="auto"/>
                  <w:right w:val="single" w:sz="6" w:space="0" w:color="414142"/>
                </w:tcBorders>
                <w:vAlign w:val="center"/>
              </w:tcPr>
              <w:p>
                <w:pPr>
                  <w:suppressAutoHyphens/>
                  <w:rPr>
                    <w:b/>
                    <w:szCs w:val="24"/>
                    <w:lang w:eastAsia="lt-LT"/>
                  </w:rPr>
                </w:pPr>
                <w:r>
                  <w:rPr>
                    <w:b/>
                    <w:szCs w:val="24"/>
                    <w:lang w:eastAsia="lt-LT"/>
                  </w:rPr>
                  <w:t>Kriterijai</w:t>
                </w:r>
              </w:p>
            </w:tc>
          </w:tr>
          <w:tr>
            <w:trPr>
              <w:trHeight w:val="220"/>
            </w:trPr>
            <w:tc>
              <w:tcPr>
                <w:tcW w:w="1230" w:type="dxa"/>
                <w:tcBorders>
                  <w:right w:val="single" w:sz="4" w:space="0" w:color="auto"/>
                </w:tcBorders>
                <w:vAlign w:val="center"/>
              </w:tcPr>
              <w:p>
                <w:pPr>
                  <w:suppressAutoHyphens/>
                  <w:jc w:val="center"/>
                  <w:rPr>
                    <w:szCs w:val="24"/>
                    <w:lang w:eastAsia="lt-LT"/>
                  </w:rPr>
                </w:pPr>
                <w:r>
                  <w:rPr>
                    <w:szCs w:val="24"/>
                    <w:lang w:eastAsia="lt-LT"/>
                  </w:rPr>
                  <w:t>1.</w:t>
                </w:r>
              </w:p>
            </w:tc>
            <w:tc>
              <w:tcPr>
                <w:tcW w:w="8273" w:type="dxa"/>
                <w:tcBorders>
                  <w:left w:val="single" w:sz="4" w:space="0" w:color="auto"/>
                  <w:right w:val="single" w:sz="6" w:space="0" w:color="414142"/>
                </w:tcBorders>
              </w:tcPr>
              <w:p>
                <w:pPr>
                  <w:suppressAutoHyphens/>
                  <w:jc w:val="both"/>
                  <w:rPr>
                    <w:szCs w:val="24"/>
                    <w:lang w:eastAsia="lt-LT"/>
                  </w:rPr>
                </w:pPr>
                <w:r>
                  <w:rPr>
                    <w:szCs w:val="24"/>
                    <w:lang w:eastAsia="lt-LT"/>
                  </w:rPr>
                  <w:t>Leistinos naudoti atliekos ir jų kiekis atliekų naudojimo veikloje</w:t>
                </w:r>
              </w:p>
            </w:tc>
          </w:tr>
          <w:tr>
            <w:trPr>
              <w:trHeight w:val="175"/>
            </w:trPr>
            <w:tc>
              <w:tcPr>
                <w:tcW w:w="1230" w:type="dxa"/>
                <w:tcBorders>
                  <w:right w:val="single" w:sz="4" w:space="0" w:color="auto"/>
                </w:tcBorders>
                <w:vAlign w:val="center"/>
              </w:tcPr>
              <w:p>
                <w:pPr>
                  <w:suppressAutoHyphens/>
                  <w:jc w:val="center"/>
                  <w:rPr>
                    <w:szCs w:val="24"/>
                    <w:lang w:eastAsia="lt-LT"/>
                  </w:rPr>
                </w:pPr>
                <w:r>
                  <w:rPr>
                    <w:szCs w:val="24"/>
                    <w:lang w:eastAsia="lt-LT"/>
                  </w:rPr>
                  <w:t>1.1.</w:t>
                </w:r>
              </w:p>
            </w:tc>
            <w:tc>
              <w:tcPr>
                <w:tcW w:w="8273" w:type="dxa"/>
                <w:tcBorders>
                  <w:left w:val="single" w:sz="4" w:space="0" w:color="auto"/>
                  <w:right w:val="single" w:sz="6" w:space="0" w:color="414142"/>
                </w:tcBorders>
              </w:tcPr>
              <w:p>
                <w:pPr>
                  <w:suppressAutoHyphens/>
                  <w:jc w:val="both"/>
                  <w:rPr>
                    <w:szCs w:val="24"/>
                    <w:lang w:eastAsia="lt-LT"/>
                  </w:rPr>
                </w:pPr>
                <w:r>
                  <w:rPr>
                    <w:szCs w:val="24"/>
                    <w:lang w:eastAsia="lt-LT"/>
                  </w:rPr>
                  <w:t xml:space="preserve">Naudojamos inertinės statybinės atliekos: </w:t>
                </w:r>
              </w:p>
              <w:p>
                <w:pPr>
                  <w:suppressAutoHyphens/>
                  <w:jc w:val="both"/>
                  <w:rPr>
                    <w:szCs w:val="24"/>
                    <w:lang w:eastAsia="lt-LT"/>
                  </w:rPr>
                </w:pPr>
                <w:r>
                  <w:rPr>
                    <w:szCs w:val="24"/>
                    <w:lang w:eastAsia="lt-LT"/>
                  </w:rPr>
                  <w:t xml:space="preserve">betonas ir kiti cemento pagrindo gaminiai (17 01 01), </w:t>
                </w:r>
              </w:p>
              <w:p>
                <w:pPr>
                  <w:suppressAutoHyphens/>
                  <w:jc w:val="both"/>
                  <w:rPr>
                    <w:szCs w:val="24"/>
                    <w:lang w:eastAsia="lt-LT"/>
                  </w:rPr>
                </w:pPr>
                <w:r>
                  <w:rPr>
                    <w:szCs w:val="24"/>
                    <w:lang w:eastAsia="lt-LT"/>
                  </w:rPr>
                  <w:t xml:space="preserve">plytos (17 01 02), </w:t>
                </w:r>
              </w:p>
              <w:p>
                <w:pPr>
                  <w:suppressAutoHyphens/>
                  <w:jc w:val="both"/>
                  <w:rPr>
                    <w:szCs w:val="24"/>
                    <w:lang w:eastAsia="lt-LT"/>
                  </w:rPr>
                </w:pPr>
                <w:r>
                  <w:rPr>
                    <w:szCs w:val="24"/>
                    <w:lang w:eastAsia="lt-LT"/>
                  </w:rPr>
                  <w:t xml:space="preserve">čerpės ir keramika (17 01 03), </w:t>
                </w:r>
              </w:p>
              <w:p>
                <w:pPr>
                  <w:suppressAutoHyphens/>
                  <w:jc w:val="both"/>
                  <w:rPr>
                    <w:szCs w:val="24"/>
                    <w:lang w:eastAsia="lt-LT"/>
                  </w:rPr>
                </w:pPr>
                <w:r>
                  <w:rPr>
                    <w:szCs w:val="24"/>
                    <w:lang w:eastAsia="lt-LT"/>
                  </w:rPr>
                  <w:t xml:space="preserve">betono, plytų, čerpių ir keramikos gaminių mišiniai (17 01 07), </w:t>
                </w:r>
              </w:p>
              <w:p>
                <w:pPr>
                  <w:suppressAutoHyphens/>
                  <w:jc w:val="both"/>
                  <w:rPr>
                    <w:szCs w:val="24"/>
                    <w:lang w:eastAsia="zh-CN"/>
                  </w:rPr>
                </w:pPr>
                <w:r>
                  <w:rPr>
                    <w:szCs w:val="24"/>
                    <w:lang w:eastAsia="zh-CN"/>
                  </w:rPr>
                  <w:t xml:space="preserve">stiklas (17 02 02, 19 12 05), </w:t>
                </w:r>
              </w:p>
              <w:p>
                <w:pPr>
                  <w:suppressAutoHyphens/>
                  <w:jc w:val="both"/>
                  <w:rPr>
                    <w:szCs w:val="24"/>
                    <w:lang w:eastAsia="zh-CN"/>
                  </w:rPr>
                </w:pPr>
                <w:r>
                  <w:rPr>
                    <w:szCs w:val="24"/>
                    <w:lang w:eastAsia="zh-CN"/>
                  </w:rPr>
                  <w:t xml:space="preserve">bituminiai mišiniai, nenurodyti 17 03 01 (17 03 02), </w:t>
                </w:r>
              </w:p>
              <w:p>
                <w:pPr>
                  <w:suppressAutoHyphens/>
                  <w:jc w:val="both"/>
                  <w:rPr>
                    <w:szCs w:val="24"/>
                    <w:lang w:eastAsia="zh-CN"/>
                  </w:rPr>
                </w:pPr>
                <w:r>
                  <w:rPr>
                    <w:szCs w:val="24"/>
                    <w:lang w:eastAsia="zh-CN"/>
                  </w:rPr>
                  <w:t>gruntas ir akmenys, nenurodyti 17 05 03 (17 05 04)</w:t>
                </w:r>
              </w:p>
              <w:p>
                <w:pPr>
                  <w:suppressAutoHyphens/>
                  <w:jc w:val="both"/>
                  <w:rPr>
                    <w:szCs w:val="24"/>
                    <w:lang w:eastAsia="lt-LT"/>
                  </w:rPr>
                </w:pPr>
                <w:r>
                  <w:rPr>
                    <w:szCs w:val="24"/>
                    <w:lang w:eastAsia="lt-LT"/>
                  </w:rPr>
                  <w:t xml:space="preserve">kelių skalda (17 05 08), </w:t>
                </w:r>
              </w:p>
              <w:p>
                <w:pPr>
                  <w:suppressAutoHyphens/>
                  <w:jc w:val="both"/>
                  <w:rPr>
                    <w:szCs w:val="24"/>
                    <w:lang w:eastAsia="zh-CN"/>
                  </w:rPr>
                </w:pPr>
                <w:r>
                  <w:rPr>
                    <w:szCs w:val="24"/>
                    <w:lang w:eastAsia="zh-CN"/>
                  </w:rPr>
                  <w:t xml:space="preserve">gipso izoliacinės statybinės medžiagos, nenurodytos 17 08 01 (17 08 02), </w:t>
                </w:r>
              </w:p>
              <w:p>
                <w:pPr>
                  <w:suppressAutoHyphens/>
                  <w:jc w:val="both"/>
                  <w:rPr>
                    <w:szCs w:val="24"/>
                    <w:lang w:eastAsia="lt-LT"/>
                  </w:rPr>
                </w:pPr>
                <w:r>
                  <w:rPr>
                    <w:szCs w:val="24"/>
                    <w:lang w:eastAsia="lt-LT"/>
                  </w:rPr>
                  <w:t>mineralinės medžiagos (pvz., smėlis, akmenys) (19 12 09).</w:t>
                </w:r>
              </w:p>
            </w:tc>
          </w:tr>
          <w:tr>
            <w:trPr>
              <w:trHeight w:val="387"/>
            </w:trPr>
            <w:tc>
              <w:tcPr>
                <w:tcW w:w="1230" w:type="dxa"/>
                <w:tcBorders>
                  <w:right w:val="single" w:sz="4" w:space="0" w:color="auto"/>
                </w:tcBorders>
                <w:vAlign w:val="center"/>
              </w:tcPr>
              <w:p>
                <w:pPr>
                  <w:suppressAutoHyphens/>
                  <w:jc w:val="center"/>
                  <w:rPr>
                    <w:szCs w:val="24"/>
                    <w:lang w:eastAsia="lt-LT"/>
                  </w:rPr>
                </w:pPr>
                <w:r>
                  <w:rPr>
                    <w:szCs w:val="24"/>
                    <w:lang w:eastAsia="lt-LT"/>
                  </w:rPr>
                  <w:t>1.2.</w:t>
                </w:r>
              </w:p>
            </w:tc>
            <w:tc>
              <w:tcPr>
                <w:tcW w:w="8273" w:type="dxa"/>
                <w:tcBorders>
                  <w:left w:val="single" w:sz="4" w:space="0" w:color="auto"/>
                  <w:right w:val="single" w:sz="6" w:space="0" w:color="414142"/>
                </w:tcBorders>
              </w:tcPr>
              <w:p>
                <w:pPr>
                  <w:suppressAutoHyphens/>
                  <w:jc w:val="both"/>
                  <w:rPr>
                    <w:color w:val="2B579A"/>
                    <w:szCs w:val="24"/>
                    <w:lang w:eastAsia="lt-LT"/>
                  </w:rPr>
                </w:pPr>
                <w:r>
                  <w:rPr>
                    <w:szCs w:val="24"/>
                    <w:lang w:eastAsia="lt-LT"/>
                  </w:rPr>
                  <w:t xml:space="preserve">Taršos ar taršos integruotos prevencijos ir kontrolės leidime (toliau – TIPK)  eksploatuoti atliekų naudojimo ar šalinimo įrenginį ar prie taršos ar TIPK leidimo pateiktame atliekų naudojimo ar šalinimo reglamente turi būti nurodytas didžiausias numatomas apdoroti šio priedo 1.1 papunktyje nurodytų atliekų arba atliekų srauto, kuriam priskiriamos šios atliekos vadovaujantis Atliekų tvarkymo taisyklių, patvirtintų Lietuvos Respublikos aplinkos ministro 1999 m. liepos 14 d. įsakymu Nr.</w:t>
                </w:r>
                <w:r>
                  <w:rPr>
                    <w:lang w:eastAsia="zh-CN"/>
                  </w:rPr>
                  <w:t> </w:t>
                </w:r>
                <w:r>
                  <w:rPr>
                    <w:szCs w:val="24"/>
                    <w:lang w:eastAsia="lt-LT"/>
                  </w:rPr>
                  <w:t xml:space="preserve">217 „Dėl Atliekų tvarkymo taisyklių patvirtinimo“, 6 priedu, kiekis, šių atliekų perdirbimo pajėgumai, leidžiamos perdirbimo veiklos, atliekų laikymo sąlygos, perdirbimo technologinio proceso aprašymas, </w:t>
                </w:r>
                <w:r>
                  <w:rPr>
                    <w:szCs w:val="24"/>
                    <w:lang w:eastAsia="zh-CN"/>
                  </w:rPr>
                  <w:t xml:space="preserve">perdirbimo proceso metu gauta </w:t>
                </w:r>
                <w:r>
                  <w:rPr>
                    <w:szCs w:val="24"/>
                    <w:lang w:eastAsia="lt-LT"/>
                  </w:rPr>
                  <w:t xml:space="preserve">statyboje naudojama grūdėta medžiaga (toliau – perdirbtas statybinis produktas) ir kiti reikalavimai, nustatyti vadovaujantis teisės aktais, reglamentuojančiais šių leidimų išdavimą ir pakeitimą, išskyrus atvejus, kai šiai veiklai taikoma Taršos leidimų išdavimo, pakeitimo ir galiojimo panaikinimo taisyklių, </w:t>
                </w:r>
                <w:r>
                  <w:rPr>
                    <w:szCs w:val="24"/>
                    <w:lang w:eastAsia="zh-CN"/>
                  </w:rPr>
                  <w:t>patvirtintų Lietuvos Respublikos aplinkos ministro 2014 m. kovo 6 d. įsakymu Nr. D1-259 „Dėl Taršos leidimų išdavimo, pakeitimo ir galiojimo panaikinimo taisyklių patvirtinimo“, 1 priedo 2 priedėlyje nustatyta išimtis dėl prievolės turėti leidimą.</w:t>
                </w:r>
              </w:p>
            </w:tc>
          </w:tr>
          <w:tr>
            <w:trPr>
              <w:trHeight w:val="182"/>
            </w:trPr>
            <w:tc>
              <w:tcPr>
                <w:tcW w:w="1230" w:type="dxa"/>
                <w:tcBorders>
                  <w:top w:val="single" w:sz="6" w:space="0" w:color="414142"/>
                  <w:bottom w:val="nil"/>
                  <w:right w:val="single" w:sz="6" w:space="0" w:color="414142"/>
                </w:tcBorders>
                <w:vAlign w:val="center"/>
              </w:tcPr>
              <w:p>
                <w:pPr>
                  <w:suppressAutoHyphens/>
                  <w:jc w:val="center"/>
                  <w:rPr>
                    <w:szCs w:val="24"/>
                    <w:lang w:eastAsia="lt-LT"/>
                  </w:rPr>
                </w:pPr>
                <w:r>
                  <w:rPr>
                    <w:szCs w:val="24"/>
                    <w:lang w:eastAsia="lt-LT"/>
                  </w:rPr>
                  <w:t>2.</w:t>
                </w:r>
              </w:p>
            </w:tc>
            <w:tc>
              <w:tcPr>
                <w:tcW w:w="8273" w:type="dxa"/>
                <w:tcBorders>
                  <w:top w:val="single" w:sz="6" w:space="0" w:color="414142"/>
                  <w:left w:val="single" w:sz="6" w:space="0" w:color="414142"/>
                  <w:bottom w:val="nil"/>
                  <w:right w:val="single" w:sz="6" w:space="0" w:color="414142"/>
                </w:tcBorders>
              </w:tcPr>
              <w:p>
                <w:pPr>
                  <w:suppressAutoHyphens/>
                  <w:jc w:val="both"/>
                  <w:rPr>
                    <w:szCs w:val="24"/>
                    <w:lang w:eastAsia="lt-LT"/>
                  </w:rPr>
                </w:pPr>
                <w:r>
                  <w:rPr>
                    <w:szCs w:val="24"/>
                    <w:lang w:eastAsia="lt-LT"/>
                  </w:rPr>
                  <w:t>Leistini atliekų naudojimo procesai ir metodai</w:t>
                </w:r>
              </w:p>
            </w:tc>
          </w:tr>
          <w:tr>
            <w:trPr>
              <w:trHeight w:val="266"/>
            </w:trPr>
            <w:tc>
              <w:tcPr>
                <w:tcW w:w="1230" w:type="dxa"/>
                <w:tcBorders>
                  <w:top w:val="single" w:sz="6" w:space="0" w:color="414142"/>
                  <w:bottom w:val="nil"/>
                  <w:right w:val="single" w:sz="6" w:space="0" w:color="414142"/>
                </w:tcBorders>
                <w:vAlign w:val="center"/>
              </w:tcPr>
              <w:p>
                <w:pPr>
                  <w:suppressAutoHyphens/>
                  <w:jc w:val="center"/>
                  <w:rPr>
                    <w:szCs w:val="24"/>
                    <w:lang w:eastAsia="lt-LT"/>
                  </w:rPr>
                </w:pPr>
                <w:r>
                  <w:rPr>
                    <w:szCs w:val="24"/>
                    <w:lang w:eastAsia="lt-LT"/>
                  </w:rPr>
                  <w:t>2.1.</w:t>
                </w:r>
              </w:p>
            </w:tc>
            <w:tc>
              <w:tcPr>
                <w:tcW w:w="8273" w:type="dxa"/>
                <w:tcBorders>
                  <w:top w:val="single" w:sz="6" w:space="0" w:color="414142"/>
                  <w:left w:val="single" w:sz="6" w:space="0" w:color="414142"/>
                  <w:bottom w:val="nil"/>
                  <w:right w:val="single" w:sz="6" w:space="0" w:color="414142"/>
                </w:tcBorders>
              </w:tcPr>
              <w:p>
                <w:pPr>
                  <w:suppressAutoHyphens/>
                  <w:jc w:val="both"/>
                  <w:rPr>
                    <w:lang w:eastAsia="zh-CN"/>
                  </w:rPr>
                </w:pPr>
                <w:r>
                  <w:rPr>
                    <w:lang w:eastAsia="lt-LT"/>
                  </w:rPr>
                  <w:t xml:space="preserve">Iš naudojamų inertinių statybos atliekų pašalinamos medžiagos, nenurodytos šio priedo 3.2 papunktyje išvardytuose perdirbto statybinio produkto dokumentuose (pavyzdžiui, tokios priemaišos kaip  gruntas, mediena, metalas, plastikas). Šis reikalavimas netaikomas Statybinių atliekų tvarkymo taisyklių, patvirtintų Lietuvos Respublikos aplinkos ministro 2006 m. gruodžio 19 d. įsakymu Nr. D1-637 „Dėl Statybinių atliekų tvarkymo taisyklių patvirtinimo“ (toliau – Taisyklės), 1 priedo 3.1.2 papunktyje nurodytoms medžiagoms.</w:t>
                </w:r>
              </w:p>
            </w:tc>
          </w:tr>
          <w:tr>
            <w:trPr>
              <w:trHeight w:val="434"/>
            </w:trPr>
            <w:tc>
              <w:tcPr>
                <w:tcW w:w="1230" w:type="dxa"/>
                <w:tcBorders>
                  <w:top w:val="single" w:sz="6" w:space="0" w:color="414142"/>
                  <w:bottom w:val="nil"/>
                  <w:right w:val="single" w:sz="6" w:space="0" w:color="414142"/>
                </w:tcBorders>
                <w:vAlign w:val="center"/>
              </w:tcPr>
              <w:p>
                <w:pPr>
                  <w:suppressAutoHyphens/>
                  <w:jc w:val="center"/>
                  <w:rPr>
                    <w:szCs w:val="24"/>
                    <w:lang w:eastAsia="lt-LT"/>
                  </w:rPr>
                </w:pPr>
                <w:r>
                  <w:rPr>
                    <w:szCs w:val="24"/>
                    <w:lang w:eastAsia="lt-LT"/>
                  </w:rPr>
                  <w:t>2.2.</w:t>
                </w:r>
              </w:p>
            </w:tc>
            <w:tc>
              <w:tcPr>
                <w:tcW w:w="8273" w:type="dxa"/>
                <w:tcBorders>
                  <w:top w:val="single" w:sz="6" w:space="0" w:color="414142"/>
                  <w:left w:val="single" w:sz="6" w:space="0" w:color="414142"/>
                  <w:bottom w:val="nil"/>
                  <w:right w:val="single" w:sz="6" w:space="0" w:color="414142"/>
                </w:tcBorders>
              </w:tcPr>
              <w:p>
                <w:pPr>
                  <w:suppressAutoHyphens/>
                  <w:jc w:val="both"/>
                  <w:rPr>
                    <w:lang w:eastAsia="lt-LT"/>
                  </w:rPr>
                </w:pPr>
                <w:r>
                  <w:rPr>
                    <w:color w:val="000000"/>
                    <w:lang w:val="lt" w:eastAsia="zh-CN"/>
                  </w:rPr>
                  <w:t xml:space="preserve">Siekiant gauti </w:t>
                </w:r>
                <w:r>
                  <w:rPr>
                    <w:lang w:eastAsia="lt-LT"/>
                  </w:rPr>
                  <w:t>Taisyklių 1 priedo 3.1.2 papunktyje nurodytas medžiagas</w:t>
                </w:r>
                <w:r>
                  <w:rPr>
                    <w:color w:val="000000"/>
                    <w:lang w:val="lt" w:eastAsia="zh-CN"/>
                  </w:rPr>
                  <w:t xml:space="preserve">, iš </w:t>
                </w:r>
                <w:r>
                  <w:rPr>
                    <w:lang w:eastAsia="lt-LT"/>
                  </w:rPr>
                  <w:t>naudojamų inertinių statybos atliekų</w:t>
                </w:r>
                <w:r>
                  <w:rPr>
                    <w:color w:val="000000"/>
                    <w:lang w:val="lt" w:eastAsia="zh-CN"/>
                  </w:rPr>
                  <w:t xml:space="preserve"> pašalinami Taisyklių 4 priede nenurodyti fiziniai teršalai. Leistinų fizinių teršalų santykinė masės dalis turi neviršyti bendros ir konkrečiam fiziniam teršalui Taisyklių 4 priede nustatytos ribinės santykinės masės dalies. Taisyklių 4 priede nurodyt</w:t>
                </w:r>
                <w:r>
                  <w:rPr>
                    <w:color w:val="000000"/>
                    <w:lang w:eastAsia="zh-CN"/>
                  </w:rPr>
                  <w:t xml:space="preserve">ų </w:t>
                </w:r>
                <w:r>
                  <w:rPr>
                    <w:color w:val="000000"/>
                    <w:lang w:val="lt" w:eastAsia="zh-CN"/>
                  </w:rPr>
                  <w:t>fizinių teršalų dalelių dydis turi būti ne didesnis kaip 2 mm.</w:t>
                </w:r>
              </w:p>
            </w:tc>
          </w:tr>
          <w:tr>
            <w:trPr>
              <w:trHeight w:val="434"/>
            </w:trPr>
            <w:tc>
              <w:tcPr>
                <w:tcW w:w="1230" w:type="dxa"/>
                <w:tcBorders>
                  <w:top w:val="single" w:sz="6" w:space="0" w:color="414142"/>
                  <w:bottom w:val="nil"/>
                  <w:right w:val="single" w:sz="6" w:space="0" w:color="414142"/>
                </w:tcBorders>
                <w:vAlign w:val="center"/>
              </w:tcPr>
              <w:p>
                <w:pPr>
                  <w:suppressAutoHyphens/>
                  <w:jc w:val="center"/>
                  <w:rPr>
                    <w:szCs w:val="24"/>
                    <w:lang w:eastAsia="lt-LT"/>
                  </w:rPr>
                </w:pPr>
                <w:r>
                  <w:rPr>
                    <w:szCs w:val="24"/>
                    <w:lang w:eastAsia="lt-LT"/>
                  </w:rPr>
                  <w:t>2.3.</w:t>
                </w:r>
              </w:p>
            </w:tc>
            <w:tc>
              <w:tcPr>
                <w:tcW w:w="8273" w:type="dxa"/>
                <w:tcBorders>
                  <w:top w:val="single" w:sz="6" w:space="0" w:color="414142"/>
                  <w:left w:val="single" w:sz="6" w:space="0" w:color="414142"/>
                  <w:bottom w:val="nil"/>
                  <w:right w:val="single" w:sz="6" w:space="0" w:color="414142"/>
                </w:tcBorders>
              </w:tcPr>
              <w:p>
                <w:pPr>
                  <w:suppressAutoHyphens/>
                  <w:jc w:val="both"/>
                  <w:rPr>
                    <w:szCs w:val="24"/>
                    <w:lang w:eastAsia="lt-LT"/>
                  </w:rPr>
                </w:pPr>
                <w:r>
                  <w:rPr>
                    <w:lang w:eastAsia="lt-LT"/>
                  </w:rPr>
                  <w:t>Taršos ar TIPK leidime nustatyta, kad vykdomas šio priedo 1.1 papunktyje nurodytų atliekų naudojimas priskirtinas R5 (kitų neorganinių medžiagų perdirbimas ir (arba) atnaujinimas) ir R12 (a</w:t>
                </w:r>
                <w:r>
                  <w:rPr>
                    <w:color w:val="000000"/>
                    <w:lang w:val="lt" w:eastAsia="zh-CN"/>
                  </w:rPr>
                  <w:t xml:space="preserve">tliekų būsenos ar sudėties pakeitimas prieš vykdant su jomis bet kurią iš R1–R11 veiklų) </w:t>
                </w:r>
                <w:r>
                  <w:rPr>
                    <w:lang w:eastAsia="lt-LT"/>
                  </w:rPr>
                  <w:t xml:space="preserve">atliekų naudojimo veiklos kodams, išskyrus atvejus, kai šiai veiklai taikoma Taršos leidimų išdavimo, pakeitimo ir galiojimo panaikinimo taisyklių, </w:t>
                </w:r>
                <w:r>
                  <w:rPr>
                    <w:lang w:eastAsia="zh-CN"/>
                  </w:rPr>
                  <w:t>patvirtintų Lietuvos Respublikos aplinkos ministro 2014 m. kovo 6 d. įsakymu Nr. D1-259 „Dėl Taršos leidimų išdavimo, pakeitimo ir galiojimo panaikinimo taisyklių patvirtinimo“, 1 priedo 2 priedėlyje nustatyta išimtis dėl prievolės turėti leidimą.</w:t>
                </w:r>
              </w:p>
            </w:tc>
          </w:tr>
          <w:tr>
            <w:trPr>
              <w:trHeight w:val="476"/>
            </w:trPr>
            <w:tc>
              <w:tcPr>
                <w:tcW w:w="1230" w:type="dxa"/>
                <w:tcBorders>
                  <w:top w:val="single" w:sz="6" w:space="0" w:color="414142"/>
                  <w:right w:val="single" w:sz="6" w:space="0" w:color="414142"/>
                </w:tcBorders>
                <w:vAlign w:val="center"/>
              </w:tcPr>
              <w:p>
                <w:pPr>
                  <w:suppressAutoHyphens/>
                  <w:jc w:val="center"/>
                  <w:rPr>
                    <w:szCs w:val="24"/>
                    <w:lang w:eastAsia="lt-LT"/>
                  </w:rPr>
                </w:pPr>
                <w:r>
                  <w:rPr>
                    <w:szCs w:val="24"/>
                    <w:lang w:eastAsia="lt-LT"/>
                  </w:rPr>
                  <w:t>3.</w:t>
                </w:r>
              </w:p>
            </w:tc>
            <w:tc>
              <w:tcPr>
                <w:tcW w:w="8273" w:type="dxa"/>
                <w:tcBorders>
                  <w:top w:val="single" w:sz="6" w:space="0" w:color="414142"/>
                  <w:left w:val="single" w:sz="6" w:space="0" w:color="414142"/>
                  <w:right w:val="single" w:sz="6" w:space="0" w:color="414142"/>
                </w:tcBorders>
              </w:tcPr>
              <w:p>
                <w:pPr>
                  <w:suppressAutoHyphens/>
                  <w:jc w:val="both"/>
                  <w:rPr>
                    <w:lang w:eastAsia="lt-LT"/>
                  </w:rPr>
                </w:pPr>
                <w:r>
                  <w:rPr>
                    <w:lang w:eastAsia="lt-LT"/>
                  </w:rPr>
                  <w:t xml:space="preserve">Iš mechaniniu būdu perdirbtų šio priedo 1.1 papunktyje nurodytų atliekų gaunamo   perdirbto statybinio produkto kokybės kriterijai atitinka taikytinus standartus, medžiagos ar daikto kokybės reikalavimus, įskaitant, jeigu taikoma, teršalų ribines vertes ir priemaišų kiekį.</w:t>
                </w:r>
              </w:p>
            </w:tc>
          </w:tr>
          <w:tr>
            <w:trPr>
              <w:trHeight w:val="476"/>
            </w:trPr>
            <w:tc>
              <w:tcPr>
                <w:tcW w:w="1230" w:type="dxa"/>
                <w:tcBorders>
                  <w:top w:val="single" w:sz="6" w:space="0" w:color="414142"/>
                  <w:right w:val="single" w:sz="6" w:space="0" w:color="414142"/>
                </w:tcBorders>
                <w:vAlign w:val="center"/>
              </w:tcPr>
              <w:p>
                <w:pPr>
                  <w:suppressAutoHyphens/>
                  <w:jc w:val="center"/>
                  <w:rPr>
                    <w:szCs w:val="24"/>
                    <w:lang w:eastAsia="lt-LT"/>
                  </w:rPr>
                </w:pPr>
                <w:r>
                  <w:rPr>
                    <w:szCs w:val="24"/>
                    <w:lang w:eastAsia="lt-LT"/>
                  </w:rPr>
                  <w:t>3.1.</w:t>
                </w:r>
              </w:p>
            </w:tc>
            <w:tc>
              <w:tcPr>
                <w:tcW w:w="8273" w:type="dxa"/>
                <w:tcBorders>
                  <w:top w:val="single" w:sz="6" w:space="0" w:color="414142"/>
                  <w:left w:val="single" w:sz="6" w:space="0" w:color="414142"/>
                  <w:right w:val="single" w:sz="6" w:space="0" w:color="414142"/>
                </w:tcBorders>
                <w:vAlign w:val="center"/>
              </w:tcPr>
              <w:p>
                <w:pPr>
                  <w:suppressAutoHyphens/>
                  <w:rPr>
                    <w:lang w:eastAsia="lt-LT"/>
                  </w:rPr>
                </w:pPr>
                <w:r>
                  <w:rPr>
                    <w:lang w:eastAsia="lt-LT"/>
                  </w:rPr>
                  <w:t xml:space="preserve">Perdirbtas statybinis produktas priskiriamas prie vienos iš šių medžiagų: </w:t>
                </w:r>
              </w:p>
            </w:tc>
          </w:tr>
          <w:tr>
            <w:trPr>
              <w:trHeight w:val="476"/>
            </w:trPr>
            <w:tc>
              <w:tcPr>
                <w:tcW w:w="1230" w:type="dxa"/>
                <w:tcBorders>
                  <w:top w:val="single" w:sz="6" w:space="0" w:color="414142"/>
                  <w:right w:val="single" w:sz="6" w:space="0" w:color="414142"/>
                </w:tcBorders>
                <w:vAlign w:val="center"/>
              </w:tcPr>
              <w:p>
                <w:pPr>
                  <w:suppressAutoHyphens/>
                  <w:jc w:val="center"/>
                  <w:rPr>
                    <w:bCs/>
                    <w:lang w:eastAsia="lt-LT"/>
                  </w:rPr>
                </w:pPr>
                <w:r>
                  <w:rPr>
                    <w:bCs/>
                    <w:lang w:eastAsia="lt-LT"/>
                  </w:rPr>
                  <w:t>3.1.1.</w:t>
                </w:r>
              </w:p>
            </w:tc>
            <w:tc>
              <w:tcPr>
                <w:tcW w:w="8273" w:type="dxa"/>
                <w:tcBorders>
                  <w:top w:val="single" w:sz="6" w:space="0" w:color="414142"/>
                  <w:left w:val="single" w:sz="6" w:space="0" w:color="414142"/>
                  <w:right w:val="single" w:sz="6" w:space="0" w:color="414142"/>
                </w:tcBorders>
              </w:tcPr>
              <w:p>
                <w:pPr>
                  <w:suppressAutoHyphens/>
                  <w:jc w:val="both"/>
                  <w:rPr>
                    <w:lang w:eastAsia="zh-CN"/>
                  </w:rPr>
                </w:pPr>
                <w:r>
                  <w:rPr>
                    <w:lang w:eastAsia="lt-LT"/>
                  </w:rPr>
                  <w:t xml:space="preserve">vieno iš </w:t>
                </w:r>
                <w:r>
                  <w:rPr>
                    <w:lang w:val="lt" w:eastAsia="zh-CN"/>
                  </w:rPr>
                  <w:t>Reglamentuojamų statybos produktų sąrašo, patvirtinto</w:t>
                </w:r>
                <w:r>
                  <w:rPr>
                    <w:lang w:eastAsia="lt-LT"/>
                  </w:rPr>
                  <w:t xml:space="preserve"> Lietuvos Respublikos aplinkos ministro 2022 m. sausio 24 d. įsakymu Nr. D1-15 „Dėl Reglamentuojamų statybos produktų sąrašo patvirtinimo“,</w:t>
                </w:r>
                <w:r>
                  <w:rPr>
                    <w:lang w:val="lt" w:eastAsia="zh-CN"/>
                  </w:rPr>
                  <w:t xml:space="preserve"> 1 punkte</w:t>
                </w:r>
                <w:r>
                  <w:rPr>
                    <w:lang w:eastAsia="zh-CN"/>
                  </w:rPr>
                  <w:t xml:space="preserve"> nurodytų statybinių produktų;</w:t>
                </w:r>
              </w:p>
            </w:tc>
          </w:tr>
          <w:tr>
            <w:trPr>
              <w:trHeight w:val="476"/>
            </w:trPr>
            <w:tc>
              <w:tcPr>
                <w:tcW w:w="1230" w:type="dxa"/>
                <w:tcBorders>
                  <w:top w:val="single" w:sz="6" w:space="0" w:color="414142"/>
                  <w:right w:val="single" w:sz="6" w:space="0" w:color="414142"/>
                </w:tcBorders>
                <w:vAlign w:val="center"/>
              </w:tcPr>
              <w:p>
                <w:pPr>
                  <w:suppressAutoHyphens/>
                  <w:jc w:val="center"/>
                  <w:rPr>
                    <w:bCs/>
                    <w:lang w:eastAsia="lt-LT"/>
                  </w:rPr>
                </w:pPr>
                <w:r>
                  <w:rPr>
                    <w:bCs/>
                    <w:lang w:eastAsia="lt-LT"/>
                  </w:rPr>
                  <w:t>3.1.2.</w:t>
                </w:r>
              </w:p>
            </w:tc>
            <w:tc>
              <w:tcPr>
                <w:tcW w:w="8273" w:type="dxa"/>
                <w:tcBorders>
                  <w:top w:val="single" w:sz="6" w:space="0" w:color="414142"/>
                  <w:left w:val="single" w:sz="6" w:space="0" w:color="414142"/>
                  <w:right w:val="single" w:sz="6" w:space="0" w:color="414142"/>
                </w:tcBorders>
              </w:tcPr>
              <w:p>
                <w:pPr>
                  <w:suppressAutoHyphens/>
                  <w:jc w:val="both"/>
                  <w:rPr>
                    <w:color w:val="000000"/>
                    <w:lang w:eastAsia="zh-CN"/>
                  </w:rPr>
                </w:pPr>
                <w:r>
                  <w:rPr>
                    <w:lang w:eastAsia="zh-CN"/>
                  </w:rPr>
                  <w:t xml:space="preserve">inertinių medžiagų, kurios tiekiamos rinkai ne kaip statybos produktai, dėl ko joms taikomi Statybinių atliekų tvarkymo taisyklių, patvirtintų Lietuvos Respublikos aplinkos ministro 2006 m. gruodžio 19 d. įsakymu Nr. D1-637 „Dėl Statybinių atliekų tvarkymo taisyklių patvirtinimo“ (toliau – Taisyklės), </w:t>
                </w:r>
                <w:r>
                  <w:rPr>
                    <w:szCs w:val="24"/>
                    <w:lang w:eastAsia="zh-CN"/>
                  </w:rPr>
                  <w:t xml:space="preserve">VIII–X skyriuose, išskyrus 29 punktą, 37.3, 44.3, 44.4 papunkčius ir Taisyklių 1 priedo 2.1, 3.2, 3.8 papunkčius, ir </w:t>
                </w:r>
                <w:r>
                  <w:rPr>
                    <w:lang w:eastAsia="lt-LT"/>
                  </w:rPr>
                  <w:t>Produktų saugos įstatyme nustatyti produktų tiekimo rinkai</w:t>
                </w:r>
                <w:r>
                  <w:rPr>
                    <w:szCs w:val="24"/>
                    <w:lang w:eastAsia="zh-CN"/>
                  </w:rPr>
                  <w:t xml:space="preserve"> </w:t>
                </w:r>
                <w:r>
                  <w:rPr>
                    <w:lang w:eastAsia="zh-CN"/>
                  </w:rPr>
                  <w:t>reikalavimai.</w:t>
                </w:r>
              </w:p>
            </w:tc>
          </w:tr>
          <w:tr>
            <w:trPr>
              <w:trHeight w:val="197"/>
            </w:trPr>
            <w:tc>
              <w:tcPr>
                <w:tcW w:w="1230" w:type="dxa"/>
                <w:tcBorders>
                  <w:top w:val="single" w:sz="6" w:space="0" w:color="414142"/>
                  <w:right w:val="single" w:sz="6" w:space="0" w:color="414142"/>
                </w:tcBorders>
                <w:vAlign w:val="center"/>
              </w:tcPr>
              <w:p>
                <w:pPr>
                  <w:suppressAutoHyphens/>
                  <w:jc w:val="center"/>
                  <w:rPr>
                    <w:szCs w:val="24"/>
                    <w:lang w:eastAsia="lt-LT"/>
                  </w:rPr>
                </w:pPr>
                <w:r>
                  <w:rPr>
                    <w:szCs w:val="24"/>
                    <w:lang w:eastAsia="lt-LT"/>
                  </w:rPr>
                  <w:t>3.2.</w:t>
                </w:r>
              </w:p>
            </w:tc>
            <w:tc>
              <w:tcPr>
                <w:tcW w:w="8273" w:type="dxa"/>
                <w:tcBorders>
                  <w:top w:val="single" w:sz="6" w:space="0" w:color="414142"/>
                  <w:left w:val="single" w:sz="6" w:space="0" w:color="414142"/>
                  <w:right w:val="single" w:sz="6" w:space="0" w:color="414142"/>
                </w:tcBorders>
              </w:tcPr>
              <w:p>
                <w:pPr>
                  <w:suppressAutoHyphens/>
                  <w:jc w:val="both"/>
                  <w:rPr>
                    <w:lang w:eastAsia="lt-LT"/>
                  </w:rPr>
                </w:pPr>
                <w:r>
                  <w:rPr>
                    <w:lang w:eastAsia="lt-LT"/>
                  </w:rPr>
                  <w:t>Perdirbtas statybinis produktas atitinka techninius reikalavimus, standartus ir statybiniams produktams taikytinus Taisyklių VIII skyriuje nurodytus teisės aktus. Šis reikalavimas netaikomas Taisyklių 1 priedo 3.1.2 papunktyje nurodytoms medžiagoms</w:t>
                </w:r>
                <w:r>
                  <w:rPr>
                    <w:lang w:eastAsia="zh-CN"/>
                  </w:rPr>
                  <w:t>.</w:t>
                </w:r>
              </w:p>
            </w:tc>
          </w:tr>
          <w:tr>
            <w:trPr>
              <w:trHeight w:val="476"/>
            </w:trPr>
            <w:tc>
              <w:tcPr>
                <w:tcW w:w="1230" w:type="dxa"/>
                <w:tcBorders>
                  <w:top w:val="single" w:sz="6" w:space="0" w:color="414142"/>
                  <w:right w:val="single" w:sz="6" w:space="0" w:color="414142"/>
                </w:tcBorders>
                <w:vAlign w:val="center"/>
              </w:tcPr>
              <w:p>
                <w:pPr>
                  <w:suppressAutoHyphens/>
                  <w:jc w:val="center"/>
                  <w:rPr>
                    <w:szCs w:val="24"/>
                    <w:lang w:eastAsia="lt-LT"/>
                  </w:rPr>
                </w:pPr>
                <w:r>
                  <w:rPr>
                    <w:szCs w:val="24"/>
                    <w:lang w:eastAsia="lt-LT"/>
                  </w:rPr>
                  <w:t>3.3.</w:t>
                </w:r>
              </w:p>
            </w:tc>
            <w:tc>
              <w:tcPr>
                <w:tcW w:w="8273" w:type="dxa"/>
                <w:tcBorders>
                  <w:top w:val="single" w:sz="6" w:space="0" w:color="414142"/>
                  <w:left w:val="single" w:sz="6" w:space="0" w:color="414142"/>
                  <w:right w:val="single" w:sz="6" w:space="0" w:color="414142"/>
                </w:tcBorders>
              </w:tcPr>
              <w:p>
                <w:pPr>
                  <w:suppressAutoHyphens/>
                  <w:jc w:val="both"/>
                  <w:rPr>
                    <w:color w:val="000000"/>
                    <w:lang w:val="lt" w:eastAsia="zh-CN"/>
                  </w:rPr>
                </w:pPr>
                <w:r>
                  <w:rPr>
                    <w:lang w:eastAsia="lt-LT"/>
                  </w:rPr>
                  <w:t>Taisyklių 1 priedo 3.1.2 papunktyje nurodytose medžiagose</w:t>
                </w:r>
                <w:r>
                  <w:rPr>
                    <w:color w:val="000000"/>
                    <w:lang w:val="lt" w:eastAsia="zh-CN"/>
                  </w:rPr>
                  <w:t xml:space="preserve"> </w:t>
                </w:r>
                <w:r>
                  <w:rPr>
                    <w:color w:val="000000"/>
                    <w:lang w:eastAsia="zh-CN"/>
                  </w:rPr>
                  <w:t xml:space="preserve">esantys teršalai </w:t>
                </w:r>
                <w:r>
                  <w:rPr>
                    <w:color w:val="000000"/>
                    <w:lang w:val="lt" w:eastAsia="zh-CN"/>
                  </w:rPr>
                  <w:t xml:space="preserve">neviršija </w:t>
                </w:r>
                <w:r>
                  <w:rPr>
                    <w:color w:val="000000"/>
                    <w:szCs w:val="24"/>
                    <w:lang w:eastAsia="zh-CN"/>
                  </w:rPr>
                  <w:t>Cheminėmis medžiagomis užterštų teritorijų tvarkymo aplinkos apsaugos reikalavimuose, patvirtintuose Lietuvos Respublikos aplinkos ministro 2008 m. balandžio 30 d. įsakymu Nr. D1-230 „Dėl Cheminėmis medžiagomis užterštų teritorijų tvarkymo aplinkos apsaugos reikalavimų patvirtinimo“</w:t>
                </w:r>
                <w:r>
                  <w:rPr>
                    <w:color w:val="000000"/>
                    <w:lang w:val="lt" w:eastAsia="zh-CN"/>
                  </w:rPr>
                  <w:t xml:space="preserve">, trečios grupės (vidutiniškai jautrioms) </w:t>
                </w:r>
                <w:r>
                  <w:rPr>
                    <w:color w:val="000000"/>
                    <w:lang w:eastAsia="zh-CN"/>
                  </w:rPr>
                  <w:t>teritorijoms nustatytų cheminių medžiagų ribinių verčių dirvožemyje ir grunte.</w:t>
                </w:r>
              </w:p>
            </w:tc>
          </w:tr>
          <w:tr>
            <w:trPr>
              <w:trHeight w:val="476"/>
            </w:trPr>
            <w:tc>
              <w:tcPr>
                <w:tcW w:w="1230" w:type="dxa"/>
                <w:tcBorders>
                  <w:top w:val="single" w:sz="6" w:space="0" w:color="414142"/>
                  <w:right w:val="single" w:sz="6" w:space="0" w:color="414142"/>
                </w:tcBorders>
                <w:vAlign w:val="center"/>
              </w:tcPr>
              <w:p>
                <w:pPr>
                  <w:suppressAutoHyphens/>
                  <w:jc w:val="center"/>
                  <w:rPr>
                    <w:szCs w:val="24"/>
                    <w:lang w:eastAsia="lt-LT"/>
                  </w:rPr>
                </w:pPr>
                <w:r>
                  <w:rPr>
                    <w:szCs w:val="24"/>
                    <w:lang w:eastAsia="lt-LT"/>
                  </w:rPr>
                  <w:t>3.4.</w:t>
                </w:r>
              </w:p>
            </w:tc>
            <w:tc>
              <w:tcPr>
                <w:tcW w:w="8273" w:type="dxa"/>
                <w:tcBorders>
                  <w:top w:val="single" w:sz="6" w:space="0" w:color="414142"/>
                  <w:left w:val="single" w:sz="6" w:space="0" w:color="414142"/>
                  <w:right w:val="single" w:sz="6" w:space="0" w:color="414142"/>
                </w:tcBorders>
              </w:tcPr>
              <w:p>
                <w:pPr>
                  <w:suppressAutoHyphens/>
                  <w:jc w:val="both"/>
                  <w:rPr>
                    <w:szCs w:val="24"/>
                    <w:lang w:eastAsia="lt-LT"/>
                  </w:rPr>
                </w:pPr>
                <w:r>
                  <w:rPr>
                    <w:szCs w:val="24"/>
                    <w:lang w:eastAsia="lt-LT"/>
                  </w:rPr>
                  <w:t xml:space="preserve">Atliekos neturi pavojingų savybių, nustatytų 2014 m. gruodžio 18 d. Komisijos reglamento (ES) Nr. 1357/2014, kuriuo pakeičiamas Europos Parlamento ir Tarybos direktyvos 2008/98/EB dėl atliekų ir panaikinančios kai kurias direktyvas, III priede, neturi ir nėra užterštos 2019 m. birželio 20 d. Europos Parlamento ir Tarybos reglamento (ES) 2019/1021 dėl patvariųjų organinių teršalų </w:t>
                </w:r>
                <w:r>
                  <w:rPr>
                    <w:szCs w:val="24"/>
                    <w:lang w:eastAsia="zh-CN"/>
                  </w:rPr>
                  <w:t xml:space="preserve">(nauja redakcija) su </w:t>
                </w:r>
                <w:r>
                  <w:rPr>
                    <w:bCs/>
                    <w:szCs w:val="24"/>
                    <w:lang w:eastAsia="zh-CN"/>
                  </w:rPr>
                  <w:t>visais</w:t>
                </w:r>
                <w:r>
                  <w:rPr>
                    <w:szCs w:val="24"/>
                    <w:lang w:eastAsia="zh-CN"/>
                  </w:rPr>
                  <w:t xml:space="preserve"> pakeitimais</w:t>
                </w:r>
                <w:r>
                  <w:rPr>
                    <w:szCs w:val="24"/>
                    <w:lang w:eastAsia="lt-LT"/>
                  </w:rPr>
                  <w:t>, IV priede nurodytomis cheminėmis medžiagomis, kurių koncentracija viršija nurodytas ribines koncentracijas.</w:t>
                </w:r>
              </w:p>
            </w:tc>
          </w:tr>
          <w:tr>
            <w:trPr>
              <w:trHeight w:val="272"/>
            </w:trPr>
            <w:tc>
              <w:tcPr>
                <w:tcW w:w="1230" w:type="dxa"/>
                <w:tcBorders>
                  <w:top w:val="single" w:sz="6" w:space="0" w:color="414142"/>
                  <w:right w:val="single" w:sz="6" w:space="0" w:color="414142"/>
                </w:tcBorders>
                <w:vAlign w:val="center"/>
              </w:tcPr>
              <w:p>
                <w:pPr>
                  <w:suppressAutoHyphens/>
                  <w:jc w:val="center"/>
                  <w:rPr>
                    <w:szCs w:val="24"/>
                    <w:lang w:eastAsia="lt-LT"/>
                  </w:rPr>
                </w:pPr>
                <w:r>
                  <w:rPr>
                    <w:szCs w:val="24"/>
                    <w:lang w:eastAsia="lt-LT"/>
                  </w:rPr>
                  <w:t>3.5.</w:t>
                </w:r>
              </w:p>
            </w:tc>
            <w:tc>
              <w:tcPr>
                <w:tcW w:w="8273" w:type="dxa"/>
                <w:tcBorders>
                  <w:top w:val="single" w:sz="6" w:space="0" w:color="414142"/>
                  <w:left w:val="single" w:sz="6" w:space="0" w:color="414142"/>
                  <w:right w:val="single" w:sz="6" w:space="0" w:color="414142"/>
                </w:tcBorders>
              </w:tcPr>
              <w:p>
                <w:pPr>
                  <w:suppressAutoHyphens/>
                  <w:jc w:val="both"/>
                  <w:rPr>
                    <w:szCs w:val="24"/>
                    <w:lang w:eastAsia="lt-LT"/>
                  </w:rPr>
                </w:pPr>
                <w:r>
                  <w:rPr>
                    <w:szCs w:val="24"/>
                    <w:lang w:eastAsia="lt-LT"/>
                  </w:rPr>
                  <w:t>Atliekos</w:t>
                </w:r>
                <w:r>
                  <w:rPr>
                    <w:spacing w:val="-4"/>
                    <w:szCs w:val="24"/>
                    <w:lang w:eastAsia="lt-LT"/>
                  </w:rPr>
                  <w:t xml:space="preserve"> atitinka pavojingų cheminių medžiagų, mišinių ir gaminių gamybos, tiekimo rinkai ir naudojimo apribojimų sąlygas, nustatytas </w:t>
                </w:r>
                <w:r>
                  <w:rPr>
                    <w:spacing w:val="-3"/>
                    <w:szCs w:val="24"/>
                    <w:lang w:eastAsia="lt-LT"/>
                  </w:rPr>
                  <w:t xml:space="preserve">2006 m. </w:t>
                </w:r>
                <w:r>
                  <w:rPr>
                    <w:szCs w:val="24"/>
                    <w:lang w:eastAsia="lt-LT"/>
                  </w:rPr>
                  <w:t xml:space="preserve">gruodžio 18 d. </w:t>
                </w:r>
                <w:r>
                  <w:rPr>
                    <w:spacing w:val="-4"/>
                    <w:szCs w:val="24"/>
                    <w:lang w:eastAsia="lt-LT"/>
                  </w:rPr>
                  <w:t xml:space="preserve">Europos Parlamento ir Tarybos reglamento (EB) </w:t>
                </w:r>
                <w:r>
                  <w:rPr>
                    <w:spacing w:val="-3"/>
                    <w:szCs w:val="24"/>
                    <w:lang w:eastAsia="lt-LT"/>
                  </w:rPr>
                  <w:t xml:space="preserve">Nr. </w:t>
                </w:r>
                <w:r>
                  <w:rPr>
                    <w:szCs w:val="24"/>
                    <w:lang w:eastAsia="lt-LT"/>
                  </w:rPr>
                  <w:t>1907/2006 dėl cheminių medžiagų registracijos, įvertinimo, autorizacijos ir apribojimų (REACH), įsteigiančio Europos cheminių medžiagų agentūrą, iš dalies keičiančio Direktyvą 1999/45/EB ir panaikinančio Tarybos reglamentą (EEB) Nr. 793/93 ir Komisijos reglamentą (EB) Nr. 1488/94, Tarybos direktyvą 76/769/EEB ir Komisijos direktyvas 91/155/EEB, 93/67/EEB, 93/105/EB ir 2000/21/EB su visais pakeitimais, XVII priede.</w:t>
                </w:r>
              </w:p>
            </w:tc>
          </w:tr>
          <w:tr>
            <w:trPr>
              <w:trHeight w:val="227"/>
            </w:trPr>
            <w:tc>
              <w:tcPr>
                <w:tcW w:w="1230" w:type="dxa"/>
                <w:tcBorders>
                  <w:top w:val="single" w:sz="6" w:space="0" w:color="414142"/>
                  <w:right w:val="single" w:sz="6" w:space="0" w:color="414142"/>
                </w:tcBorders>
                <w:vAlign w:val="center"/>
              </w:tcPr>
              <w:p>
                <w:pPr>
                  <w:suppressAutoHyphens/>
                  <w:jc w:val="center"/>
                  <w:rPr>
                    <w:szCs w:val="24"/>
                    <w:lang w:eastAsia="lt-LT"/>
                  </w:rPr>
                </w:pPr>
                <w:r>
                  <w:rPr>
                    <w:szCs w:val="24"/>
                    <w:lang w:eastAsia="lt-LT"/>
                  </w:rPr>
                  <w:t>3.6.</w:t>
                </w:r>
              </w:p>
            </w:tc>
            <w:tc>
              <w:tcPr>
                <w:tcW w:w="8273" w:type="dxa"/>
                <w:tcBorders>
                  <w:top w:val="single" w:sz="6" w:space="0" w:color="414142"/>
                  <w:left w:val="single" w:sz="6" w:space="0" w:color="414142"/>
                  <w:right w:val="single" w:sz="6" w:space="0" w:color="414142"/>
                </w:tcBorders>
              </w:tcPr>
              <w:p>
                <w:pPr>
                  <w:suppressAutoHyphens/>
                  <w:jc w:val="both"/>
                  <w:rPr>
                    <w:szCs w:val="24"/>
                    <w:lang w:eastAsia="lt-LT"/>
                  </w:rPr>
                </w:pPr>
                <w:r>
                  <w:rPr>
                    <w:szCs w:val="24"/>
                    <w:lang w:eastAsia="lt-LT"/>
                  </w:rPr>
                  <w:t>Atliekos nėra užterštos alyva, tepalais ar kitomis medžiagomis, nenurodytomis kaip leidžiamos atitinkamos medžiagos produktui taikomame standarte.</w:t>
                </w:r>
              </w:p>
            </w:tc>
          </w:tr>
          <w:tr>
            <w:trPr>
              <w:trHeight w:val="199"/>
            </w:trPr>
            <w:tc>
              <w:tcPr>
                <w:tcW w:w="1230" w:type="dxa"/>
                <w:tcBorders>
                  <w:top w:val="single" w:sz="6" w:space="0" w:color="414142"/>
                  <w:right w:val="single" w:sz="6" w:space="0" w:color="414142"/>
                </w:tcBorders>
                <w:vAlign w:val="center"/>
              </w:tcPr>
              <w:p>
                <w:pPr>
                  <w:suppressAutoHyphens/>
                  <w:jc w:val="center"/>
                  <w:rPr>
                    <w:szCs w:val="24"/>
                    <w:lang w:eastAsia="lt-LT"/>
                  </w:rPr>
                </w:pPr>
                <w:r>
                  <w:rPr>
                    <w:szCs w:val="24"/>
                    <w:lang w:eastAsia="lt-LT"/>
                  </w:rPr>
                  <w:t>3.7.</w:t>
                </w:r>
              </w:p>
            </w:tc>
            <w:tc>
              <w:tcPr>
                <w:tcW w:w="8273" w:type="dxa"/>
                <w:tcBorders>
                  <w:top w:val="single" w:sz="6" w:space="0" w:color="414142"/>
                  <w:left w:val="single" w:sz="6" w:space="0" w:color="414142"/>
                  <w:right w:val="single" w:sz="6" w:space="0" w:color="414142"/>
                </w:tcBorders>
              </w:tcPr>
              <w:p>
                <w:pPr>
                  <w:suppressAutoHyphens/>
                  <w:jc w:val="both"/>
                  <w:rPr>
                    <w:szCs w:val="24"/>
                    <w:lang w:eastAsia="lt-LT"/>
                  </w:rPr>
                </w:pPr>
                <w:r>
                  <w:rPr>
                    <w:szCs w:val="24"/>
                    <w:lang w:eastAsia="lt-LT"/>
                  </w:rPr>
                  <w:t>Perdirbto statybinio produkto papildomai apdoroti nereikia siekiant naudoti galutinėje produktų gamyboje. Perdirbto statybinio produkto panaudojimas kito produkto sudėtyje nelaikomas papildomu apdorojimu.</w:t>
                </w:r>
              </w:p>
            </w:tc>
          </w:tr>
          <w:tr>
            <w:trPr>
              <w:trHeight w:val="199"/>
            </w:trPr>
            <w:tc>
              <w:tcPr>
                <w:tcW w:w="1230" w:type="dxa"/>
                <w:tcBorders>
                  <w:top w:val="single" w:sz="6" w:space="0" w:color="414142"/>
                  <w:right w:val="single" w:sz="6" w:space="0" w:color="414142"/>
                </w:tcBorders>
                <w:vAlign w:val="center"/>
              </w:tcPr>
              <w:p>
                <w:pPr>
                  <w:suppressAutoHyphens/>
                  <w:jc w:val="center"/>
                  <w:rPr>
                    <w:szCs w:val="24"/>
                    <w:lang w:eastAsia="lt-LT"/>
                  </w:rPr>
                </w:pPr>
                <w:r>
                  <w:rPr>
                    <w:szCs w:val="24"/>
                    <w:lang w:eastAsia="lt-LT"/>
                  </w:rPr>
                  <w:t>3.8.</w:t>
                </w:r>
              </w:p>
            </w:tc>
            <w:tc>
              <w:tcPr>
                <w:tcW w:w="8273" w:type="dxa"/>
                <w:tcBorders>
                  <w:top w:val="single" w:sz="6" w:space="0" w:color="414142"/>
                  <w:left w:val="single" w:sz="6" w:space="0" w:color="414142"/>
                  <w:right w:val="single" w:sz="6" w:space="0" w:color="414142"/>
                </w:tcBorders>
              </w:tcPr>
              <w:p>
                <w:pPr>
                  <w:suppressAutoHyphens/>
                  <w:jc w:val="both"/>
                  <w:rPr>
                    <w:lang w:eastAsia="lt-LT"/>
                  </w:rPr>
                </w:pPr>
                <w:r>
                  <w:rPr>
                    <w:lang w:eastAsia="lt-LT"/>
                  </w:rPr>
                  <w:t>Perdirbto statybinio produkto atskyrimas ir kiekybinis nustatymas atliekami pagal atitinkamam perdirbtam statybiniam produktui taikomą standartą. Šis reikalavimas netaikomas Taisyklių 1 priedo 3.1.2 papunktyje nurodytoms medžiagoms</w:t>
                </w:r>
                <w:r>
                  <w:rPr>
                    <w:lang w:eastAsia="zh-CN"/>
                  </w:rPr>
                  <w:t>.</w:t>
                </w:r>
              </w:p>
            </w:tc>
          </w:tr>
          <w:tr>
            <w:trPr>
              <w:trHeight w:val="550"/>
            </w:trPr>
            <w:tc>
              <w:tcPr>
                <w:tcW w:w="1230" w:type="dxa"/>
                <w:tcBorders>
                  <w:top w:val="single" w:sz="6" w:space="0" w:color="414142"/>
                  <w:right w:val="single" w:sz="4" w:space="0" w:color="auto"/>
                </w:tcBorders>
                <w:vAlign w:val="center"/>
              </w:tcPr>
              <w:p>
                <w:pPr>
                  <w:suppressAutoHyphens/>
                  <w:jc w:val="center"/>
                  <w:rPr>
                    <w:szCs w:val="24"/>
                    <w:lang w:eastAsia="lt-LT"/>
                  </w:rPr>
                </w:pPr>
                <w:r>
                  <w:rPr>
                    <w:szCs w:val="24"/>
                    <w:lang w:eastAsia="lt-LT"/>
                  </w:rPr>
                  <w:t>4.</w:t>
                </w:r>
              </w:p>
            </w:tc>
            <w:tc>
              <w:tcPr>
                <w:tcW w:w="8273" w:type="dxa"/>
                <w:tcBorders>
                  <w:top w:val="single" w:sz="6" w:space="0" w:color="414142"/>
                  <w:left w:val="single" w:sz="4" w:space="0" w:color="auto"/>
                  <w:right w:val="single" w:sz="6" w:space="0" w:color="414142"/>
                </w:tcBorders>
              </w:tcPr>
              <w:p>
                <w:pPr>
                  <w:suppressAutoHyphens/>
                  <w:jc w:val="both"/>
                  <w:rPr>
                    <w:lang w:eastAsia="lt-LT"/>
                  </w:rPr>
                </w:pPr>
                <w:r>
                  <w:rPr>
                    <w:lang w:eastAsia="lt-LT"/>
                  </w:rPr>
                  <w:t xml:space="preserve">Perdirbto statybinio produkto  atitikties nustatytoms sąlygoms ir kriterijams, pagal kuriuos atliekos nebelaikomos atliekomis, įrodymų pateikimo reikalavimai ir tvarka, įskaitant kokybės kontrolę ir savikontrolę, – perdirbto statybinio  produkto</w:t>
                </w:r>
                <w:r>
                  <w:rPr>
                    <w:rFonts w:eastAsia="Arial"/>
                    <w:lang w:eastAsia="zh-CN"/>
                  </w:rPr>
                  <w:t xml:space="preserve"> gamintojas atitinka Taisyklių VIII–X skyriuose nustatytus reikalavimus.</w:t>
                </w:r>
                <w:r>
                  <w:rPr>
                    <w:lang w:eastAsia="lt-LT"/>
                  </w:rPr>
                  <w:t xml:space="preserve"> </w:t>
                </w:r>
              </w:p>
            </w:tc>
          </w:tr>
          <w:tr>
            <w:trPr>
              <w:trHeight w:val="434"/>
            </w:trPr>
            <w:tc>
              <w:tcPr>
                <w:tcW w:w="1230" w:type="dxa"/>
                <w:tcBorders>
                  <w:top w:val="single" w:sz="6" w:space="0" w:color="414142"/>
                  <w:bottom w:val="single" w:sz="6" w:space="0" w:color="414142"/>
                  <w:right w:val="single" w:sz="6" w:space="0" w:color="414142"/>
                </w:tcBorders>
                <w:vAlign w:val="center"/>
              </w:tcPr>
              <w:p>
                <w:pPr>
                  <w:suppressAutoHyphens/>
                  <w:jc w:val="center"/>
                  <w:rPr>
                    <w:szCs w:val="24"/>
                    <w:lang w:eastAsia="lt-LT"/>
                  </w:rPr>
                </w:pPr>
                <w:r>
                  <w:rPr>
                    <w:szCs w:val="24"/>
                    <w:lang w:eastAsia="lt-LT"/>
                  </w:rPr>
                  <w:t>5.</w:t>
                </w:r>
              </w:p>
            </w:tc>
            <w:tc>
              <w:tcPr>
                <w:tcW w:w="8273" w:type="dxa"/>
                <w:tcBorders>
                  <w:top w:val="single" w:sz="6" w:space="0" w:color="414142"/>
                  <w:left w:val="single" w:sz="6" w:space="0" w:color="414142"/>
                  <w:bottom w:val="single" w:sz="6" w:space="0" w:color="414142"/>
                  <w:right w:val="single" w:sz="6" w:space="0" w:color="414142"/>
                </w:tcBorders>
              </w:tcPr>
              <w:p>
                <w:pPr>
                  <w:suppressAutoHyphens/>
                  <w:jc w:val="both"/>
                  <w:rPr>
                    <w:lang w:eastAsia="lt-LT"/>
                  </w:rPr>
                </w:pPr>
                <w:r>
                  <w:rPr>
                    <w:lang w:eastAsia="lt-LT"/>
                  </w:rPr>
                  <w:t xml:space="preserve">Perdirbto statybinio  produkto atitiktį patvirtinančių dokumentų išdavimo, laikymo ir saugojimo reikalavimai.</w:t>
                </w:r>
              </w:p>
            </w:tc>
          </w:tr>
          <w:tr>
            <w:trPr>
              <w:trHeight w:val="434"/>
            </w:trPr>
            <w:tc>
              <w:tcPr>
                <w:tcW w:w="1230" w:type="dxa"/>
                <w:tcBorders>
                  <w:top w:val="single" w:sz="6" w:space="0" w:color="414142"/>
                  <w:bottom w:val="single" w:sz="6" w:space="0" w:color="414142"/>
                  <w:right w:val="single" w:sz="6" w:space="0" w:color="414142"/>
                </w:tcBorders>
                <w:vAlign w:val="center"/>
              </w:tcPr>
              <w:p>
                <w:pPr>
                  <w:suppressAutoHyphens/>
                  <w:jc w:val="center"/>
                  <w:rPr>
                    <w:szCs w:val="24"/>
                    <w:lang w:eastAsia="lt-LT"/>
                  </w:rPr>
                </w:pPr>
                <w:r>
                  <w:rPr>
                    <w:szCs w:val="24"/>
                    <w:lang w:eastAsia="lt-LT"/>
                  </w:rPr>
                  <w:t>5.1.</w:t>
                </w:r>
              </w:p>
            </w:tc>
            <w:tc>
              <w:tcPr>
                <w:tcW w:w="8273" w:type="dxa"/>
                <w:tcBorders>
                  <w:top w:val="single" w:sz="6" w:space="0" w:color="414142"/>
                  <w:left w:val="single" w:sz="6" w:space="0" w:color="414142"/>
                  <w:bottom w:val="single" w:sz="6" w:space="0" w:color="414142"/>
                  <w:right w:val="single" w:sz="6" w:space="0" w:color="414142"/>
                </w:tcBorders>
              </w:tcPr>
              <w:p>
                <w:pPr>
                  <w:suppressAutoHyphens/>
                  <w:jc w:val="both"/>
                  <w:rPr>
                    <w:spacing w:val="-3"/>
                    <w:lang w:eastAsia="lt-LT"/>
                  </w:rPr>
                </w:pPr>
                <w:r>
                  <w:rPr>
                    <w:lang w:eastAsia="lt-LT"/>
                  </w:rPr>
                  <w:t xml:space="preserve">Perdirbto statybinio  produkto</w:t>
                </w:r>
                <w:r>
                  <w:rPr>
                    <w:spacing w:val="-9"/>
                    <w:lang w:eastAsia="lt-LT"/>
                  </w:rPr>
                  <w:t xml:space="preserve"> gamintojas parengia perdirbtų </w:t>
                </w:r>
                <w:r>
                  <w:rPr>
                    <w:spacing w:val="-3"/>
                    <w:lang w:eastAsia="lt-LT"/>
                  </w:rPr>
                  <w:t>statybinių atliekų nebelaikymo atliekomis atitikties deklaraciją (toliau – atitikties deklaracija) remdamasis Taisyklių 30 punktu ir Taisyklių IX skyriaus nuostatomis.</w:t>
                </w:r>
              </w:p>
            </w:tc>
          </w:tr>
          <w:tr>
            <w:trPr>
              <w:trHeight w:val="434"/>
            </w:trPr>
            <w:tc>
              <w:tcPr>
                <w:tcW w:w="1230" w:type="dxa"/>
                <w:tcBorders>
                  <w:top w:val="single" w:sz="6" w:space="0" w:color="414142"/>
                  <w:bottom w:val="single" w:sz="6" w:space="0" w:color="414142"/>
                  <w:right w:val="single" w:sz="6" w:space="0" w:color="414142"/>
                </w:tcBorders>
                <w:vAlign w:val="center"/>
              </w:tcPr>
              <w:p>
                <w:pPr>
                  <w:suppressAutoHyphens/>
                  <w:jc w:val="center"/>
                  <w:rPr>
                    <w:szCs w:val="24"/>
                    <w:lang w:eastAsia="lt-LT"/>
                  </w:rPr>
                </w:pPr>
                <w:r>
                  <w:rPr>
                    <w:szCs w:val="24"/>
                    <w:lang w:eastAsia="lt-LT"/>
                  </w:rPr>
                  <w:t>5.2.</w:t>
                </w:r>
              </w:p>
            </w:tc>
            <w:tc>
              <w:tcPr>
                <w:tcW w:w="8273" w:type="dxa"/>
                <w:tcBorders>
                  <w:top w:val="single" w:sz="6" w:space="0" w:color="414142"/>
                  <w:left w:val="single" w:sz="6" w:space="0" w:color="414142"/>
                  <w:bottom w:val="single" w:sz="6" w:space="0" w:color="414142"/>
                  <w:right w:val="single" w:sz="6" w:space="0" w:color="414142"/>
                </w:tcBorders>
              </w:tcPr>
              <w:p>
                <w:pPr>
                  <w:suppressAutoHyphens/>
                  <w:jc w:val="both"/>
                  <w:rPr>
                    <w:lang w:eastAsia="lt-LT"/>
                  </w:rPr>
                </w:pPr>
                <w:r>
                  <w:rPr>
                    <w:lang w:eastAsia="lt-LT"/>
                  </w:rPr>
                  <w:t>Atitikties deklaracijos ir perdirbto statybinio produkto</w:t>
                </w:r>
                <w:r>
                  <w:rPr>
                    <w:spacing w:val="-3"/>
                    <w:lang w:eastAsia="lt-LT"/>
                  </w:rPr>
                  <w:t xml:space="preserve"> siuntos </w:t>
                </w:r>
                <w:r>
                  <w:rPr>
                    <w:lang w:eastAsia="lt-LT"/>
                  </w:rPr>
                  <w:t>fizinių ir cheminių savybių laboratorinių tyrimų, jei buvo atlikti pagal statybos produktui taikomą techninę specifikaciją</w:t>
                </w:r>
                <w:r>
                  <w:rPr>
                    <w:szCs w:val="24"/>
                    <w:lang w:eastAsia="lt-LT"/>
                  </w:rPr>
                  <w:t xml:space="preserve"> ir (ar) Taisyklių 46 punktą</w:t>
                </w:r>
                <w:r>
                  <w:rPr>
                    <w:lang w:eastAsia="lt-LT"/>
                  </w:rPr>
                  <w:t xml:space="preserve">, rezultatai saugomi remiantis </w:t>
                </w:r>
                <w:r>
                  <w:rPr>
                    <w:spacing w:val="-3"/>
                    <w:lang w:eastAsia="lt-LT"/>
                  </w:rPr>
                  <w:t>Taisyklių</w:t>
                </w:r>
                <w:r>
                  <w:rPr>
                    <w:lang w:eastAsia="lt-LT"/>
                  </w:rPr>
                  <w:t> 37.3 papunkčio</w:t>
                </w:r>
                <w:r>
                  <w:rPr>
                    <w:szCs w:val="24"/>
                    <w:lang w:eastAsia="zh-CN"/>
                  </w:rPr>
                  <w:t> </w:t>
                </w:r>
                <w:r>
                  <w:rPr>
                    <w:lang w:eastAsia="lt-LT"/>
                  </w:rPr>
                  <w:t>nuostatomis.</w:t>
                </w:r>
              </w:p>
            </w:tc>
          </w:tr>
        </w:tbl>
        <w:p>
          <w:pPr>
            <w:suppressAutoHyphens/>
            <w:rPr>
              <w:b/>
              <w:szCs w:val="24"/>
              <w:lang w:eastAsia="lt-LT"/>
            </w:rPr>
          </w:pPr>
        </w:p>
        <w:sdt>
          <w:sdtPr>
            <w:alias w:val="pabaiga"/>
            <w:tag w:val="part_c63f78887adf40be8f285f028b8a883e"/>
            <w:lock w:val="sdtLocked"/>
            <w:richText/>
          </w:sdtPr>
          <w:sdtContent>
            <w:p>
              <w:pPr>
                <w:suppressAutoHyphens/>
                <w:jc w:val="center"/>
              </w:pPr>
              <w:r>
                <w:rPr>
                  <w:szCs w:val="24"/>
                  <w:lang w:eastAsia="lt-LT"/>
                </w:rPr>
                <w:t>___________________________________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ad371114211f08e9f87c0d053bf09">
            <w:r w:rsidRPr="00532B9F">
              <w:rPr>
                <w:rFonts w:ascii="Times New Roman" w:eastAsia="MS Mincho" w:hAnsi="Times New Roman"/>
                <w:sz w:val="20"/>
                <w:i/>
                <w:iCs/>
                <w:color w:val="0000FF" w:themeColor="hyperlink"/>
                <w:u w:val="single"/>
              </w:rPr>
              <w:t>D1-43</w:t>
            </w:r>
          </w:fldSimple>
          <w:r>
            <w:rPr>
              <w:rFonts w:ascii="Times New Roman" w:eastAsia="MS Mincho" w:hAnsi="Times New Roman"/>
              <w:sz w:val="20"/>
              <w:i/>
              <w:iCs/>
            </w:rPr>
            <w:t>,
2025-04-04,
paskelbta TAR 2025-04-04, i. k. 2025-05980            </w:t>
          </w:r>
        </w:p>
        <w:p/>
      </w:sdtContent>
    </w:sdt>
    <w:sdt>
      <w:sdtPr>
        <w:alias w:val="2 pr."/>
        <w:tag w:val="part_8ee501173fd147edad38ab9005dbeb73"/>
        <w:lock w:val="sdtLocked"/>
        <w:richText/>
      </w:sdtPr>
      <w:sdtContent>
        <w:p>
          <w:pPr>
            <w:tabs>
              <w:tab w:val="left" w:pos="8821"/>
            </w:tabs>
            <w:suppressAutoHyphens/>
            <w:ind w:left="6236" w:firstLine="567"/>
            <w:jc w:val="both"/>
            <w:sectPr>
              <w:footerReference w:type="default" r:id="rId21"/>
              <w:footerReference w:type="first" r:id="rId22"/>
              <w:pgSz w:w="11906" w:h="16838" w:code="9"/>
              <w:pgMar w:top="1134" w:right="567" w:bottom="1134" w:left="1701" w:header="567" w:footer="567" w:gutter="0"/>
              <w:pgNumType w:start="1"/>
              <w:cols w:space="1296"/>
              <w:titlePg/>
              <w:docGrid w:linePitch="360"/>
            </w:sectPr>
          </w:pPr>
        </w:p>
        <w:p>
          <w:pPr>
            <w:tabs>
              <w:tab w:val="left" w:pos="8821"/>
            </w:tabs>
            <w:suppressAutoHyphens/>
            <w:ind w:left="6236" w:firstLine="567"/>
            <w:jc w:val="both"/>
            <w:rPr>
              <w:szCs w:val="24"/>
              <w:lang w:eastAsia="zh-CN"/>
            </w:rPr>
          </w:pPr>
          <w:r>
            <w:rPr>
              <w:szCs w:val="24"/>
              <w:lang w:eastAsia="zh-CN"/>
            </w:rPr>
            <w:t xml:space="preserve">Statybinių atliekų </w:t>
          </w:r>
        </w:p>
        <w:p>
          <w:pPr>
            <w:tabs>
              <w:tab w:val="left" w:pos="8821"/>
            </w:tabs>
            <w:suppressAutoHyphens/>
            <w:ind w:left="6236" w:firstLine="567"/>
            <w:jc w:val="both"/>
            <w:rPr>
              <w:szCs w:val="24"/>
              <w:lang w:eastAsia="zh-CN"/>
            </w:rPr>
          </w:pPr>
          <w:r>
            <w:rPr>
              <w:szCs w:val="24"/>
              <w:lang w:eastAsia="zh-CN"/>
            </w:rPr>
            <w:t xml:space="preserve">tvarkymo taisyklių </w:t>
          </w:r>
        </w:p>
        <w:p>
          <w:pPr>
            <w:tabs>
              <w:tab w:val="left" w:pos="8821"/>
            </w:tabs>
            <w:suppressAutoHyphens/>
            <w:ind w:left="6236" w:firstLine="567"/>
            <w:jc w:val="both"/>
            <w:rPr>
              <w:szCs w:val="24"/>
              <w:lang w:eastAsia="zh-CN"/>
            </w:rPr>
          </w:pPr>
          <w:sdt>
            <w:sdtPr>
              <w:alias w:val="Numeris"/>
              <w:tag w:val="nr_8ee501173fd147edad38ab9005dbeb73"/>
              <w:lock w:val="sdtLocked"/>
              <w:richText/>
            </w:sdtPr>
            <w:sdtContent>
              <w:r>
                <w:rPr>
                  <w:szCs w:val="24"/>
                  <w:lang w:eastAsia="zh-CN"/>
                </w:rPr>
                <w:t>2</w:t>
              </w:r>
            </w:sdtContent>
          </w:sdt>
          <w:r>
            <w:rPr>
              <w:szCs w:val="24"/>
              <w:lang w:eastAsia="zh-CN"/>
            </w:rPr>
            <w:t xml:space="preserve"> priedas </w:t>
          </w:r>
        </w:p>
        <w:p>
          <w:pPr>
            <w:suppressAutoHyphens/>
            <w:ind w:firstLine="629"/>
            <w:jc w:val="both"/>
            <w:rPr>
              <w:szCs w:val="24"/>
              <w:lang w:eastAsia="zh-CN"/>
            </w:rPr>
          </w:pPr>
        </w:p>
        <w:p>
          <w:pPr>
            <w:suppressAutoHyphens/>
            <w:ind w:firstLine="567"/>
            <w:jc w:val="center"/>
            <w:rPr>
              <w:b/>
              <w:bCs/>
              <w:szCs w:val="24"/>
              <w:lang w:eastAsia="zh-CN"/>
            </w:rPr>
          </w:pPr>
          <w:sdt>
            <w:sdtPr>
              <w:alias w:val="Pavadinimas"/>
              <w:tag w:val="title_8ee501173fd147edad38ab9005dbeb73"/>
              <w:lock w:val="sdtLocked"/>
              <w:richText/>
            </w:sdtPr>
            <w:sdtContent>
              <w:r>
                <w:rPr>
                  <w:b/>
                  <w:bCs/>
                  <w:szCs w:val="24"/>
                  <w:lang w:eastAsia="zh-CN"/>
                </w:rPr>
                <w:t xml:space="preserve">(Perdirbtų inertinių statybinių atliekų nebelaikymo atliekomis atitikties deklaracijos formos pavyzdys) </w:t>
              </w:r>
            </w:sdtContent>
          </w:sdt>
        </w:p>
        <w:tbl>
          <w:tblPr>
            <w:tblW w:w="0" w:type="auto"/>
            <w:tblLayout w:type="fixed"/>
            <w:tblLook w:val="04A0" w:firstRow="1" w:lastRow="0" w:firstColumn="1" w:lastColumn="0" w:noHBand="0" w:noVBand="1"/>
          </w:tblPr>
          <w:tblGrid>
            <w:gridCol w:w="851"/>
            <w:gridCol w:w="5979"/>
            <w:gridCol w:w="2490"/>
            <w:gridCol w:w="14"/>
          </w:tblGrid>
          <w:tr>
            <w:trPr>
              <w:trHeight w:val="900"/>
            </w:trPr>
            <w:tc>
              <w:tcPr>
                <w:tcW w:w="9334" w:type="dxa"/>
                <w:gridSpan w:val="4"/>
                <w:shd w:val="clear" w:color="auto" w:fill="FFFFFF" w:themeFill="background1"/>
                <w:tcMar>
                  <w:left w:w="108" w:type="dxa"/>
                  <w:right w:w="108" w:type="dxa"/>
                </w:tcMar>
              </w:tcPr>
              <w:p>
                <w:pPr>
                  <w:suppressAutoHyphens/>
                  <w:ind w:firstLine="57"/>
                  <w:rPr>
                    <w:color w:val="000000"/>
                    <w:sz w:val="22"/>
                    <w:szCs w:val="22"/>
                    <w:lang w:eastAsia="zh-CN"/>
                  </w:rPr>
                </w:pPr>
              </w:p>
              <w:p>
                <w:pPr>
                  <w:suppressAutoHyphens/>
                  <w:jc w:val="center"/>
                  <w:rPr>
                    <w:color w:val="000000"/>
                    <w:sz w:val="22"/>
                    <w:szCs w:val="22"/>
                    <w:lang w:eastAsia="zh-CN"/>
                  </w:rPr>
                </w:pPr>
                <w:r>
                  <w:rPr>
                    <w:color w:val="000000"/>
                    <w:sz w:val="22"/>
                    <w:szCs w:val="22"/>
                    <w:lang w:eastAsia="zh-CN"/>
                  </w:rPr>
                  <w:t>___________________________________________________________</w:t>
                </w:r>
              </w:p>
              <w:p>
                <w:pPr>
                  <w:suppressAutoHyphens/>
                  <w:jc w:val="center"/>
                  <w:rPr>
                    <w:color w:val="000000"/>
                    <w:sz w:val="22"/>
                    <w:szCs w:val="22"/>
                    <w:lang w:eastAsia="zh-CN"/>
                  </w:rPr>
                </w:pPr>
                <w:r>
                  <w:rPr>
                    <w:color w:val="000000"/>
                    <w:sz w:val="22"/>
                    <w:szCs w:val="22"/>
                    <w:lang w:eastAsia="zh-CN"/>
                  </w:rPr>
                  <w:t>(gamintojo</w:t>
                </w:r>
                <w:r>
                  <w:rPr>
                    <w:b/>
                    <w:bCs/>
                    <w:color w:val="000000"/>
                    <w:sz w:val="22"/>
                    <w:szCs w:val="22"/>
                    <w:lang w:eastAsia="zh-CN"/>
                  </w:rPr>
                  <w:t xml:space="preserve"> </w:t>
                </w:r>
                <w:r>
                  <w:rPr>
                    <w:color w:val="000000"/>
                    <w:sz w:val="22"/>
                    <w:szCs w:val="22"/>
                    <w:lang w:eastAsia="zh-CN"/>
                  </w:rPr>
                  <w:t>pavadinimas)</w:t>
                </w:r>
              </w:p>
              <w:p>
                <w:pPr>
                  <w:suppressAutoHyphens/>
                  <w:rPr>
                    <w:color w:val="000000"/>
                    <w:sz w:val="22"/>
                    <w:szCs w:val="22"/>
                    <w:lang w:eastAsia="zh-CN"/>
                  </w:rPr>
                </w:pPr>
                <w:r>
                  <w:rPr>
                    <w:color w:val="000000"/>
                    <w:sz w:val="22"/>
                    <w:szCs w:val="22"/>
                    <w:lang w:eastAsia="zh-CN"/>
                  </w:rPr>
                  <w:t>___________________________________________________________</w:t>
                </w:r>
              </w:p>
              <w:p>
                <w:pPr>
                  <w:suppressAutoHyphens/>
                  <w:jc w:val="center"/>
                  <w:rPr>
                    <w:color w:val="000000"/>
                    <w:sz w:val="22"/>
                    <w:szCs w:val="22"/>
                    <w:lang w:eastAsia="zh-CN"/>
                  </w:rPr>
                </w:pPr>
                <w:r>
                  <w:rPr>
                    <w:b/>
                    <w:bCs/>
                    <w:color w:val="000000"/>
                    <w:sz w:val="22"/>
                    <w:szCs w:val="22"/>
                    <w:lang w:eastAsia="zh-CN"/>
                  </w:rPr>
                  <w:t>(</w:t>
                </w:r>
                <w:r>
                  <w:rPr>
                    <w:color w:val="000000"/>
                    <w:sz w:val="22"/>
                    <w:szCs w:val="22"/>
                    <w:lang w:eastAsia="zh-CN"/>
                  </w:rPr>
                  <w:t>gamintojo juridinio asmens kodas Juridinių asmenų registre, buveinė, Nacionalinės elektroninių siuntų pristatymo naudojant pašto tinklą informacinės sistemos elektroninio pristatymo dėžutės adresas)</w:t>
                </w:r>
              </w:p>
              <w:p>
                <w:pPr>
                  <w:suppressAutoHyphens/>
                  <w:rPr>
                    <w:color w:val="000000"/>
                    <w:sz w:val="22"/>
                    <w:szCs w:val="22"/>
                    <w:lang w:eastAsia="zh-CN"/>
                  </w:rPr>
                </w:pPr>
              </w:p>
              <w:p>
                <w:pPr>
                  <w:suppressAutoHyphens/>
                  <w:rPr>
                    <w:color w:val="000000"/>
                    <w:sz w:val="22"/>
                    <w:szCs w:val="22"/>
                    <w:lang w:eastAsia="zh-CN"/>
                  </w:rPr>
                </w:pPr>
                <w:r>
                  <w:rPr>
                    <w:color w:val="000000"/>
                    <w:sz w:val="22"/>
                    <w:szCs w:val="22"/>
                    <w:lang w:eastAsia="zh-CN"/>
                  </w:rPr>
                  <w:t>___________________________________________________________</w:t>
                </w:r>
              </w:p>
              <w:p>
                <w:pPr>
                  <w:suppressAutoHyphens/>
                  <w:rPr>
                    <w:color w:val="000000"/>
                    <w:sz w:val="22"/>
                    <w:szCs w:val="22"/>
                    <w:lang w:eastAsia="zh-CN"/>
                  </w:rPr>
                </w:pPr>
                <w:r>
                  <w:rPr>
                    <w:color w:val="000000"/>
                    <w:sz w:val="22"/>
                    <w:szCs w:val="22"/>
                    <w:lang w:eastAsia="zh-CN"/>
                  </w:rPr>
                  <w:t>(gavėjo pavadinimas)</w:t>
                </w:r>
              </w:p>
            </w:tc>
          </w:tr>
          <w:tr>
            <w:trPr>
              <w:trHeight w:val="1035"/>
            </w:trPr>
            <w:tc>
              <w:tcPr>
                <w:tcW w:w="9334" w:type="dxa"/>
                <w:gridSpan w:val="4"/>
                <w:shd w:val="clear" w:color="auto" w:fill="FFFFFF" w:themeFill="background1"/>
                <w:tcMar>
                  <w:left w:w="108" w:type="dxa"/>
                  <w:right w:w="108" w:type="dxa"/>
                </w:tcMar>
              </w:tcPr>
              <w:p>
                <w:pPr>
                  <w:suppressAutoHyphens/>
                  <w:ind w:firstLine="62"/>
                  <w:rPr>
                    <w:color w:val="000000"/>
                    <w:szCs w:val="24"/>
                    <w:lang w:eastAsia="zh-CN"/>
                  </w:rPr>
                </w:pPr>
              </w:p>
              <w:p>
                <w:pPr>
                  <w:suppressAutoHyphens/>
                  <w:ind w:firstLine="567"/>
                  <w:jc w:val="center"/>
                  <w:rPr>
                    <w:b/>
                    <w:bCs/>
                    <w:color w:val="000000"/>
                    <w:szCs w:val="24"/>
                    <w:lang w:eastAsia="zh-CN"/>
                  </w:rPr>
                </w:pPr>
                <w:r>
                  <w:rPr>
                    <w:b/>
                    <w:bCs/>
                    <w:color w:val="000000"/>
                    <w:szCs w:val="24"/>
                    <w:lang w:eastAsia="zh-CN"/>
                  </w:rPr>
                  <w:t>PERDIRBTŲ INERTINIŲ STATYBINIŲ ATLIEKŲ NEBELAIKYMO ATLIEKOMIS ATITIKTIES DEKLARACIJA</w:t>
                </w:r>
              </w:p>
            </w:tc>
          </w:tr>
          <w:tr>
            <w:trPr>
              <w:trHeight w:val="300"/>
            </w:trPr>
            <w:tc>
              <w:tcPr>
                <w:tcW w:w="9334" w:type="dxa"/>
                <w:gridSpan w:val="4"/>
                <w:tcBorders>
                  <w:bottom w:val="single" w:sz="8" w:space="0" w:color="000000" w:themeColor="text1"/>
                </w:tcBorders>
                <w:shd w:val="clear" w:color="auto" w:fill="FFFFFF" w:themeFill="background1"/>
                <w:tcMar>
                  <w:left w:w="108" w:type="dxa"/>
                  <w:right w:w="108" w:type="dxa"/>
                </w:tcMar>
              </w:tcPr>
              <w:p>
                <w:pPr>
                  <w:suppressAutoHyphens/>
                  <w:jc w:val="center"/>
                  <w:rPr>
                    <w:color w:val="000000"/>
                    <w:szCs w:val="24"/>
                    <w:lang w:eastAsia="zh-CN"/>
                  </w:rPr>
                </w:pPr>
                <w:r>
                  <w:rPr>
                    <w:color w:val="000000"/>
                    <w:szCs w:val="24"/>
                    <w:lang w:eastAsia="zh-CN"/>
                  </w:rPr>
                  <w:t>________________________</w:t>
                </w:r>
              </w:p>
              <w:p>
                <w:pPr>
                  <w:suppressAutoHyphens/>
                  <w:jc w:val="center"/>
                  <w:rPr>
                    <w:color w:val="000000"/>
                    <w:sz w:val="22"/>
                    <w:szCs w:val="22"/>
                    <w:lang w:eastAsia="zh-CN"/>
                  </w:rPr>
                </w:pPr>
                <w:r>
                  <w:rPr>
                    <w:color w:val="000000"/>
                    <w:sz w:val="22"/>
                    <w:szCs w:val="22"/>
                    <w:lang w:eastAsia="zh-CN"/>
                  </w:rPr>
                  <w:t>(data ir registracijos numeris)</w:t>
                </w:r>
              </w:p>
              <w:p>
                <w:pPr>
                  <w:suppressAutoHyphens/>
                  <w:ind w:firstLine="57"/>
                  <w:jc w:val="center"/>
                  <w:rPr>
                    <w:color w:val="000000"/>
                    <w:sz w:val="22"/>
                    <w:szCs w:val="22"/>
                    <w:lang w:eastAsia="zh-CN"/>
                  </w:rPr>
                </w:pPr>
              </w:p>
            </w:tc>
          </w:tr>
          <w:tr>
            <w:trPr>
              <w:gridAfter w:val="1"/>
              <w:wAfter w:w="14" w:type="dxa"/>
              <w:trHeight w:val="300"/>
            </w:trPr>
            <w:tc>
              <w:tcPr>
                <w:tcW w:w="851"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pPr>
                  <w:suppressAutoHyphens/>
                  <w:ind w:left="720" w:hanging="360"/>
                  <w:rPr>
                    <w:color w:val="000000"/>
                    <w:szCs w:val="24"/>
                    <w:lang w:eastAsia="zh-CN"/>
                  </w:rPr>
                </w:pPr>
                <w:r>
                  <w:rPr>
                    <w:color w:val="000000"/>
                    <w:szCs w:val="24"/>
                    <w:lang w:eastAsia="zh-CN"/>
                  </w:rPr>
                  <w:t>1.</w:t>
                </w:r>
              </w:p>
            </w:tc>
            <w:tc>
              <w:tcPr>
                <w:tcW w:w="597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pPr>
                  <w:suppressAutoHyphens/>
                  <w:jc w:val="both"/>
                  <w:rPr>
                    <w:color w:val="000000"/>
                    <w:szCs w:val="24"/>
                    <w:lang w:eastAsia="zh-CN"/>
                  </w:rPr>
                </w:pPr>
                <w:r>
                  <w:rPr>
                    <w:color w:val="000000"/>
                    <w:szCs w:val="24"/>
                    <w:lang w:eastAsia="zh-CN"/>
                  </w:rPr>
                  <w:t>Iš Statybinių atliekų tvarkymo taisyklių, patvirtintų Lietuvos Respublikos aplinkos ministro 2006 m. gruodžio 19 d. įsakymu Nr. D1-637 „Dėl Statybinių atliekų tvarkymo taisyklių patvirtinimo“ (toliau – Taisyklės), 1</w:t>
                </w:r>
                <w:r>
                  <w:rPr>
                    <w:color w:val="000000"/>
                    <w:shd w:val="clear" w:color="auto" w:fill="FFFFFF"/>
                    <w:lang w:eastAsia="zh-CN"/>
                  </w:rPr>
                  <w:t> </w:t>
                </w:r>
                <w:r>
                  <w:rPr>
                    <w:color w:val="000000"/>
                    <w:szCs w:val="24"/>
                    <w:lang w:eastAsia="zh-CN"/>
                  </w:rPr>
                  <w:t>priedo 1.1</w:t>
                </w:r>
                <w:r>
                  <w:rPr>
                    <w:color w:val="000000"/>
                    <w:shd w:val="clear" w:color="auto" w:fill="FFFFFF"/>
                    <w:lang w:eastAsia="zh-CN"/>
                  </w:rPr>
                  <w:t> </w:t>
                </w:r>
                <w:r>
                  <w:rPr>
                    <w:color w:val="000000"/>
                    <w:szCs w:val="24"/>
                    <w:lang w:eastAsia="zh-CN"/>
                  </w:rPr>
                  <w:t>papunktyje nurodytų mechaniniu būdu perdirbtų atliekų gautos statyboje naudojamos grūdėtos medžiagos (toliau</w:t>
                </w:r>
                <w:r>
                  <w:rPr>
                    <w:color w:val="000000"/>
                    <w:shd w:val="clear" w:color="auto" w:fill="FFFFFF"/>
                    <w:lang w:eastAsia="zh-CN"/>
                  </w:rPr>
                  <w:t> </w:t>
                </w:r>
                <w:r>
                  <w:rPr>
                    <w:color w:val="000000"/>
                    <w:szCs w:val="24"/>
                    <w:lang w:eastAsia="zh-CN"/>
                  </w:rPr>
                  <w:t>–</w:t>
                </w:r>
                <w:r>
                  <w:rPr>
                    <w:color w:val="000000"/>
                    <w:shd w:val="clear" w:color="auto" w:fill="FFFFFF"/>
                    <w:lang w:eastAsia="zh-CN"/>
                  </w:rPr>
                  <w:t> </w:t>
                </w:r>
                <w:r>
                  <w:rPr>
                    <w:color w:val="000000"/>
                    <w:szCs w:val="24"/>
                    <w:lang w:eastAsia="zh-CN"/>
                  </w:rPr>
                  <w:t>perdirbtas statybinis produktas) pagal Taisyklių 28</w:t>
                </w:r>
                <w:r>
                  <w:rPr>
                    <w:color w:val="000000"/>
                    <w:shd w:val="clear" w:color="auto" w:fill="FFFFFF"/>
                    <w:lang w:eastAsia="zh-CN"/>
                  </w:rPr>
                  <w:t> </w:t>
                </w:r>
                <w:r>
                  <w:rPr>
                    <w:color w:val="000000"/>
                    <w:szCs w:val="24"/>
                    <w:lang w:eastAsia="zh-CN"/>
                  </w:rPr>
                  <w:t>punktą</w:t>
                </w:r>
              </w:p>
            </w:tc>
            <w:tc>
              <w:tcPr>
                <w:tcW w:w="249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pPr>
                  <w:suppressAutoHyphens/>
                  <w:ind w:firstLine="62"/>
                  <w:jc w:val="center"/>
                  <w:rPr>
                    <w:color w:val="000000"/>
                    <w:szCs w:val="24"/>
                    <w:lang w:eastAsia="zh-CN"/>
                  </w:rPr>
                </w:pPr>
              </w:p>
            </w:tc>
          </w:tr>
          <w:tr>
            <w:trPr>
              <w:gridAfter w:val="1"/>
              <w:wAfter w:w="14" w:type="dxa"/>
              <w:trHeight w:val="300"/>
            </w:trPr>
            <w:tc>
              <w:tcPr>
                <w:tcW w:w="851"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pPr>
                  <w:suppressAutoHyphens/>
                  <w:ind w:left="720" w:hanging="360"/>
                  <w:rPr>
                    <w:color w:val="000000"/>
                    <w:szCs w:val="24"/>
                    <w:lang w:eastAsia="zh-CN"/>
                  </w:rPr>
                </w:pPr>
                <w:r>
                  <w:rPr>
                    <w:color w:val="000000"/>
                    <w:szCs w:val="24"/>
                    <w:lang w:eastAsia="zh-CN"/>
                  </w:rPr>
                  <w:t>2.</w:t>
                </w:r>
              </w:p>
            </w:tc>
            <w:tc>
              <w:tcPr>
                <w:tcW w:w="597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pPr>
                  <w:suppressAutoHyphens/>
                  <w:jc w:val="both"/>
                  <w:rPr>
                    <w:color w:val="000000"/>
                    <w:szCs w:val="24"/>
                    <w:lang w:eastAsia="zh-CN"/>
                  </w:rPr>
                </w:pPr>
                <w:r>
                  <w:rPr>
                    <w:color w:val="000000"/>
                    <w:szCs w:val="24"/>
                    <w:lang w:eastAsia="zh-CN"/>
                  </w:rPr>
                  <w:t xml:space="preserve">Taisyklių 1 priedo 1.1 papunktyje nurodytų atliekų, kurias perdirbus pagamintas perdirbtas statybinis produktas, kodas ir tikslus pavadinimas </w:t>
                </w:r>
              </w:p>
            </w:tc>
            <w:tc>
              <w:tcPr>
                <w:tcW w:w="249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pPr>
                  <w:suppressAutoHyphens/>
                  <w:ind w:firstLine="62"/>
                  <w:jc w:val="center"/>
                  <w:rPr>
                    <w:color w:val="000000"/>
                    <w:szCs w:val="24"/>
                    <w:lang w:eastAsia="zh-CN"/>
                  </w:rPr>
                </w:pPr>
              </w:p>
            </w:tc>
          </w:tr>
          <w:tr>
            <w:trPr>
              <w:gridAfter w:val="1"/>
              <w:wAfter w:w="14" w:type="dxa"/>
              <w:trHeight w:val="300"/>
            </w:trPr>
            <w:tc>
              <w:tcPr>
                <w:tcW w:w="851"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pPr>
                  <w:suppressAutoHyphens/>
                  <w:ind w:left="720" w:hanging="360"/>
                  <w:rPr>
                    <w:color w:val="000000"/>
                    <w:szCs w:val="24"/>
                    <w:lang w:eastAsia="zh-CN"/>
                  </w:rPr>
                </w:pPr>
                <w:r>
                  <w:rPr>
                    <w:color w:val="000000"/>
                    <w:szCs w:val="24"/>
                    <w:lang w:eastAsia="zh-CN"/>
                  </w:rPr>
                  <w:t>3.</w:t>
                </w:r>
              </w:p>
            </w:tc>
            <w:tc>
              <w:tcPr>
                <w:tcW w:w="597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pPr>
                  <w:suppressAutoHyphens/>
                  <w:jc w:val="both"/>
                  <w:rPr>
                    <w:color w:val="000000"/>
                    <w:szCs w:val="24"/>
                    <w:lang w:eastAsia="zh-CN"/>
                  </w:rPr>
                </w:pPr>
                <w:r>
                  <w:rPr>
                    <w:color w:val="000000"/>
                    <w:szCs w:val="24"/>
                    <w:lang w:eastAsia="zh-CN"/>
                  </w:rPr>
                  <w:t>Siuntos masė (t)</w:t>
                </w:r>
              </w:p>
            </w:tc>
            <w:tc>
              <w:tcPr>
                <w:tcW w:w="249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pPr>
                  <w:suppressAutoHyphens/>
                  <w:ind w:firstLine="62"/>
                  <w:jc w:val="center"/>
                  <w:rPr>
                    <w:color w:val="000000"/>
                    <w:szCs w:val="24"/>
                    <w:lang w:eastAsia="zh-CN"/>
                  </w:rPr>
                </w:pPr>
              </w:p>
            </w:tc>
          </w:tr>
          <w:tr>
            <w:trPr>
              <w:gridAfter w:val="1"/>
              <w:wAfter w:w="14" w:type="dxa"/>
              <w:trHeight w:val="300"/>
            </w:trPr>
            <w:tc>
              <w:tcPr>
                <w:tcW w:w="851"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pPr>
                  <w:suppressAutoHyphens/>
                  <w:ind w:left="720" w:hanging="360"/>
                  <w:rPr>
                    <w:color w:val="000000"/>
                    <w:szCs w:val="24"/>
                    <w:lang w:eastAsia="zh-CN"/>
                  </w:rPr>
                </w:pPr>
                <w:r>
                  <w:rPr>
                    <w:color w:val="000000"/>
                    <w:szCs w:val="24"/>
                    <w:lang w:eastAsia="zh-CN"/>
                  </w:rPr>
                  <w:t>4.</w:t>
                </w:r>
              </w:p>
            </w:tc>
            <w:tc>
              <w:tcPr>
                <w:tcW w:w="597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pPr>
                  <w:suppressAutoHyphens/>
                  <w:jc w:val="both"/>
                  <w:rPr>
                    <w:color w:val="000000"/>
                    <w:szCs w:val="24"/>
                    <w:lang w:eastAsia="zh-CN"/>
                  </w:rPr>
                </w:pPr>
                <w:r>
                  <w:rPr>
                    <w:color w:val="000000"/>
                    <w:szCs w:val="24"/>
                    <w:lang w:eastAsia="zh-CN"/>
                  </w:rPr>
                  <w:t>Naudojimo paskirtis (pildoma perduodant Taisyklių 1</w:t>
                </w:r>
                <w:r>
                  <w:rPr>
                    <w:color w:val="000000"/>
                    <w:shd w:val="clear" w:color="auto" w:fill="FFFFFF"/>
                    <w:lang w:eastAsia="zh-CN"/>
                  </w:rPr>
                  <w:t> </w:t>
                </w:r>
                <w:r>
                  <w:rPr>
                    <w:color w:val="000000"/>
                    <w:szCs w:val="24"/>
                    <w:lang w:eastAsia="zh-CN"/>
                  </w:rPr>
                  <w:t>priedo 3.1.2 papunktyje nurodytas medžiagas)</w:t>
                </w:r>
              </w:p>
            </w:tc>
            <w:tc>
              <w:tcPr>
                <w:tcW w:w="249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pPr>
                  <w:suppressAutoHyphens/>
                  <w:ind w:firstLine="62"/>
                  <w:jc w:val="center"/>
                  <w:rPr>
                    <w:color w:val="000000"/>
                    <w:szCs w:val="24"/>
                    <w:lang w:eastAsia="zh-CN"/>
                  </w:rPr>
                </w:pPr>
              </w:p>
            </w:tc>
          </w:tr>
          <w:tr>
            <w:trPr>
              <w:gridAfter w:val="1"/>
              <w:wAfter w:w="14" w:type="dxa"/>
              <w:trHeight w:val="240"/>
            </w:trPr>
            <w:tc>
              <w:tcPr>
                <w:tcW w:w="851"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pPr>
                  <w:suppressAutoHyphens/>
                  <w:ind w:left="720" w:hanging="360"/>
                  <w:rPr>
                    <w:color w:val="000000"/>
                    <w:szCs w:val="24"/>
                    <w:lang w:eastAsia="zh-CN"/>
                  </w:rPr>
                </w:pPr>
                <w:r>
                  <w:rPr>
                    <w:color w:val="000000"/>
                    <w:szCs w:val="24"/>
                    <w:lang w:eastAsia="zh-CN"/>
                  </w:rPr>
                  <w:t>5.</w:t>
                </w:r>
              </w:p>
            </w:tc>
            <w:tc>
              <w:tcPr>
                <w:tcW w:w="597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pPr>
                  <w:suppressAutoHyphens/>
                  <w:jc w:val="both"/>
                  <w:rPr>
                    <w:color w:val="000000"/>
                    <w:szCs w:val="24"/>
                    <w:lang w:eastAsia="zh-CN"/>
                  </w:rPr>
                </w:pPr>
                <w:r>
                  <w:rPr>
                    <w:color w:val="000000"/>
                    <w:szCs w:val="24"/>
                    <w:lang w:eastAsia="zh-CN"/>
                  </w:rPr>
                  <w:t>Kita informacija</w:t>
                </w:r>
              </w:p>
            </w:tc>
            <w:tc>
              <w:tcPr>
                <w:tcW w:w="249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left w:w="108" w:type="dxa"/>
                  <w:right w:w="108" w:type="dxa"/>
                </w:tcMar>
              </w:tcPr>
              <w:p>
                <w:pPr>
                  <w:suppressAutoHyphens/>
                  <w:ind w:firstLine="62"/>
                  <w:jc w:val="center"/>
                  <w:rPr>
                    <w:color w:val="000000"/>
                    <w:szCs w:val="24"/>
                    <w:lang w:eastAsia="zh-CN"/>
                  </w:rPr>
                </w:pPr>
              </w:p>
            </w:tc>
          </w:tr>
          <w:tr>
            <w:trPr>
              <w:trHeight w:val="3045"/>
            </w:trPr>
            <w:tc>
              <w:tcPr>
                <w:tcW w:w="9334" w:type="dxa"/>
                <w:gridSpan w:val="4"/>
                <w:shd w:val="clear" w:color="auto" w:fill="FFFFFF" w:themeFill="background1"/>
                <w:tcMar>
                  <w:left w:w="108" w:type="dxa"/>
                  <w:right w:w="108" w:type="dxa"/>
                </w:tcMar>
              </w:tcPr>
              <w:p>
                <w:pPr>
                  <w:suppressAutoHyphens/>
                  <w:ind w:firstLine="62"/>
                  <w:rPr>
                    <w:color w:val="000000"/>
                    <w:szCs w:val="24"/>
                    <w:lang w:eastAsia="zh-CN"/>
                  </w:rPr>
                </w:pPr>
              </w:p>
              <w:p>
                <w:pPr>
                  <w:tabs>
                    <w:tab w:val="left" w:pos="0"/>
                    <w:tab w:val="left" w:pos="606"/>
                  </w:tabs>
                  <w:suppressAutoHyphens/>
                  <w:ind w:firstLine="567"/>
                  <w:jc w:val="both"/>
                  <w:rPr>
                    <w:color w:val="000000"/>
                    <w:szCs w:val="24"/>
                    <w:lang w:eastAsia="zh-CN"/>
                  </w:rPr>
                </w:pPr>
                <w:r>
                  <w:rPr>
                    <w:color w:val="000000"/>
                    <w:szCs w:val="24"/>
                    <w:lang w:eastAsia="zh-CN"/>
                  </w:rPr>
                  <w:t>Patvirtinu, kad:</w:t>
                </w:r>
              </w:p>
              <w:p>
                <w:pPr>
                  <w:tabs>
                    <w:tab w:val="left" w:pos="0"/>
                    <w:tab w:val="left" w:pos="606"/>
                  </w:tabs>
                  <w:suppressAutoHyphens/>
                  <w:ind w:firstLine="567"/>
                  <w:jc w:val="both"/>
                  <w:rPr>
                    <w:color w:val="000000"/>
                    <w:szCs w:val="24"/>
                    <w:lang w:eastAsia="zh-CN"/>
                  </w:rPr>
                </w:pPr>
                <w:r>
                  <w:rPr>
                    <w:color w:val="000000"/>
                    <w:szCs w:val="24"/>
                    <w:lang w:eastAsia="zh-CN"/>
                  </w:rPr>
                  <w:t>1. šis perdirbtas statybinis produktas atitinka Taisyklių 1 priede nurodytus reikalavimus;</w:t>
                </w:r>
              </w:p>
              <w:p>
                <w:pPr>
                  <w:suppressAutoHyphens/>
                  <w:ind w:firstLine="567"/>
                  <w:rPr>
                    <w:color w:val="000000"/>
                    <w:szCs w:val="24"/>
                    <w:lang w:eastAsia="zh-CN"/>
                  </w:rPr>
                </w:pPr>
                <w:r>
                  <w:rPr>
                    <w:color w:val="000000"/>
                    <w:szCs w:val="24"/>
                    <w:lang w:eastAsia="zh-CN"/>
                  </w:rPr>
                  <w:t>2. deklaracijoje pateikta informacija yra išsami ir teisinga.</w:t>
                </w:r>
              </w:p>
              <w:p>
                <w:pPr>
                  <w:tabs>
                    <w:tab w:val="left" w:pos="0"/>
                    <w:tab w:val="left" w:pos="1276"/>
                    <w:tab w:val="left" w:pos="1843"/>
                  </w:tabs>
                  <w:suppressAutoHyphens/>
                  <w:ind w:firstLine="629"/>
                  <w:jc w:val="both"/>
                  <w:rPr>
                    <w:color w:val="000000"/>
                    <w:szCs w:val="24"/>
                    <w:lang w:eastAsia="zh-CN"/>
                  </w:rPr>
                </w:pPr>
              </w:p>
              <w:p>
                <w:pPr>
                  <w:tabs>
                    <w:tab w:val="left" w:pos="0"/>
                    <w:tab w:val="left" w:pos="1276"/>
                    <w:tab w:val="left" w:pos="1843"/>
                  </w:tabs>
                  <w:suppressAutoHyphens/>
                  <w:ind w:firstLine="567"/>
                  <w:jc w:val="both"/>
                  <w:rPr>
                    <w:color w:val="000000"/>
                    <w:szCs w:val="24"/>
                    <w:lang w:eastAsia="zh-CN"/>
                  </w:rPr>
                </w:pPr>
                <w:r>
                  <w:rPr>
                    <w:color w:val="000000"/>
                    <w:szCs w:val="24"/>
                    <w:lang w:eastAsia="zh-CN"/>
                  </w:rPr>
                  <w:t xml:space="preserve">PRIDEDAMA: </w:t>
                </w:r>
              </w:p>
              <w:p>
                <w:pPr>
                  <w:tabs>
                    <w:tab w:val="left" w:pos="975"/>
                  </w:tabs>
                  <w:suppressAutoHyphens/>
                  <w:ind w:left="37" w:firstLine="593"/>
                  <w:jc w:val="both"/>
                  <w:rPr>
                    <w:color w:val="000000"/>
                    <w:lang w:eastAsia="zh-CN"/>
                  </w:rPr>
                </w:pPr>
                <w:r>
                  <w:rPr>
                    <w:rFonts w:ascii="Calibri" w:eastAsia="Calibri" w:hAnsi="Calibri"/>
                    <w:color w:val="000000"/>
                    <w:sz w:val="22"/>
                    <w:szCs w:val="22"/>
                  </w:rPr>
                  <w:t>1.</w:t>
                  <w:tab/>
                </w:r>
                <w:r>
                  <w:rPr>
                    <w:color w:val="000000"/>
                    <w:szCs w:val="24"/>
                    <w:lang w:eastAsia="zh-CN"/>
                  </w:rPr>
                  <w:t>Eksploatacinių savybių deklaracija (lietuvių kalba), parengta pagal Taisyklių 29</w:t>
                </w:r>
                <w:r>
                  <w:rPr>
                    <w:color w:val="000000"/>
                    <w:shd w:val="clear" w:color="auto" w:fill="FFFFFF"/>
                    <w:lang w:eastAsia="zh-CN"/>
                  </w:rPr>
                  <w:t> </w:t>
                </w:r>
                <w:r>
                  <w:rPr>
                    <w:color w:val="000000"/>
                    <w:szCs w:val="24"/>
                    <w:lang w:eastAsia="zh-CN"/>
                  </w:rPr>
                  <w:t>punkte nurodytus teisės aktus (netaikoma perduodant Taisyklių 1 priedo 3.1.2 papunktyje nurodytas medžiagas).</w:t>
                </w:r>
              </w:p>
              <w:p>
                <w:pPr>
                  <w:tabs>
                    <w:tab w:val="left" w:pos="990"/>
                  </w:tabs>
                  <w:suppressAutoHyphens/>
                  <w:ind w:left="37" w:firstLine="530"/>
                  <w:jc w:val="both"/>
                  <w:rPr>
                    <w:color w:val="000000"/>
                    <w:lang w:eastAsia="zh-CN"/>
                  </w:rPr>
                </w:pPr>
                <w:r>
                  <w:rPr>
                    <w:rFonts w:ascii="Calibri" w:eastAsia="Calibri" w:hAnsi="Calibri"/>
                    <w:color w:val="000000"/>
                    <w:sz w:val="22"/>
                    <w:szCs w:val="22"/>
                  </w:rPr>
                  <w:t>2.</w:t>
                  <w:tab/>
                </w:r>
                <w:r>
                  <w:rPr>
                    <w:color w:val="000000"/>
                    <w:szCs w:val="24"/>
                    <w:lang w:eastAsia="zh-CN"/>
                  </w:rPr>
                  <w:t>Kiti Taisyklių 37 punkte nurodyti dokumentai.</w:t>
                </w:r>
              </w:p>
              <w:p>
                <w:pPr>
                  <w:tabs>
                    <w:tab w:val="left" w:pos="746"/>
                  </w:tabs>
                  <w:suppressAutoHyphens/>
                  <w:spacing w:line="276" w:lineRule="auto"/>
                  <w:jc w:val="both"/>
                  <w:rPr>
                    <w:rFonts w:ascii="Calibri" w:eastAsia="Calibri" w:hAnsi="Calibri" w:cs="Calibri"/>
                    <w:b/>
                    <w:bCs/>
                    <w:color w:val="000000"/>
                    <w:sz w:val="22"/>
                    <w:szCs w:val="22"/>
                    <w:lang w:eastAsia="zh-CN"/>
                  </w:rPr>
                </w:pPr>
                <w:r>
                  <w:rPr>
                    <w:rFonts w:ascii="Calibri" w:eastAsia="Calibri" w:hAnsi="Calibri" w:cs="Calibri"/>
                    <w:b/>
                    <w:bCs/>
                    <w:color w:val="000000"/>
                    <w:sz w:val="22"/>
                    <w:szCs w:val="22"/>
                    <w:lang w:eastAsia="zh-CN"/>
                  </w:rPr>
                  <w:t xml:space="preserve">___________________________________________________________              _________________</w:t>
                </w:r>
              </w:p>
              <w:p>
                <w:pPr>
                  <w:suppressAutoHyphens/>
                  <w:ind w:firstLine="342"/>
                  <w:jc w:val="both"/>
                  <w:rPr>
                    <w:color w:val="000000"/>
                    <w:sz w:val="22"/>
                    <w:szCs w:val="22"/>
                    <w:lang w:eastAsia="zh-CN"/>
                  </w:rPr>
                </w:pPr>
                <w:r>
                  <w:rPr>
                    <w:color w:val="000000"/>
                    <w:sz w:val="22"/>
                    <w:szCs w:val="22"/>
                    <w:lang w:eastAsia="zh-CN"/>
                  </w:rPr>
                  <w:t xml:space="preserve">(vadovo arba įgalioto asmens pareigos asmens vardas, pavardė)                                    (parašas)</w:t>
                </w:r>
              </w:p>
              <w:p>
                <w:pPr>
                  <w:suppressAutoHyphens/>
                  <w:ind w:firstLine="124"/>
                  <w:jc w:val="center"/>
                  <w:rPr>
                    <w:color w:val="000000"/>
                    <w:szCs w:val="24"/>
                    <w:lang w:eastAsia="zh-CN"/>
                  </w:rPr>
                </w:pPr>
              </w:p>
              <w:p>
                <w:pPr>
                  <w:suppressAutoHyphens/>
                  <w:jc w:val="center"/>
                  <w:rPr>
                    <w:color w:val="000000"/>
                    <w:szCs w:val="24"/>
                    <w:lang w:eastAsia="zh-CN"/>
                  </w:rPr>
                </w:pPr>
                <w:r>
                  <w:rPr>
                    <w:color w:val="000000"/>
                    <w:szCs w:val="24"/>
                    <w:lang w:eastAsia="zh-CN"/>
                  </w:rPr>
                  <w:t>__________________________________</w:t>
                </w:r>
              </w:p>
              <w:p>
                <w:pPr>
                  <w:suppressAutoHyphens/>
                  <w:jc w:val="center"/>
                  <w:rPr>
                    <w:color w:val="000000"/>
                    <w:szCs w:val="24"/>
                    <w:lang w:eastAsia="zh-CN"/>
                  </w:rPr>
                </w:pPr>
              </w:p>
            </w:tc>
          </w:tr>
        </w:tbl>
        <w:p>
          <w:pPr>
            <w:tabs>
              <w:tab w:val="center" w:pos="4153"/>
              <w:tab w:val="right" w:pos="9100"/>
            </w:tabs>
            <w:suppressAutoHyphen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005b0ea7511ee9f5b8ffa077f9188">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2024-03-25,
paskelbta TAR 2024-03-25, i. k. 2024-05293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ad371114211f08e9f87c0d053bf09">
            <w:r w:rsidRPr="00532B9F">
              <w:rPr>
                <w:rFonts w:ascii="Times New Roman" w:eastAsia="MS Mincho" w:hAnsi="Times New Roman"/>
                <w:sz w:val="20"/>
                <w:i/>
                <w:iCs/>
                <w:color w:val="0000FF" w:themeColor="hyperlink"/>
                <w:u w:val="single"/>
              </w:rPr>
              <w:t>D1-43</w:t>
            </w:r>
          </w:fldSimple>
          <w:r>
            <w:rPr>
              <w:rFonts w:ascii="Times New Roman" w:eastAsia="MS Mincho" w:hAnsi="Times New Roman"/>
              <w:sz w:val="20"/>
              <w:i/>
              <w:iCs/>
            </w:rPr>
            <w:t>,
2025-04-04,
paskelbta TAR 2025-04-04, i. k. 2025-05980            </w:t>
          </w:r>
        </w:p>
        <w:p/>
      </w:sdtContent>
    </w:sdt>
    <w:sdt>
      <w:sdtPr>
        <w:alias w:val="3 pr."/>
        <w:tag w:val="part_7f29f8eee14b42ef8c69ee524fac57ea"/>
        <w:lock w:val="sdtLocked"/>
        <w:richText/>
      </w:sdtPr>
      <w:sdtContent>
        <w:p>
          <w:pPr>
            <w:tabs>
              <w:tab w:val="left" w:pos="1276"/>
              <w:tab w:val="left" w:pos="1843"/>
            </w:tabs>
            <w:suppressAutoHyphens/>
            <w:jc w:val="both"/>
            <w:rPr>
              <w:szCs w:val="24"/>
              <w:lang w:eastAsia="lt-LT"/>
            </w:rPr>
            <w:sectPr>
              <w:pgSz w:w="11900" w:h="16840"/>
              <w:pgMar w:top="1134" w:right="567" w:bottom="1134" w:left="1701" w:header="0" w:footer="210" w:gutter="0"/>
              <w:pgNumType w:start="1"/>
              <w:cols w:space="1296"/>
              <w:titlePg/>
              <w:docGrid w:linePitch="299"/>
            </w:sectPr>
          </w:pPr>
        </w:p>
        <w:p>
          <w:pPr>
            <w:widowControl w:val="0"/>
            <w:tabs>
              <w:tab w:val="left" w:pos="8821"/>
            </w:tabs>
            <w:suppressAutoHyphens/>
            <w:ind w:left="6237" w:firstLine="567"/>
            <w:rPr>
              <w:rFonts w:eastAsia="Arial"/>
              <w:szCs w:val="24"/>
              <w:lang w:eastAsia="zh-CN"/>
            </w:rPr>
          </w:pPr>
          <w:r>
            <w:rPr>
              <w:rFonts w:eastAsia="Arial"/>
              <w:szCs w:val="24"/>
              <w:lang w:eastAsia="zh-CN"/>
            </w:rPr>
            <w:t xml:space="preserve">Statybinių atliekų </w:t>
          </w:r>
        </w:p>
        <w:p>
          <w:pPr>
            <w:widowControl w:val="0"/>
            <w:tabs>
              <w:tab w:val="left" w:pos="8821"/>
            </w:tabs>
            <w:suppressAutoHyphens/>
            <w:ind w:left="6237" w:firstLine="567"/>
            <w:rPr>
              <w:rFonts w:eastAsia="Arial"/>
              <w:szCs w:val="24"/>
              <w:lang w:eastAsia="zh-CN"/>
            </w:rPr>
          </w:pPr>
          <w:r>
            <w:rPr>
              <w:rFonts w:eastAsia="Arial"/>
              <w:szCs w:val="24"/>
              <w:lang w:eastAsia="zh-CN"/>
            </w:rPr>
            <w:t>tvarkymo taisyklių</w:t>
          </w:r>
        </w:p>
        <w:p>
          <w:pPr>
            <w:widowControl w:val="0"/>
            <w:tabs>
              <w:tab w:val="left" w:pos="8821"/>
            </w:tabs>
            <w:suppressAutoHyphens/>
            <w:ind w:left="6237" w:firstLine="567"/>
            <w:rPr>
              <w:rFonts w:eastAsia="Arial"/>
              <w:szCs w:val="24"/>
              <w:lang w:eastAsia="zh-CN"/>
            </w:rPr>
          </w:pPr>
          <w:sdt>
            <w:sdtPr>
              <w:alias w:val="Numeris"/>
              <w:tag w:val="nr_7f29f8eee14b42ef8c69ee524fac57ea"/>
              <w:lock w:val="sdtLocked"/>
              <w:richText/>
            </w:sdtPr>
            <w:sdtContent>
              <w:r>
                <w:rPr>
                  <w:rFonts w:eastAsia="Arial"/>
                  <w:szCs w:val="24"/>
                  <w:lang w:eastAsia="zh-CN"/>
                </w:rPr>
                <w:t>3</w:t>
              </w:r>
            </w:sdtContent>
          </w:sdt>
          <w:r>
            <w:rPr>
              <w:rFonts w:eastAsia="Arial"/>
              <w:szCs w:val="24"/>
              <w:lang w:eastAsia="zh-CN"/>
            </w:rPr>
            <w:t xml:space="preserve"> priedas</w:t>
          </w:r>
        </w:p>
        <w:p>
          <w:pPr>
            <w:suppressAutoHyphens/>
            <w:jc w:val="center"/>
            <w:rPr>
              <w:szCs w:val="24"/>
              <w:lang w:eastAsia="lt-LT"/>
            </w:rPr>
          </w:pPr>
        </w:p>
        <w:p>
          <w:pPr>
            <w:suppressAutoHyphens/>
            <w:jc w:val="center"/>
            <w:rPr>
              <w:b/>
              <w:bCs/>
              <w:lang w:eastAsia="lt-LT"/>
            </w:rPr>
          </w:pPr>
          <w:r>
            <w:rPr>
              <w:b/>
              <w:bCs/>
              <w:lang w:eastAsia="lt-LT"/>
            </w:rPr>
            <w:t>(Prašymo pratęsti perdirbto inertinio statybinio produkto naudojimo terminą forma)</w:t>
          </w:r>
        </w:p>
        <w:tbl>
          <w:tblPr>
            <w:tblW w:w="9208" w:type="dxa"/>
            <w:tblLayout w:type="fixed"/>
            <w:tblLook w:val="04A0" w:firstRow="1" w:lastRow="0" w:firstColumn="1" w:lastColumn="0" w:noHBand="0" w:noVBand="1"/>
          </w:tblPr>
          <w:tblGrid>
            <w:gridCol w:w="2302"/>
            <w:gridCol w:w="2302"/>
            <w:gridCol w:w="2302"/>
            <w:gridCol w:w="2302"/>
          </w:tblGrid>
          <w:tr>
            <w:trPr>
              <w:trHeight w:val="1449"/>
            </w:trPr>
            <w:tc>
              <w:tcPr>
                <w:tcW w:w="2302" w:type="dxa"/>
                <w:shd w:val="clear" w:color="auto" w:fill="FFFFFF" w:themeFill="background1"/>
              </w:tcPr>
              <w:p>
                <w:pPr>
                  <w:suppressAutoHyphens/>
                  <w:overflowPunct w:val="0"/>
                  <w:jc w:val="center"/>
                  <w:textAlignment w:val="baseline"/>
                  <w:rPr>
                    <w:szCs w:val="24"/>
                    <w:lang w:eastAsia="lt-LT"/>
                  </w:rPr>
                </w:pPr>
              </w:p>
              <w:p>
                <w:pPr>
                  <w:suppressAutoHyphens/>
                  <w:overflowPunct w:val="0"/>
                  <w:jc w:val="center"/>
                  <w:textAlignment w:val="baseline"/>
                  <w:rPr>
                    <w:szCs w:val="24"/>
                    <w:lang w:eastAsia="lt-LT"/>
                  </w:rPr>
                </w:pPr>
                <w:r>
                  <w:rPr>
                    <w:szCs w:val="24"/>
                    <w:lang w:eastAsia="lt-LT"/>
                  </w:rPr>
                  <w:t>Herbas</w:t>
                </w:r>
                <w:r>
                  <w:rPr>
                    <w:i/>
                    <w:iCs/>
                    <w:szCs w:val="24"/>
                    <w:lang w:eastAsia="lt-LT"/>
                  </w:rPr>
                  <w:t xml:space="preserve"> </w:t>
                </w:r>
                <w:r>
                  <w:rPr>
                    <w:szCs w:val="24"/>
                    <w:lang w:eastAsia="lt-LT"/>
                  </w:rPr>
                  <w:t>arba prekių ženklas</w:t>
                </w:r>
              </w:p>
            </w:tc>
            <w:tc>
              <w:tcPr>
                <w:tcW w:w="6906" w:type="dxa"/>
                <w:gridSpan w:val="3"/>
                <w:shd w:val="clear" w:color="auto" w:fill="FFFFFF" w:themeFill="background1"/>
              </w:tcPr>
              <w:p>
                <w:pPr>
                  <w:suppressAutoHyphens/>
                  <w:overflowPunct w:val="0"/>
                  <w:ind w:right="-112"/>
                  <w:jc w:val="center"/>
                  <w:textAlignment w:val="baseline"/>
                  <w:rPr>
                    <w:sz w:val="22"/>
                    <w:szCs w:val="22"/>
                    <w:lang w:eastAsia="lt-LT"/>
                  </w:rPr>
                </w:pPr>
              </w:p>
              <w:p>
                <w:pPr>
                  <w:suppressAutoHyphens/>
                  <w:overflowPunct w:val="0"/>
                  <w:jc w:val="center"/>
                  <w:textAlignment w:val="baseline"/>
                  <w:rPr>
                    <w:szCs w:val="24"/>
                    <w:lang w:eastAsia="lt-LT"/>
                  </w:rPr>
                </w:pPr>
                <w:r>
                  <w:rPr>
                    <w:szCs w:val="24"/>
                    <w:lang w:eastAsia="lt-LT"/>
                  </w:rPr>
                  <w:t>_____________________________________________________</w:t>
                </w:r>
              </w:p>
              <w:p>
                <w:pPr>
                  <w:suppressAutoHyphens/>
                  <w:overflowPunct w:val="0"/>
                  <w:jc w:val="center"/>
                  <w:textAlignment w:val="baseline"/>
                  <w:rPr>
                    <w:sz w:val="22"/>
                    <w:szCs w:val="22"/>
                    <w:lang w:eastAsia="lt-LT"/>
                  </w:rPr>
                </w:pPr>
                <w:r>
                  <w:rPr>
                    <w:sz w:val="22"/>
                    <w:szCs w:val="22"/>
                    <w:lang w:eastAsia="lt-LT"/>
                  </w:rPr>
                  <w:t xml:space="preserve">(juridinio asmens  pavadinimas)</w:t>
                </w:r>
              </w:p>
              <w:p>
                <w:pPr>
                  <w:suppressAutoHyphens/>
                  <w:overflowPunct w:val="0"/>
                  <w:jc w:val="center"/>
                  <w:textAlignment w:val="baseline"/>
                  <w:rPr>
                    <w:szCs w:val="24"/>
                    <w:lang w:eastAsia="lt-LT"/>
                  </w:rPr>
                </w:pPr>
                <w:r>
                  <w:rPr>
                    <w:szCs w:val="24"/>
                    <w:lang w:eastAsia="lt-LT"/>
                  </w:rPr>
                  <w:t>____________________________________________________</w:t>
                </w:r>
              </w:p>
              <w:p>
                <w:pPr>
                  <w:suppressAutoHyphens/>
                  <w:overflowPunct w:val="0"/>
                  <w:jc w:val="center"/>
                  <w:textAlignment w:val="baseline"/>
                  <w:rPr>
                    <w:sz w:val="22"/>
                    <w:szCs w:val="22"/>
                    <w:lang w:eastAsia="lt-LT"/>
                  </w:rPr>
                </w:pPr>
                <w:r>
                  <w:rPr>
                    <w:sz w:val="22"/>
                    <w:szCs w:val="22"/>
                    <w:lang w:eastAsia="lt-LT"/>
                  </w:rPr>
                  <w:t>(juridinio asmens kodas ar individualios veiklos pažymos numeris)</w:t>
                </w:r>
              </w:p>
            </w:tc>
          </w:tr>
          <w:tr>
            <w:tc>
              <w:tcPr>
                <w:tcW w:w="4604" w:type="dxa"/>
                <w:gridSpan w:val="2"/>
                <w:shd w:val="clear" w:color="auto" w:fill="auto"/>
                <w:hideMark/>
              </w:tcPr>
              <w:p>
                <w:pPr>
                  <w:suppressAutoHyphens/>
                  <w:overflowPunct w:val="0"/>
                  <w:textAlignment w:val="baseline"/>
                  <w:rPr>
                    <w:b/>
                    <w:szCs w:val="24"/>
                    <w:lang w:eastAsia="lt-LT"/>
                  </w:rPr>
                </w:pPr>
                <w:r>
                  <w:rPr>
                    <w:b/>
                    <w:szCs w:val="24"/>
                    <w:lang w:eastAsia="lt-LT"/>
                  </w:rPr>
                  <w:t>Aplinkos apsaugos departamentui prie Aplinkos ministerijos</w:t>
                </w:r>
              </w:p>
            </w:tc>
            <w:tc>
              <w:tcPr>
                <w:tcW w:w="2302" w:type="dxa"/>
                <w:shd w:val="clear" w:color="auto" w:fill="auto"/>
              </w:tcPr>
              <w:p>
                <w:pPr>
                  <w:suppressAutoHyphens/>
                  <w:overflowPunct w:val="0"/>
                  <w:jc w:val="center"/>
                  <w:textAlignment w:val="baseline"/>
                  <w:rPr>
                    <w:sz w:val="22"/>
                    <w:szCs w:val="22"/>
                    <w:lang w:eastAsia="lt-LT"/>
                  </w:rPr>
                </w:pPr>
              </w:p>
            </w:tc>
            <w:tc>
              <w:tcPr>
                <w:tcW w:w="2302" w:type="dxa"/>
                <w:shd w:val="clear" w:color="auto" w:fill="auto"/>
              </w:tcPr>
              <w:p>
                <w:pPr>
                  <w:suppressAutoHyphens/>
                  <w:overflowPunct w:val="0"/>
                  <w:ind w:right="-112"/>
                  <w:jc w:val="center"/>
                  <w:textAlignment w:val="baseline"/>
                  <w:rPr>
                    <w:sz w:val="22"/>
                    <w:szCs w:val="22"/>
                    <w:lang w:eastAsia="lt-LT"/>
                  </w:rPr>
                </w:pPr>
              </w:p>
            </w:tc>
          </w:tr>
          <w:tr>
            <w:tc>
              <w:tcPr>
                <w:tcW w:w="9208" w:type="dxa"/>
                <w:gridSpan w:val="4"/>
                <w:shd w:val="clear" w:color="auto" w:fill="auto"/>
              </w:tcPr>
              <w:p>
                <w:pPr>
                  <w:suppressAutoHyphens/>
                  <w:overflowPunct w:val="0"/>
                  <w:textAlignment w:val="baseline"/>
                  <w:rPr>
                    <w:b/>
                    <w:bCs/>
                    <w:lang w:eastAsia="lt-LT"/>
                  </w:rPr>
                </w:pPr>
              </w:p>
              <w:p>
                <w:pPr>
                  <w:suppressAutoHyphens/>
                  <w:jc w:val="center"/>
                  <w:rPr>
                    <w:b/>
                    <w:bCs/>
                    <w:lang w:eastAsia="lt-LT"/>
                  </w:rPr>
                </w:pPr>
                <w:r>
                  <w:rPr>
                    <w:b/>
                    <w:bCs/>
                    <w:lang w:eastAsia="lt-LT"/>
                  </w:rPr>
                  <w:t>PRAŠYMAS PRATĘSTI PERDIRBTO INERTINIO STATYBINIO PRODUKTO NAUDOJIMO TERMINĄ</w:t>
                </w:r>
              </w:p>
              <w:p>
                <w:pPr>
                  <w:suppressAutoHyphens/>
                  <w:overflowPunct w:val="0"/>
                  <w:jc w:val="center"/>
                  <w:textAlignment w:val="baseline"/>
                  <w:rPr>
                    <w:lang w:eastAsia="lt-LT"/>
                  </w:rPr>
                </w:pPr>
                <w:r>
                  <w:rPr>
                    <w:lang w:eastAsia="lt-LT"/>
                  </w:rPr>
                  <w:t>_______________________</w:t>
                </w:r>
              </w:p>
              <w:p>
                <w:pPr>
                  <w:suppressAutoHyphens/>
                  <w:overflowPunct w:val="0"/>
                  <w:jc w:val="center"/>
                  <w:textAlignment w:val="baseline"/>
                  <w:rPr>
                    <w:sz w:val="22"/>
                    <w:szCs w:val="22"/>
                    <w:lang w:eastAsia="lt-LT"/>
                  </w:rPr>
                </w:pPr>
                <w:r>
                  <w:rPr>
                    <w:sz w:val="22"/>
                    <w:szCs w:val="22"/>
                    <w:lang w:eastAsia="lt-LT"/>
                  </w:rPr>
                  <w:t>(data ir registracijos numeris)</w:t>
                </w:r>
              </w:p>
            </w:tc>
          </w:tr>
          <w:tr>
            <w:tc>
              <w:tcPr>
                <w:tcW w:w="9208" w:type="dxa"/>
                <w:gridSpan w:val="4"/>
                <w:shd w:val="clear" w:color="auto" w:fill="auto"/>
              </w:tcPr>
              <w:p>
                <w:pPr>
                  <w:suppressAutoHyphens/>
                  <w:overflowPunct w:val="0"/>
                  <w:jc w:val="center"/>
                  <w:textAlignment w:val="baseline"/>
                  <w:rPr>
                    <w:lang w:eastAsia="lt-LT"/>
                  </w:rPr>
                </w:pPr>
              </w:p>
              <w:p>
                <w:pPr>
                  <w:widowControl w:val="0"/>
                  <w:tabs>
                    <w:tab w:val="left" w:pos="606"/>
                    <w:tab w:val="left" w:pos="851"/>
                  </w:tabs>
                  <w:suppressAutoHyphens/>
                  <w:jc w:val="both"/>
                  <w:rPr>
                    <w:lang w:eastAsia="lt-LT"/>
                  </w:rPr>
                </w:pPr>
                <w:r>
                  <w:rPr>
                    <w:rFonts w:eastAsia="Arial"/>
                    <w:lang w:eastAsia="zh-CN"/>
                  </w:rPr>
                  <w:t xml:space="preserve">Prašau pratęsti </w:t>
                </w:r>
                <w:r>
                  <w:rPr>
                    <w:lang w:eastAsia="lt-LT"/>
                  </w:rPr>
                  <w:t>iš mechaniniu būdu perdirbtų atliekų, nurodytų Statybinių atliekų tvarkymo taisyklių, patvirtintų Lietuvos Respublikos aplinkos ministro 2006 m. gruodžio 19 d. įsakymu Nr. D1-637 „Dėl Statybinių atliekų tvarkymo taisyklių patvirtinimo“ (toliau – Taisyklės), 1 priedo 1.1 papunktyje ir šio prašymo</w:t>
                </w:r>
                <w:r>
                  <w:rPr>
                    <w:rFonts w:eastAsia="Arial"/>
                    <w:lang w:eastAsia="zh-CN"/>
                  </w:rPr>
                  <w:t xml:space="preserve"> 1 lentelėje,</w:t>
                </w:r>
                <w:r>
                  <w:rPr>
                    <w:lang w:eastAsia="lt-LT"/>
                  </w:rPr>
                  <w:t xml:space="preserve"> gautos statyboje naudojamos grūdėtos medžiagos (toliau – perdirbtas statybinis produktas)</w:t>
                </w:r>
                <w:r>
                  <w:rPr>
                    <w:rFonts w:eastAsia="Arial"/>
                    <w:lang w:eastAsia="zh-CN"/>
                  </w:rPr>
                  <w:t>, kurias pagamino _________________________________________________________________________</w:t>
                </w:r>
              </w:p>
              <w:p>
                <w:pPr>
                  <w:widowControl w:val="0"/>
                  <w:tabs>
                    <w:tab w:val="left" w:pos="606"/>
                    <w:tab w:val="left" w:pos="851"/>
                  </w:tabs>
                  <w:suppressAutoHyphens/>
                  <w:ind w:firstLine="567"/>
                  <w:jc w:val="center"/>
                  <w:rPr>
                    <w:rFonts w:eastAsia="Arial"/>
                    <w:sz w:val="22"/>
                    <w:szCs w:val="22"/>
                    <w:lang w:eastAsia="zh-CN"/>
                  </w:rPr>
                </w:pPr>
                <w:r>
                  <w:rPr>
                    <w:rFonts w:eastAsia="Arial"/>
                    <w:sz w:val="22"/>
                    <w:szCs w:val="22"/>
                    <w:lang w:eastAsia="zh-CN"/>
                  </w:rPr>
                  <w:t>(</w:t>
                </w:r>
                <w:r>
                  <w:rPr>
                    <w:sz w:val="22"/>
                    <w:szCs w:val="22"/>
                    <w:lang w:eastAsia="lt-LT"/>
                  </w:rPr>
                  <w:t>perdirbto statybinio produkto</w:t>
                </w:r>
                <w:r>
                  <w:rPr>
                    <w:rFonts w:eastAsia="Arial"/>
                    <w:sz w:val="22"/>
                    <w:szCs w:val="22"/>
                    <w:lang w:eastAsia="zh-CN"/>
                  </w:rPr>
                  <w:t xml:space="preserve"> gamintojo pavadinimas)</w:t>
                </w:r>
              </w:p>
              <w:p>
                <w:pPr>
                  <w:widowControl w:val="0"/>
                  <w:tabs>
                    <w:tab w:val="left" w:pos="606"/>
                    <w:tab w:val="left" w:pos="851"/>
                  </w:tabs>
                  <w:suppressAutoHyphens/>
                  <w:ind w:firstLine="567"/>
                  <w:jc w:val="center"/>
                  <w:rPr>
                    <w:rFonts w:eastAsia="Arial"/>
                    <w:sz w:val="22"/>
                    <w:szCs w:val="22"/>
                    <w:lang w:eastAsia="zh-CN"/>
                  </w:rPr>
                </w:pPr>
              </w:p>
              <w:p>
                <w:pPr>
                  <w:widowControl w:val="0"/>
                  <w:tabs>
                    <w:tab w:val="left" w:pos="606"/>
                    <w:tab w:val="left" w:pos="851"/>
                  </w:tabs>
                  <w:suppressAutoHyphens/>
                  <w:rPr>
                    <w:rFonts w:eastAsia="Arial"/>
                    <w:sz w:val="22"/>
                    <w:szCs w:val="22"/>
                    <w:lang w:eastAsia="zh-CN"/>
                  </w:rPr>
                </w:pPr>
                <w:r>
                  <w:rPr>
                    <w:rFonts w:eastAsia="Arial"/>
                    <w:sz w:val="22"/>
                    <w:szCs w:val="22"/>
                    <w:lang w:eastAsia="zh-CN"/>
                  </w:rPr>
                  <w:t>ir perdavė (pildoma jei perdirbtas statybinis produktas buvo perduotas jo naudotojui) ________________________________________________________________________________</w:t>
                </w:r>
              </w:p>
              <w:p>
                <w:pPr>
                  <w:widowControl w:val="0"/>
                  <w:tabs>
                    <w:tab w:val="left" w:pos="606"/>
                    <w:tab w:val="left" w:pos="851"/>
                  </w:tabs>
                  <w:suppressAutoHyphens/>
                  <w:ind w:firstLine="567"/>
                  <w:jc w:val="center"/>
                  <w:rPr>
                    <w:rFonts w:eastAsia="Arial"/>
                    <w:sz w:val="22"/>
                    <w:szCs w:val="22"/>
                    <w:lang w:eastAsia="zh-CN"/>
                  </w:rPr>
                </w:pPr>
                <w:r>
                  <w:rPr>
                    <w:rFonts w:eastAsia="Arial"/>
                    <w:sz w:val="22"/>
                    <w:szCs w:val="22"/>
                    <w:lang w:eastAsia="zh-CN"/>
                  </w:rPr>
                  <w:t>(</w:t>
                </w:r>
                <w:r>
                  <w:rPr>
                    <w:sz w:val="22"/>
                    <w:szCs w:val="22"/>
                    <w:lang w:eastAsia="lt-LT"/>
                  </w:rPr>
                  <w:t xml:space="preserve">perdirbto statybinio </w:t>
                </w:r>
                <w:r>
                  <w:rPr>
                    <w:lang w:eastAsia="lt-LT"/>
                  </w:rPr>
                  <w:t>produktas</w:t>
                </w:r>
                <w:r>
                  <w:rPr>
                    <w:rFonts w:eastAsia="Arial"/>
                    <w:sz w:val="22"/>
                    <w:szCs w:val="22"/>
                    <w:lang w:eastAsia="zh-CN"/>
                  </w:rPr>
                  <w:t xml:space="preserve"> naudotojo pavadinimas)</w:t>
                </w:r>
              </w:p>
              <w:p>
                <w:pPr>
                  <w:widowControl w:val="0"/>
                  <w:tabs>
                    <w:tab w:val="left" w:pos="606"/>
                    <w:tab w:val="left" w:pos="851"/>
                  </w:tabs>
                  <w:suppressAutoHyphens/>
                  <w:jc w:val="both"/>
                  <w:rPr>
                    <w:rFonts w:eastAsia="Arial"/>
                    <w:lang w:eastAsia="zh-CN"/>
                  </w:rPr>
                </w:pPr>
                <w:r>
                  <w:rPr>
                    <w:rFonts w:eastAsia="Arial"/>
                    <w:lang w:eastAsia="zh-CN"/>
                  </w:rPr>
                  <w:t>panaudojimo terminą dėl šių priežasčių:</w:t>
                </w:r>
              </w:p>
              <w:p>
                <w:pPr>
                  <w:widowControl w:val="0"/>
                  <w:tabs>
                    <w:tab w:val="left" w:pos="606"/>
                    <w:tab w:val="left" w:pos="851"/>
                  </w:tabs>
                  <w:suppressAutoHyphens/>
                  <w:jc w:val="both"/>
                  <w:rPr>
                    <w:rFonts w:eastAsia="Arial"/>
                    <w:lang w:eastAsia="zh-CN"/>
                  </w:rPr>
                </w:pPr>
                <w:r>
                  <w:rPr>
                    <w:rFonts w:eastAsia="Arial"/>
                    <w:lang w:eastAsia="zh-CN"/>
                  </w:rPr>
                  <w:t>____________________________________________________________________________________________________________________________________________________</w:t>
                </w:r>
              </w:p>
              <w:p>
                <w:pPr>
                  <w:suppressAutoHyphens/>
                  <w:jc w:val="right"/>
                  <w:rPr>
                    <w:lang w:eastAsia="lt-LT"/>
                  </w:rPr>
                </w:pPr>
              </w:p>
              <w:p>
                <w:pPr>
                  <w:suppressAutoHyphens/>
                  <w:jc w:val="both"/>
                  <w:rPr>
                    <w:lang w:eastAsia="lt-LT"/>
                  </w:rPr>
                </w:pPr>
                <w:r>
                  <w:rPr>
                    <w:lang w:eastAsia="lt-LT"/>
                  </w:rPr>
                  <w:t>1 lentelė. Duomenys apie perdirbtą statybinį produktą, kurio naudojimo terminą prašoma pratęsti:</w:t>
                </w:r>
              </w:p>
              <w:tbl>
                <w:tblPr>
                  <w:tblW w:w="90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7"/>
                  <w:gridCol w:w="3754"/>
                  <w:gridCol w:w="1772"/>
                  <w:gridCol w:w="1072"/>
                </w:tblGrid>
                <w:tr>
                  <w:tc>
                    <w:tcPr>
                      <w:tcW w:w="1336" w:type="pct"/>
                    </w:tcPr>
                    <w:p>
                      <w:pPr>
                        <w:widowControl w:val="0"/>
                        <w:tabs>
                          <w:tab w:val="left" w:pos="353"/>
                          <w:tab w:val="left" w:pos="993"/>
                        </w:tabs>
                        <w:suppressAutoHyphens/>
                        <w:jc w:val="both"/>
                        <w:rPr>
                          <w:rFonts w:eastAsia="Arial"/>
                          <w:lang w:eastAsia="zh-CN"/>
                        </w:rPr>
                      </w:pPr>
                      <w:r>
                        <w:rPr>
                          <w:lang w:eastAsia="lt-LT"/>
                        </w:rPr>
                        <w:t>Perdirbtiems statybiniams produktams</w:t>
                      </w:r>
                      <w:r>
                        <w:rPr>
                          <w:rFonts w:eastAsia="Arial"/>
                          <w:lang w:eastAsia="zh-CN"/>
                        </w:rPr>
                        <w:t xml:space="preserve"> priskiriamas statybinis produktas pagal Taisyklių 28 punktą (pavadinimas)</w:t>
                      </w:r>
                    </w:p>
                  </w:tc>
                  <w:tc>
                    <w:tcPr>
                      <w:tcW w:w="2084" w:type="pct"/>
                    </w:tcPr>
                    <w:p>
                      <w:pPr>
                        <w:widowControl w:val="0"/>
                        <w:tabs>
                          <w:tab w:val="left" w:pos="353"/>
                          <w:tab w:val="left" w:pos="993"/>
                        </w:tabs>
                        <w:suppressAutoHyphens/>
                        <w:jc w:val="both"/>
                        <w:rPr>
                          <w:rFonts w:eastAsia="Arial"/>
                          <w:lang w:eastAsia="zh-CN"/>
                        </w:rPr>
                      </w:pPr>
                      <w:r>
                        <w:rPr>
                          <w:rFonts w:eastAsia="Arial"/>
                          <w:lang w:eastAsia="zh-CN"/>
                        </w:rPr>
                        <w:t>Unikalus</w:t>
                      </w:r>
                      <w:r>
                        <w:rPr>
                          <w:rFonts w:eastAsia="Arial"/>
                          <w:lang w:eastAsia="lt-LT"/>
                        </w:rPr>
                        <w:t xml:space="preserve"> </w:t>
                      </w:r>
                      <w:r>
                        <w:rPr>
                          <w:lang w:eastAsia="lt-LT"/>
                        </w:rPr>
                        <w:t xml:space="preserve">perdirbto statybinio  produkto</w:t>
                      </w:r>
                      <w:r>
                        <w:rPr>
                          <w:rFonts w:eastAsia="Arial"/>
                          <w:lang w:eastAsia="lt-LT"/>
                        </w:rPr>
                        <w:t xml:space="preserve"> </w:t>
                      </w:r>
                      <w:r>
                        <w:rPr>
                          <w:rFonts w:eastAsia="Arial"/>
                          <w:lang w:eastAsia="zh-CN"/>
                        </w:rPr>
                        <w:t>siuntos identifikavimo kodas, tipo, partijos, serijos numeris ar bet koks kitas elementas, pagal kurį galima identifikuoti</w:t>
                      </w:r>
                      <w:r>
                        <w:rPr>
                          <w:lang w:eastAsia="lt-LT"/>
                        </w:rPr>
                        <w:t xml:space="preserve"> perdirbtą statybinį produktą</w:t>
                      </w:r>
                      <w:r>
                        <w:rPr>
                          <w:rFonts w:eastAsia="Arial"/>
                          <w:lang w:eastAsia="zh-CN"/>
                        </w:rPr>
                        <w:t xml:space="preserve"> jo gamintoją, perdirbimo vietą ir kt.</w:t>
                      </w:r>
                    </w:p>
                  </w:tc>
                  <w:tc>
                    <w:tcPr>
                      <w:tcW w:w="984" w:type="pct"/>
                    </w:tcPr>
                    <w:p>
                      <w:pPr>
                        <w:widowControl w:val="0"/>
                        <w:tabs>
                          <w:tab w:val="left" w:pos="353"/>
                          <w:tab w:val="left" w:pos="993"/>
                        </w:tabs>
                        <w:suppressAutoHyphens/>
                        <w:jc w:val="both"/>
                        <w:rPr>
                          <w:rFonts w:eastAsia="Arial"/>
                          <w:lang w:eastAsia="zh-CN"/>
                        </w:rPr>
                      </w:pPr>
                      <w:r>
                        <w:rPr>
                          <w:rFonts w:eastAsia="Arial"/>
                          <w:lang w:eastAsia="zh-CN"/>
                        </w:rPr>
                        <w:t>Naudojimo paskirtis</w:t>
                      </w:r>
                    </w:p>
                  </w:tc>
                  <w:tc>
                    <w:tcPr>
                      <w:tcW w:w="595" w:type="pct"/>
                    </w:tcPr>
                    <w:p>
                      <w:pPr>
                        <w:widowControl w:val="0"/>
                        <w:tabs>
                          <w:tab w:val="left" w:pos="353"/>
                          <w:tab w:val="left" w:pos="993"/>
                        </w:tabs>
                        <w:suppressAutoHyphens/>
                        <w:jc w:val="both"/>
                        <w:rPr>
                          <w:rFonts w:eastAsia="Arial"/>
                          <w:lang w:eastAsia="zh-CN"/>
                        </w:rPr>
                      </w:pPr>
                      <w:r>
                        <w:rPr>
                          <w:rFonts w:eastAsia="Arial"/>
                          <w:lang w:eastAsia="zh-CN"/>
                        </w:rPr>
                        <w:t>Siuntos masė, t</w:t>
                      </w:r>
                    </w:p>
                  </w:tc>
                </w:tr>
                <w:tr>
                  <w:tc>
                    <w:tcPr>
                      <w:tcW w:w="1336" w:type="pct"/>
                    </w:tcPr>
                    <w:p>
                      <w:pPr>
                        <w:widowControl w:val="0"/>
                        <w:tabs>
                          <w:tab w:val="left" w:pos="353"/>
                          <w:tab w:val="left" w:pos="993"/>
                        </w:tabs>
                        <w:suppressAutoHyphens/>
                        <w:jc w:val="center"/>
                        <w:rPr>
                          <w:rFonts w:eastAsia="Arial"/>
                          <w:lang w:eastAsia="zh-CN"/>
                        </w:rPr>
                      </w:pPr>
                    </w:p>
                  </w:tc>
                  <w:tc>
                    <w:tcPr>
                      <w:tcW w:w="2084" w:type="pct"/>
                    </w:tcPr>
                    <w:p>
                      <w:pPr>
                        <w:widowControl w:val="0"/>
                        <w:tabs>
                          <w:tab w:val="left" w:pos="353"/>
                          <w:tab w:val="left" w:pos="993"/>
                        </w:tabs>
                        <w:suppressAutoHyphens/>
                        <w:jc w:val="center"/>
                        <w:rPr>
                          <w:rFonts w:eastAsia="Arial"/>
                          <w:lang w:eastAsia="zh-CN"/>
                        </w:rPr>
                      </w:pPr>
                    </w:p>
                  </w:tc>
                  <w:tc>
                    <w:tcPr>
                      <w:tcW w:w="984" w:type="pct"/>
                    </w:tcPr>
                    <w:p>
                      <w:pPr>
                        <w:widowControl w:val="0"/>
                        <w:tabs>
                          <w:tab w:val="left" w:pos="353"/>
                          <w:tab w:val="left" w:pos="993"/>
                        </w:tabs>
                        <w:suppressAutoHyphens/>
                        <w:jc w:val="center"/>
                        <w:rPr>
                          <w:rFonts w:eastAsia="Arial"/>
                          <w:lang w:eastAsia="zh-CN"/>
                        </w:rPr>
                      </w:pPr>
                    </w:p>
                  </w:tc>
                  <w:tc>
                    <w:tcPr>
                      <w:tcW w:w="595" w:type="pct"/>
                    </w:tcPr>
                    <w:p>
                      <w:pPr>
                        <w:widowControl w:val="0"/>
                        <w:tabs>
                          <w:tab w:val="left" w:pos="353"/>
                          <w:tab w:val="left" w:pos="993"/>
                        </w:tabs>
                        <w:suppressAutoHyphens/>
                        <w:jc w:val="center"/>
                        <w:rPr>
                          <w:rFonts w:eastAsia="Arial"/>
                          <w:lang w:eastAsia="zh-CN"/>
                        </w:rPr>
                      </w:pPr>
                    </w:p>
                  </w:tc>
                </w:tr>
              </w:tbl>
              <w:p>
                <w:pPr>
                  <w:widowControl w:val="0"/>
                  <w:tabs>
                    <w:tab w:val="left" w:pos="993"/>
                  </w:tabs>
                  <w:suppressAutoHyphens/>
                  <w:jc w:val="both"/>
                  <w:rPr>
                    <w:rFonts w:eastAsia="Arial"/>
                    <w:lang w:eastAsia="zh-CN"/>
                  </w:rPr>
                </w:pPr>
              </w:p>
              <w:p>
                <w:pPr>
                  <w:widowControl w:val="0"/>
                  <w:tabs>
                    <w:tab w:val="left" w:pos="993"/>
                  </w:tabs>
                  <w:suppressAutoHyphens/>
                  <w:ind w:left="142"/>
                  <w:jc w:val="both"/>
                  <w:rPr>
                    <w:rFonts w:eastAsia="Arial"/>
                    <w:lang w:eastAsia="zh-CN"/>
                  </w:rPr>
                </w:pPr>
                <w:r>
                  <w:rPr>
                    <w:rFonts w:eastAsia="Arial"/>
                    <w:lang w:eastAsia="zh-CN"/>
                  </w:rPr>
                  <w:t xml:space="preserve">PRIDEDAMA. </w:t>
                </w:r>
                <w:r>
                  <w:rPr>
                    <w:lang w:eastAsia="lt-LT"/>
                  </w:rPr>
                  <w:t xml:space="preserve">Perdirbto statybinio produkto </w:t>
                </w:r>
                <w:r>
                  <w:rPr>
                    <w:rFonts w:eastAsia="Arial"/>
                    <w:lang w:eastAsia="zh-CN"/>
                  </w:rPr>
                  <w:t xml:space="preserve"> gamintojo išduotos perdirbtų statybinių atliekų nebelaikymo atliekomis atitikties deklaracijos ir jos priedų nuorašas ar kopija.</w:t>
                </w:r>
              </w:p>
            </w:tc>
          </w:tr>
          <w:tr>
            <w:trPr>
              <w:trHeight w:val="289"/>
            </w:trPr>
            <w:tc>
              <w:tcPr>
                <w:tcW w:w="9208" w:type="dxa"/>
                <w:gridSpan w:val="4"/>
              </w:tcPr>
              <w:p>
                <w:pPr>
                  <w:suppressAutoHyphens/>
                  <w:overflowPunct w:val="0"/>
                  <w:textAlignment w:val="baseline"/>
                  <w:rPr>
                    <w:sz w:val="22"/>
                    <w:szCs w:val="22"/>
                    <w:lang w:eastAsia="lt-LT"/>
                  </w:rPr>
                </w:pPr>
              </w:p>
            </w:tc>
          </w:tr>
        </w:tbl>
        <w:p>
          <w:pPr>
            <w:tabs>
              <w:tab w:val="left" w:pos="746"/>
            </w:tabs>
            <w:spacing w:line="276" w:lineRule="auto"/>
            <w:jc w:val="both"/>
            <w:textAlignment w:val="baseline"/>
            <w:rPr>
              <w:rFonts w:ascii="Calibri" w:eastAsia="Calibri" w:hAnsi="Calibri"/>
              <w:b/>
              <w:bCs/>
              <w:sz w:val="22"/>
              <w:szCs w:val="22"/>
              <w:lang w:eastAsia="lt-LT"/>
            </w:rPr>
          </w:pPr>
          <w:r>
            <w:rPr>
              <w:rFonts w:ascii="Calibri" w:eastAsia="Calibri" w:hAnsi="Calibri"/>
              <w:bCs/>
              <w:sz w:val="22"/>
              <w:szCs w:val="22"/>
              <w:lang w:eastAsia="lt-LT"/>
            </w:rPr>
            <w:t>______________________________________________________________</w:t>
          </w:r>
          <w:r>
            <w:rPr>
              <w:rFonts w:ascii="Calibri" w:eastAsia="Calibri" w:hAnsi="Calibri"/>
              <w:b/>
              <w:bCs/>
              <w:sz w:val="22"/>
              <w:szCs w:val="22"/>
              <w:lang w:eastAsia="lt-LT"/>
            </w:rPr>
            <w:t xml:space="preserve">              </w:t>
          </w:r>
          <w:r>
            <w:rPr>
              <w:rFonts w:ascii="Calibri" w:eastAsia="Calibri" w:hAnsi="Calibri"/>
              <w:bCs/>
              <w:sz w:val="22"/>
              <w:szCs w:val="22"/>
              <w:lang w:eastAsia="lt-LT"/>
            </w:rPr>
            <w:t>_____________</w:t>
          </w:r>
        </w:p>
        <w:p>
          <w:pPr>
            <w:suppressAutoHyphens/>
            <w:ind w:firstLine="912"/>
            <w:jc w:val="both"/>
            <w:textAlignment w:val="baseline"/>
            <w:rPr>
              <w:sz w:val="22"/>
              <w:szCs w:val="22"/>
              <w:lang w:eastAsia="lt-LT"/>
            </w:rPr>
          </w:pPr>
          <w:r>
            <w:rPr>
              <w:sz w:val="22"/>
              <w:szCs w:val="22"/>
              <w:lang w:eastAsia="lt-LT"/>
            </w:rPr>
            <w:t xml:space="preserve">(vadovo arba įgalioto asmens vardas, pavardė, pareigos,                                    (parašas)</w:t>
          </w:r>
        </w:p>
        <w:p>
          <w:pPr>
            <w:suppressAutoHyphens/>
            <w:ind w:firstLine="1824"/>
            <w:jc w:val="both"/>
            <w:textAlignment w:val="baseline"/>
            <w:rPr>
              <w:sz w:val="22"/>
              <w:szCs w:val="22"/>
              <w:lang w:eastAsia="lt-LT"/>
            </w:rPr>
          </w:pPr>
          <w:r>
            <w:rPr>
              <w:sz w:val="22"/>
              <w:szCs w:val="22"/>
              <w:lang w:eastAsia="lt-LT"/>
            </w:rPr>
            <w:t>telefono numeris, el. pašto adresas)</w:t>
          </w:r>
        </w:p>
        <w:sdt>
          <w:sdtPr>
            <w:alias w:val="pabaiga"/>
            <w:tag w:val="part_032c99999a8a4d6d8111f8eec1252ece"/>
            <w:lock w:val="sdtLocked"/>
            <w:richText/>
          </w:sdtPr>
          <w:sdtContent>
            <w:p>
              <w:pPr>
                <w:suppressAutoHyphens/>
                <w:jc w:val="center"/>
                <w:textAlignment w:val="baseline"/>
              </w:pPr>
              <w:r>
                <w:rPr>
                  <w:szCs w:val="24"/>
                  <w:lang w:eastAsia="lt-LT"/>
                </w:rPr>
                <w:t>___________________________________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f005b0ea7511ee9f5b8ffa077f9188">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2024-03-25,
paskelbta TAR 2024-03-25, i. k. 2024-05293        </w:t>
          </w:r>
        </w:p>
        <w:p/>
      </w:sdtContent>
    </w:sdt>
    <w:sdt>
      <w:sdtPr>
        <w:alias w:val="4 pr."/>
        <w:tag w:val="part_e00abb937de845eeac6b3eba72315048"/>
        <w:lock w:val="sdtLocked"/>
        <w:richText/>
      </w:sdtPr>
      <w:sdtContent>
        <w:p>
          <w:pPr>
            <w:tabs>
              <w:tab w:val="left" w:pos="8821"/>
            </w:tabs>
            <w:suppressAutoHyphens/>
            <w:ind w:left="6236" w:firstLine="567"/>
            <w:jc w:val="both"/>
            <w:sectPr>
              <w:pgSz w:w="11906" w:h="16838" w:code="9"/>
              <w:pgMar w:top="1134" w:right="567" w:bottom="1134" w:left="1701" w:header="567" w:footer="567" w:gutter="0"/>
              <w:pgNumType w:start="1"/>
              <w:cols w:space="1296"/>
              <w:titlePg/>
              <w:docGrid w:linePitch="360"/>
            </w:sectPr>
          </w:pPr>
        </w:p>
        <w:p>
          <w:pPr>
            <w:tabs>
              <w:tab w:val="left" w:pos="8821"/>
            </w:tabs>
            <w:suppressAutoHyphens/>
            <w:ind w:left="6236" w:firstLine="567"/>
            <w:jc w:val="both"/>
            <w:rPr>
              <w:szCs w:val="24"/>
              <w:lang w:eastAsia="zh-CN"/>
            </w:rPr>
          </w:pPr>
          <w:r>
            <w:rPr>
              <w:szCs w:val="24"/>
              <w:lang w:eastAsia="zh-CN"/>
            </w:rPr>
            <w:t xml:space="preserve">Statybinių atliekų </w:t>
          </w:r>
        </w:p>
        <w:p>
          <w:pPr>
            <w:tabs>
              <w:tab w:val="left" w:pos="8821"/>
            </w:tabs>
            <w:suppressAutoHyphens/>
            <w:ind w:left="6236" w:firstLine="567"/>
            <w:jc w:val="both"/>
            <w:rPr>
              <w:szCs w:val="24"/>
              <w:lang w:eastAsia="zh-CN"/>
            </w:rPr>
          </w:pPr>
          <w:r>
            <w:rPr>
              <w:szCs w:val="24"/>
              <w:lang w:eastAsia="zh-CN"/>
            </w:rPr>
            <w:t>tvarkymo taisyklių</w:t>
          </w:r>
        </w:p>
        <w:p>
          <w:pPr>
            <w:tabs>
              <w:tab w:val="left" w:pos="8821"/>
            </w:tabs>
            <w:suppressAutoHyphens/>
            <w:ind w:left="6236" w:firstLine="567"/>
            <w:jc w:val="both"/>
            <w:rPr>
              <w:szCs w:val="24"/>
              <w:lang w:eastAsia="zh-CN"/>
            </w:rPr>
          </w:pPr>
          <w:sdt>
            <w:sdtPr>
              <w:alias w:val="Numeris"/>
              <w:tag w:val="nr_e00abb937de845eeac6b3eba72315048"/>
              <w:lock w:val="sdtLocked"/>
              <w:richText/>
            </w:sdtPr>
            <w:sdtContent>
              <w:r>
                <w:rPr>
                  <w:szCs w:val="24"/>
                  <w:lang w:eastAsia="zh-CN"/>
                </w:rPr>
                <w:t>4</w:t>
              </w:r>
            </w:sdtContent>
          </w:sdt>
          <w:r>
            <w:rPr>
              <w:szCs w:val="24"/>
              <w:lang w:eastAsia="zh-CN"/>
            </w:rPr>
            <w:t xml:space="preserve"> priedas</w:t>
          </w:r>
        </w:p>
        <w:p>
          <w:pPr>
            <w:tabs>
              <w:tab w:val="left" w:pos="993"/>
            </w:tabs>
            <w:suppressAutoHyphens/>
            <w:ind w:firstLine="62"/>
            <w:jc w:val="both"/>
            <w:rPr>
              <w:szCs w:val="24"/>
              <w:lang w:eastAsia="zh-CN"/>
            </w:rPr>
          </w:pPr>
        </w:p>
        <w:p>
          <w:pPr>
            <w:tabs>
              <w:tab w:val="left" w:pos="993"/>
            </w:tabs>
            <w:suppressAutoHyphens/>
            <w:ind w:firstLine="62"/>
            <w:jc w:val="both"/>
            <w:rPr>
              <w:szCs w:val="24"/>
              <w:lang w:eastAsia="zh-CN"/>
            </w:rPr>
          </w:pPr>
        </w:p>
        <w:p>
          <w:pPr>
            <w:tabs>
              <w:tab w:val="left" w:pos="993"/>
            </w:tabs>
            <w:suppressAutoHyphens/>
            <w:jc w:val="center"/>
            <w:rPr>
              <w:b/>
              <w:bCs/>
              <w:color w:val="000000"/>
              <w:szCs w:val="24"/>
              <w:lang w:eastAsia="zh-CN"/>
            </w:rPr>
          </w:pPr>
          <w:sdt>
            <w:sdtPr>
              <w:alias w:val="Pavadinimas"/>
              <w:tag w:val="title_e00abb937de845eeac6b3eba72315048"/>
              <w:lock w:val="sdtLocked"/>
              <w:richText/>
            </w:sdtPr>
            <w:sdtContent>
              <w:r>
                <w:rPr>
                  <w:b/>
                  <w:bCs/>
                  <w:color w:val="000000"/>
                  <w:szCs w:val="24"/>
                  <w:lang w:eastAsia="zh-CN"/>
                </w:rPr>
                <w:t>LEISTINI FIZINIAI TERŠALAI IR JŲ RIBINĖS VERTĖS PERDIRBTOSE INERTINĖSE STATYBINĖSE ATLIEKOSE</w:t>
              </w:r>
            </w:sdtContent>
          </w:sdt>
        </w:p>
        <w:p>
          <w:pPr>
            <w:tabs>
              <w:tab w:val="left" w:pos="993"/>
            </w:tabs>
            <w:suppressAutoHyphens/>
            <w:ind w:firstLine="62"/>
            <w:jc w:val="center"/>
            <w:rPr>
              <w:b/>
              <w:bCs/>
              <w:color w:val="000000"/>
              <w:szCs w:val="24"/>
              <w:lang w:eastAsia="zh-C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09"/>
            <w:gridCol w:w="3209"/>
            <w:gridCol w:w="3210"/>
          </w:tblGrid>
          <w:tr>
            <w:trPr>
              <w:trHeight w:val="300"/>
            </w:trPr>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993"/>
                  </w:tabs>
                  <w:suppressAutoHyphens/>
                  <w:jc w:val="both"/>
                  <w:rPr>
                    <w:b/>
                    <w:bCs/>
                    <w:szCs w:val="24"/>
                    <w:lang w:eastAsia="zh-CN"/>
                  </w:rPr>
                </w:pPr>
                <w:r>
                  <w:rPr>
                    <w:b/>
                    <w:bCs/>
                    <w:szCs w:val="24"/>
                    <w:lang w:eastAsia="zh-CN"/>
                  </w:rPr>
                  <w:t>Fizinis teršalas</w:t>
                </w:r>
              </w:p>
            </w:tc>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993"/>
                  </w:tabs>
                  <w:suppressAutoHyphens/>
                  <w:jc w:val="center"/>
                  <w:rPr>
                    <w:b/>
                    <w:bCs/>
                    <w:szCs w:val="24"/>
                    <w:lang w:eastAsia="zh-CN"/>
                  </w:rPr>
                </w:pPr>
                <w:r>
                  <w:rPr>
                    <w:b/>
                    <w:bCs/>
                    <w:szCs w:val="24"/>
                    <w:lang w:eastAsia="zh-CN"/>
                  </w:rPr>
                  <w:t>Ribinė santykinė masės dalis, proc</w:t>
                </w:r>
              </w:p>
            </w:tc>
            <w:tc>
              <w:tcPr>
                <w:tcW w:w="3210"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993"/>
                  </w:tabs>
                  <w:suppressAutoHyphens/>
                  <w:jc w:val="center"/>
                  <w:rPr>
                    <w:b/>
                    <w:bCs/>
                    <w:szCs w:val="24"/>
                    <w:lang w:eastAsia="zh-CN"/>
                  </w:rPr>
                </w:pPr>
                <w:r>
                  <w:rPr>
                    <w:b/>
                    <w:bCs/>
                    <w:szCs w:val="24"/>
                    <w:lang w:eastAsia="zh-CN"/>
                  </w:rPr>
                  <w:t>Nustatymo metodas</w:t>
                </w:r>
              </w:p>
            </w:tc>
          </w:tr>
          <w:tr>
            <w:trPr>
              <w:trHeight w:val="300"/>
            </w:trPr>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993"/>
                  </w:tabs>
                  <w:suppressAutoHyphens/>
                  <w:jc w:val="both"/>
                  <w:rPr>
                    <w:szCs w:val="24"/>
                    <w:lang w:eastAsia="zh-CN"/>
                  </w:rPr>
                </w:pPr>
                <w:r>
                  <w:rPr>
                    <w:szCs w:val="24"/>
                    <w:lang w:eastAsia="zh-CN"/>
                  </w:rPr>
                  <w:t>Iš viso išvardytų priemaišų</w:t>
                </w:r>
              </w:p>
            </w:tc>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993"/>
                  </w:tabs>
                  <w:suppressAutoHyphens/>
                  <w:jc w:val="center"/>
                  <w:rPr>
                    <w:szCs w:val="24"/>
                    <w:lang w:eastAsia="zh-CN"/>
                  </w:rPr>
                </w:pPr>
                <w:r>
                  <w:rPr>
                    <w:szCs w:val="24"/>
                    <w:lang w:eastAsia="zh-CN"/>
                  </w:rPr>
                  <w:t>≤1</w:t>
                </w:r>
              </w:p>
            </w:tc>
            <w:tc>
              <w:tcPr>
                <w:tcW w:w="3210"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993"/>
                  </w:tabs>
                  <w:suppressAutoHyphens/>
                  <w:ind w:firstLine="62"/>
                  <w:jc w:val="both"/>
                  <w:rPr>
                    <w:szCs w:val="24"/>
                    <w:lang w:eastAsia="zh-CN"/>
                  </w:rPr>
                </w:pPr>
              </w:p>
              <w:p>
                <w:pPr>
                  <w:tabs>
                    <w:tab w:val="left" w:pos="993"/>
                  </w:tabs>
                  <w:suppressAutoHyphens/>
                  <w:jc w:val="both"/>
                  <w:rPr>
                    <w:color w:val="000000"/>
                    <w:szCs w:val="24"/>
                    <w:lang w:eastAsia="zh-CN"/>
                  </w:rPr>
                </w:pPr>
                <w:r>
                  <w:rPr>
                    <w:color w:val="000000"/>
                    <w:szCs w:val="24"/>
                    <w:lang w:eastAsia="zh-CN"/>
                  </w:rPr>
                  <w:t xml:space="preserve">Lietuvos standartas </w:t>
                </w:r>
                <w:r>
                  <w:rPr>
                    <w:szCs w:val="24"/>
                    <w:lang w:eastAsia="zh-CN"/>
                  </w:rPr>
                  <w:t xml:space="preserve">LST EN 933-11 </w:t>
                </w:r>
                <w:r>
                  <w:rPr>
                    <w:color w:val="000000"/>
                    <w:szCs w:val="24"/>
                    <w:lang w:eastAsia="zh-CN"/>
                  </w:rPr>
                  <w:t>arba lygiavertis metodas</w:t>
                </w:r>
              </w:p>
              <w:p>
                <w:pPr>
                  <w:tabs>
                    <w:tab w:val="left" w:pos="993"/>
                  </w:tabs>
                  <w:suppressAutoHyphens/>
                  <w:ind w:firstLine="62"/>
                  <w:jc w:val="both"/>
                  <w:rPr>
                    <w:szCs w:val="24"/>
                    <w:lang w:eastAsia="zh-CN"/>
                  </w:rPr>
                </w:pPr>
              </w:p>
            </w:tc>
          </w:tr>
          <w:tr>
            <w:trPr>
              <w:trHeight w:val="300"/>
            </w:trPr>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993"/>
                  </w:tabs>
                  <w:suppressAutoHyphens/>
                  <w:jc w:val="both"/>
                  <w:rPr>
                    <w:szCs w:val="24"/>
                    <w:lang w:eastAsia="zh-CN"/>
                  </w:rPr>
                </w:pPr>
                <w:r>
                  <w:rPr>
                    <w:szCs w:val="24"/>
                    <w:lang w:eastAsia="zh-CN"/>
                  </w:rPr>
                  <w:t>Juodieji ir spalvotieji metalai</w:t>
                </w:r>
              </w:p>
            </w:tc>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993"/>
                  </w:tabs>
                  <w:suppressAutoHyphens/>
                  <w:jc w:val="center"/>
                  <w:rPr>
                    <w:szCs w:val="24"/>
                    <w:lang w:eastAsia="zh-CN"/>
                  </w:rPr>
                </w:pPr>
                <w:r>
                  <w:rPr>
                    <w:szCs w:val="24"/>
                    <w:lang w:eastAsia="zh-CN"/>
                  </w:rPr>
                  <w:t>≤1</w:t>
                </w:r>
              </w:p>
            </w:tc>
            <w:tc>
              <w:tcPr>
                <w:tcW w:w="3210" w:type="dxa"/>
                <w:vMerge/>
                <w:tcBorders>
                  <w:left w:val="single" w:sz="0" w:space="0" w:color="auto"/>
                  <w:right w:val="single" w:sz="0" w:space="0" w:color="auto"/>
                </w:tcBorders>
                <w:vAlign w:val="center"/>
              </w:tcPr>
              <w:p/>
            </w:tc>
          </w:tr>
          <w:tr>
            <w:trPr>
              <w:trHeight w:val="300"/>
            </w:trPr>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993"/>
                  </w:tabs>
                  <w:suppressAutoHyphens/>
                  <w:jc w:val="both"/>
                  <w:rPr>
                    <w:szCs w:val="24"/>
                    <w:lang w:eastAsia="zh-CN"/>
                  </w:rPr>
                </w:pPr>
                <w:r>
                  <w:rPr>
                    <w:szCs w:val="24"/>
                    <w:lang w:eastAsia="zh-CN"/>
                  </w:rPr>
                  <w:t>Gipsas</w:t>
                </w:r>
              </w:p>
            </w:tc>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993"/>
                  </w:tabs>
                  <w:suppressAutoHyphens/>
                  <w:jc w:val="center"/>
                  <w:rPr>
                    <w:szCs w:val="24"/>
                    <w:lang w:eastAsia="zh-CN"/>
                  </w:rPr>
                </w:pPr>
                <w:r>
                  <w:rPr>
                    <w:szCs w:val="24"/>
                    <w:lang w:eastAsia="zh-CN"/>
                  </w:rPr>
                  <w:t>≤1</w:t>
                </w:r>
              </w:p>
            </w:tc>
            <w:tc>
              <w:tcPr>
                <w:tcW w:w="3210" w:type="dxa"/>
                <w:vMerge/>
                <w:tcBorders>
                  <w:left w:val="single" w:sz="0" w:space="0" w:color="auto"/>
                  <w:right w:val="single" w:sz="0" w:space="0" w:color="auto"/>
                </w:tcBorders>
                <w:vAlign w:val="center"/>
              </w:tcPr>
              <w:p/>
            </w:tc>
          </w:tr>
          <w:tr>
            <w:trPr>
              <w:trHeight w:val="300"/>
            </w:trPr>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993"/>
                  </w:tabs>
                  <w:suppressAutoHyphens/>
                  <w:jc w:val="both"/>
                  <w:rPr>
                    <w:szCs w:val="24"/>
                    <w:lang w:eastAsia="zh-CN"/>
                  </w:rPr>
                </w:pPr>
                <w:r>
                  <w:rPr>
                    <w:szCs w:val="24"/>
                    <w:lang w:eastAsia="zh-CN"/>
                  </w:rPr>
                  <w:t>Stiklas</w:t>
                </w:r>
              </w:p>
            </w:tc>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993"/>
                  </w:tabs>
                  <w:suppressAutoHyphens/>
                  <w:jc w:val="center"/>
                  <w:rPr>
                    <w:szCs w:val="24"/>
                    <w:lang w:eastAsia="zh-CN"/>
                  </w:rPr>
                </w:pPr>
                <w:r>
                  <w:rPr>
                    <w:szCs w:val="24"/>
                    <w:lang w:eastAsia="zh-CN"/>
                  </w:rPr>
                  <w:t>≤1</w:t>
                </w:r>
              </w:p>
            </w:tc>
            <w:tc>
              <w:tcPr>
                <w:tcW w:w="3210" w:type="dxa"/>
                <w:vMerge/>
                <w:tcBorders>
                  <w:left w:val="single" w:sz="0" w:space="0" w:color="auto"/>
                  <w:right w:val="single" w:sz="0" w:space="0" w:color="auto"/>
                </w:tcBorders>
                <w:vAlign w:val="center"/>
              </w:tcPr>
              <w:p/>
            </w:tc>
          </w:tr>
          <w:tr>
            <w:trPr>
              <w:trHeight w:val="300"/>
            </w:trPr>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993"/>
                  </w:tabs>
                  <w:suppressAutoHyphens/>
                  <w:jc w:val="both"/>
                  <w:rPr>
                    <w:szCs w:val="24"/>
                    <w:lang w:eastAsia="zh-CN"/>
                  </w:rPr>
                </w:pPr>
                <w:r>
                  <w:rPr>
                    <w:szCs w:val="24"/>
                    <w:lang w:eastAsia="zh-CN"/>
                  </w:rPr>
                  <w:t>Medis</w:t>
                </w:r>
              </w:p>
            </w:tc>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993"/>
                  </w:tabs>
                  <w:suppressAutoHyphens/>
                  <w:jc w:val="center"/>
                  <w:rPr>
                    <w:szCs w:val="24"/>
                    <w:lang w:eastAsia="zh-CN"/>
                  </w:rPr>
                </w:pPr>
                <w:r>
                  <w:rPr>
                    <w:szCs w:val="24"/>
                    <w:lang w:eastAsia="zh-CN"/>
                  </w:rPr>
                  <w:t>≤1</w:t>
                </w:r>
              </w:p>
            </w:tc>
            <w:tc>
              <w:tcPr>
                <w:tcW w:w="3210" w:type="dxa"/>
                <w:vMerge/>
                <w:tcBorders>
                  <w:left w:val="single" w:sz="0" w:space="0" w:color="auto"/>
                  <w:right w:val="single" w:sz="0" w:space="0" w:color="auto"/>
                </w:tcBorders>
                <w:vAlign w:val="center"/>
              </w:tcPr>
              <w:p/>
            </w:tc>
          </w:tr>
          <w:tr>
            <w:trPr>
              <w:trHeight w:val="300"/>
            </w:trPr>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993"/>
                  </w:tabs>
                  <w:suppressAutoHyphens/>
                  <w:jc w:val="both"/>
                  <w:rPr>
                    <w:szCs w:val="24"/>
                    <w:lang w:eastAsia="zh-CN"/>
                  </w:rPr>
                </w:pPr>
                <w:r>
                  <w:rPr>
                    <w:szCs w:val="24"/>
                    <w:lang w:eastAsia="zh-CN"/>
                  </w:rPr>
                  <w:t>Plastikas</w:t>
                </w:r>
              </w:p>
            </w:tc>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993"/>
                  </w:tabs>
                  <w:suppressAutoHyphens/>
                  <w:jc w:val="center"/>
                  <w:rPr>
                    <w:szCs w:val="24"/>
                    <w:lang w:eastAsia="zh-CN"/>
                  </w:rPr>
                </w:pPr>
                <w:r>
                  <w:rPr>
                    <w:szCs w:val="24"/>
                    <w:lang w:eastAsia="zh-CN"/>
                  </w:rPr>
                  <w:t>≤1</w:t>
                </w:r>
              </w:p>
            </w:tc>
            <w:tc>
              <w:tcPr>
                <w:tcW w:w="3210" w:type="dxa"/>
                <w:vMerge/>
                <w:tcBorders>
                  <w:left w:val="single" w:sz="0" w:space="0" w:color="auto"/>
                  <w:right w:val="single" w:sz="0" w:space="0" w:color="auto"/>
                </w:tcBorders>
                <w:vAlign w:val="center"/>
              </w:tcPr>
              <w:p/>
            </w:tc>
          </w:tr>
          <w:tr>
            <w:trPr>
              <w:trHeight w:val="300"/>
            </w:trPr>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993"/>
                  </w:tabs>
                  <w:suppressAutoHyphens/>
                  <w:jc w:val="both"/>
                  <w:rPr>
                    <w:szCs w:val="24"/>
                    <w:lang w:eastAsia="zh-CN"/>
                  </w:rPr>
                </w:pPr>
                <w:r>
                  <w:rPr>
                    <w:szCs w:val="24"/>
                    <w:lang w:eastAsia="zh-CN"/>
                  </w:rPr>
                  <w:t>Guma</w:t>
                </w:r>
              </w:p>
            </w:tc>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993"/>
                  </w:tabs>
                  <w:suppressAutoHyphens/>
                  <w:jc w:val="center"/>
                  <w:rPr>
                    <w:szCs w:val="24"/>
                    <w:lang w:eastAsia="zh-CN"/>
                  </w:rPr>
                </w:pPr>
                <w:r>
                  <w:rPr>
                    <w:szCs w:val="24"/>
                    <w:lang w:eastAsia="zh-CN"/>
                  </w:rPr>
                  <w:t>≤1</w:t>
                </w:r>
              </w:p>
            </w:tc>
            <w:tc>
              <w:tcPr>
                <w:tcW w:w="3210" w:type="dxa"/>
                <w:vMerge/>
                <w:tcBorders>
                  <w:left w:val="single" w:sz="0" w:space="0" w:color="auto"/>
                  <w:right w:val="single" w:sz="0" w:space="0" w:color="auto"/>
                </w:tcBorders>
                <w:vAlign w:val="center"/>
              </w:tcPr>
              <w:p/>
            </w:tc>
          </w:tr>
          <w:tr>
            <w:trPr>
              <w:trHeight w:val="300"/>
            </w:trPr>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993"/>
                  </w:tabs>
                  <w:suppressAutoHyphens/>
                  <w:jc w:val="both"/>
                  <w:rPr>
                    <w:szCs w:val="24"/>
                    <w:lang w:eastAsia="zh-CN"/>
                  </w:rPr>
                </w:pPr>
                <w:r>
                  <w:rPr>
                    <w:szCs w:val="24"/>
                    <w:lang w:eastAsia="zh-CN"/>
                  </w:rPr>
                  <w:t>Bituminės medžiagos</w:t>
                </w:r>
              </w:p>
            </w:tc>
            <w:tc>
              <w:tcPr>
                <w:tcW w:w="3209" w:type="dxa"/>
                <w:tcBorders>
                  <w:top w:val="single" w:sz="8" w:space="0" w:color="auto"/>
                  <w:left w:val="single" w:sz="8" w:space="0" w:color="auto"/>
                  <w:bottom w:val="single" w:sz="8" w:space="0" w:color="auto"/>
                  <w:right w:val="single" w:sz="8" w:space="0" w:color="auto"/>
                </w:tcBorders>
                <w:tcMar>
                  <w:left w:w="108" w:type="dxa"/>
                  <w:right w:w="108" w:type="dxa"/>
                </w:tcMar>
              </w:tcPr>
              <w:p>
                <w:pPr>
                  <w:tabs>
                    <w:tab w:val="left" w:pos="993"/>
                  </w:tabs>
                  <w:suppressAutoHyphens/>
                  <w:jc w:val="center"/>
                  <w:rPr>
                    <w:szCs w:val="24"/>
                    <w:lang w:eastAsia="zh-CN"/>
                  </w:rPr>
                </w:pPr>
                <w:r>
                  <w:rPr>
                    <w:szCs w:val="24"/>
                    <w:lang w:eastAsia="zh-CN"/>
                  </w:rPr>
                  <w:t>≤1</w:t>
                </w:r>
              </w:p>
            </w:tc>
            <w:tc>
              <w:tcPr>
                <w:tcW w:w="3210" w:type="dxa"/>
                <w:vMerge/>
                <w:tcBorders>
                  <w:top w:val="single" w:sz="0" w:space="0" w:color="auto"/>
                  <w:left w:val="single" w:sz="0" w:space="0" w:color="auto"/>
                  <w:bottom w:val="single" w:sz="0" w:space="0" w:color="auto"/>
                  <w:right w:val="single" w:sz="0" w:space="0" w:color="auto"/>
                </w:tcBorders>
                <w:vAlign w:val="center"/>
              </w:tcPr>
              <w:p/>
            </w:tc>
          </w:tr>
        </w:tbl>
        <w:p>
          <w:pPr>
            <w:tabs>
              <w:tab w:val="left" w:pos="993"/>
            </w:tabs>
            <w:suppressAutoHyphens/>
            <w:ind w:firstLine="62"/>
            <w:jc w:val="both"/>
            <w:rPr>
              <w:szCs w:val="24"/>
              <w:lang w:eastAsia="zh-CN"/>
            </w:rPr>
          </w:pPr>
        </w:p>
        <w:sdt>
          <w:sdtPr>
            <w:alias w:val="pabaiga"/>
            <w:tag w:val="part_54385966f17f40e5ad9bcdf4fa3f398e"/>
            <w:lock w:val="sdtLocked"/>
            <w:richText/>
          </w:sdtPr>
          <w:sdtContent>
            <w:p>
              <w:pPr>
                <w:tabs>
                  <w:tab w:val="left" w:pos="993"/>
                </w:tabs>
                <w:suppressAutoHyphens/>
                <w:jc w:val="center"/>
              </w:pPr>
              <w:r>
                <w:rPr>
                  <w:szCs w:val="24"/>
                  <w:lang w:eastAsia="zh-CN"/>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ad371114211f08e9f87c0d053bf09">
            <w:r w:rsidRPr="00532B9F">
              <w:rPr>
                <w:rFonts w:ascii="Times New Roman" w:eastAsia="MS Mincho" w:hAnsi="Times New Roman"/>
                <w:sz w:val="20"/>
                <w:i/>
                <w:iCs/>
                <w:color w:val="0000FF" w:themeColor="hyperlink"/>
                <w:u w:val="single"/>
              </w:rPr>
              <w:t>D1-43</w:t>
            </w:r>
          </w:fldSimple>
          <w:r>
            <w:rPr>
              <w:rFonts w:ascii="Times New Roman" w:eastAsia="MS Mincho" w:hAnsi="Times New Roman"/>
              <w:sz w:val="20"/>
              <w:i/>
              <w:iCs/>
            </w:rPr>
            <w:t>,
2025-04-04,
paskelbta TAR 2025-04-04, i. k. 2025-05980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6dbd02f5c11e4a83cb4f588d2ac1a">
            <w:r w:rsidRPr="00532B9F">
              <w:rPr>
                <w:rFonts w:ascii="Times New Roman" w:eastAsia="MS Mincho" w:hAnsi="Times New Roman"/>
                <w:sz w:val="20"/>
                <w:iCs/>
                <w:color w:val="0000FF" w:themeColor="hyperlink"/>
                <w:u w:val="single"/>
              </w:rPr>
              <w:t>D1-698</w:t>
            </w:r>
          </w:fldSimple>
          <w:r>
            <w:rPr>
              <w:rFonts w:ascii="Times New Roman" w:eastAsia="MS Mincho" w:hAnsi="Times New Roman"/>
              <w:sz w:val="20"/>
              <w:iCs/>
            </w:rPr>
            <w:t>,
2014-08-28,
paskelbta TAR 2014-08-29, i. k. 2014-11431                </w:t>
          </w:r>
        </w:p>
        <w:p>
          <w:pPr>
            <w:jc w:val="both"/>
            <w:rPr>
              <w:rFonts w:ascii="Times New Roman" w:hAnsi="Times New Roman"/>
            </w:rPr>
          </w:pPr>
          <w:r>
            <w:rPr>
              <w:rFonts w:ascii="Times New Roman" w:hAnsi="Times New Roman"/>
              <w:sz w:val="20"/>
            </w:rPr>
            <w:t>Dėl Lietuvos Respublikos aplinkos ministro 2006 m. gruodžio 29 d. įsakymo Nr. D1-637 „Dėl statybinių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feaf40270611e6acf89da936cb7409">
            <w:r w:rsidRPr="00532B9F">
              <w:rPr>
                <w:rFonts w:ascii="Times New Roman" w:eastAsia="MS Mincho" w:hAnsi="Times New Roman"/>
                <w:sz w:val="20"/>
                <w:iCs/>
                <w:color w:val="0000FF" w:themeColor="hyperlink"/>
                <w:u w:val="single"/>
              </w:rPr>
              <w:t>D1-386</w:t>
            </w:r>
          </w:fldSimple>
          <w:r>
            <w:rPr>
              <w:rFonts w:ascii="Times New Roman" w:eastAsia="MS Mincho" w:hAnsi="Times New Roman"/>
              <w:sz w:val="20"/>
              <w:iCs/>
            </w:rPr>
            <w:t>,
2016-05-26,
paskelbta TAR 2016-05-31, i. k. 2016-14402                </w:t>
          </w:r>
        </w:p>
        <w:p>
          <w:pPr>
            <w:jc w:val="both"/>
            <w:rPr>
              <w:rFonts w:ascii="Times New Roman" w:hAnsi="Times New Roman"/>
            </w:rPr>
          </w:pPr>
          <w:r>
            <w:rPr>
              <w:rFonts w:ascii="Times New Roman" w:hAnsi="Times New Roman"/>
              <w:sz w:val="20"/>
            </w:rPr>
            <w:t>Dėl Lietuvos Respublikos aplinkos ministro 2006 m. gruodžio 29 d. įsakymo Nr. D1-637 „Dėl Statybinių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8d7e00695211e8ac27abd8fa093003">
            <w:r w:rsidRPr="00532B9F">
              <w:rPr>
                <w:rFonts w:ascii="Times New Roman" w:eastAsia="MS Mincho" w:hAnsi="Times New Roman"/>
                <w:sz w:val="20"/>
                <w:iCs/>
                <w:color w:val="0000FF" w:themeColor="hyperlink"/>
                <w:u w:val="single"/>
              </w:rPr>
              <w:t>D1-460</w:t>
            </w:r>
          </w:fldSimple>
          <w:r>
            <w:rPr>
              <w:rFonts w:ascii="Times New Roman" w:eastAsia="MS Mincho" w:hAnsi="Times New Roman"/>
              <w:sz w:val="20"/>
              <w:iCs/>
            </w:rPr>
            <w:t>,
2018-06-05,
paskelbta TAR 2018-06-06, i. k. 2018-09445                </w:t>
          </w:r>
        </w:p>
        <w:p>
          <w:pPr>
            <w:jc w:val="both"/>
            <w:rPr>
              <w:rFonts w:ascii="Times New Roman" w:hAnsi="Times New Roman"/>
            </w:rPr>
          </w:pPr>
          <w:r>
            <w:rPr>
              <w:rFonts w:ascii="Times New Roman" w:hAnsi="Times New Roman"/>
              <w:sz w:val="20"/>
            </w:rPr>
            <w:t>Dėl Lietuvos Respublikos aplinkos ministro 2006 m. gruodžio 29 d. įsakymo Nr. D1-637 „Dėl Statybinių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f005b0ea7511ee9f5b8ffa077f9188">
            <w:r w:rsidRPr="00532B9F">
              <w:rPr>
                <w:rFonts w:ascii="Times New Roman" w:eastAsia="MS Mincho" w:hAnsi="Times New Roman"/>
                <w:sz w:val="20"/>
                <w:iCs/>
                <w:color w:val="0000FF" w:themeColor="hyperlink"/>
                <w:u w:val="single"/>
              </w:rPr>
              <w:t>D1-92</w:t>
            </w:r>
          </w:fldSimple>
          <w:r>
            <w:rPr>
              <w:rFonts w:ascii="Times New Roman" w:eastAsia="MS Mincho" w:hAnsi="Times New Roman"/>
              <w:sz w:val="20"/>
              <w:iCs/>
            </w:rPr>
            <w:t>,
2024-03-25,
paskelbta TAR 2024-03-25, i. k. 2024-05293                </w:t>
          </w:r>
        </w:p>
        <w:p>
          <w:pPr>
            <w:jc w:val="both"/>
            <w:rPr>
              <w:rFonts w:ascii="Times New Roman" w:hAnsi="Times New Roman"/>
            </w:rPr>
          </w:pPr>
          <w:r>
            <w:rPr>
              <w:rFonts w:ascii="Times New Roman" w:hAnsi="Times New Roman"/>
              <w:sz w:val="20"/>
            </w:rPr>
            <w:t>Dėl Lietuvos Respublikos aplinkos ministro 2006 m. gruodžio 29 d. įsakymo Nr. D1-637 „Dėl Statybinių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f9d160861711efabdbb4a1fc8b0b63">
            <w:r w:rsidRPr="00532B9F">
              <w:rPr>
                <w:rFonts w:ascii="Times New Roman" w:eastAsia="MS Mincho" w:hAnsi="Times New Roman"/>
                <w:sz w:val="20"/>
                <w:iCs/>
                <w:color w:val="0000FF" w:themeColor="hyperlink"/>
                <w:u w:val="single"/>
              </w:rPr>
              <w:t>D1-334</w:t>
            </w:r>
          </w:fldSimple>
          <w:r>
            <w:rPr>
              <w:rFonts w:ascii="Times New Roman" w:eastAsia="MS Mincho" w:hAnsi="Times New Roman"/>
              <w:sz w:val="20"/>
              <w:iCs/>
            </w:rPr>
            <w:t>,
2024-10-09,
paskelbta TAR 2024-10-09, i. k. 2024-17701                </w:t>
          </w:r>
        </w:p>
        <w:p>
          <w:pPr>
            <w:jc w:val="both"/>
            <w:rPr>
              <w:rFonts w:ascii="Times New Roman" w:hAnsi="Times New Roman"/>
            </w:rPr>
          </w:pPr>
          <w:r>
            <w:rPr>
              <w:rFonts w:ascii="Times New Roman" w:hAnsi="Times New Roman"/>
              <w:sz w:val="20"/>
            </w:rPr>
            <w:t>Dėl Lietuvos Respublikos aplinkos ministro 2006 m. gruodžio 29 d. įsakymo Nr. D1-637 „Dėl Statybinių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8ad371114211f08e9f87c0d053bf09">
            <w:r w:rsidRPr="00532B9F">
              <w:rPr>
                <w:rFonts w:ascii="Times New Roman" w:eastAsia="MS Mincho" w:hAnsi="Times New Roman"/>
                <w:sz w:val="20"/>
                <w:iCs/>
                <w:color w:val="0000FF" w:themeColor="hyperlink"/>
                <w:u w:val="single"/>
              </w:rPr>
              <w:t>D1-43</w:t>
            </w:r>
          </w:fldSimple>
          <w:r>
            <w:rPr>
              <w:rFonts w:ascii="Times New Roman" w:eastAsia="MS Mincho" w:hAnsi="Times New Roman"/>
              <w:sz w:val="20"/>
              <w:iCs/>
            </w:rPr>
            <w:t>,
2025-04-04,
paskelbta TAR 2025-04-04, i. k. 2025-05980                </w:t>
          </w:r>
        </w:p>
        <w:p>
          <w:pPr>
            <w:jc w:val="both"/>
            <w:rPr>
              <w:rFonts w:ascii="Times New Roman" w:hAnsi="Times New Roman"/>
            </w:rPr>
          </w:pPr>
          <w:r>
            <w:rPr>
              <w:rFonts w:ascii="Times New Roman" w:hAnsi="Times New Roman"/>
              <w:sz w:val="20"/>
            </w:rPr>
            <w:t>Dėl Lietuvos Respublikos aplinkos ministro 2006 m. gruodžio 29 d. įsakymo Nr. D1-637 „Dėl Statybinių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5bb69199fe11f0a8bbd1e98310677d">
            <w:r w:rsidRPr="00532B9F">
              <w:rPr>
                <w:rFonts w:ascii="Times New Roman" w:eastAsia="MS Mincho" w:hAnsi="Times New Roman"/>
                <w:sz w:val="20"/>
                <w:iCs/>
                <w:color w:val="0000FF" w:themeColor="hyperlink"/>
                <w:u w:val="single"/>
              </w:rPr>
              <w:t>D1-143</w:t>
            </w:r>
          </w:fldSimple>
          <w:r>
            <w:rPr>
              <w:rFonts w:ascii="Times New Roman" w:eastAsia="MS Mincho" w:hAnsi="Times New Roman"/>
              <w:sz w:val="20"/>
              <w:iCs/>
            </w:rPr>
            <w:t>,
2025-09-25,
paskelbta TAR 2025-09-25, i. k. 2025-16004                </w:t>
          </w:r>
        </w:p>
        <w:p>
          <w:pPr>
            <w:jc w:val="both"/>
            <w:rPr>
              <w:rFonts w:ascii="Times New Roman" w:hAnsi="Times New Roman"/>
            </w:rPr>
          </w:pPr>
          <w:r>
            <w:rPr>
              <w:rFonts w:ascii="Times New Roman" w:hAnsi="Times New Roman"/>
              <w:sz w:val="20"/>
            </w:rPr>
            <w:t>Dėl Lietuvos Respublikos aplinkos ministro 2006 m. gruodžio 29 d. įsakymo Nr. D1-637 „Dėl Statybinių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Cs w:val="24"/>
        <w:lang w:eastAsia="zh-CN"/>
      </w:rPr>
    </w:pPr>
    <w:r>
      <w:rPr>
        <w:color w:val="2B579A"/>
        <w:spacing w:val="10"/>
        <w:szCs w:val="24"/>
        <w:shd w:val="clear" w:color="auto" w:fill="E6E6E6"/>
        <w:lang w:eastAsia="zh-CN"/>
      </w:rPr>
      <w:fldChar w:fldCharType="begin"/>
    </w:r>
    <w:r>
      <w:rPr>
        <w:spacing w:val="10"/>
        <w:szCs w:val="24"/>
        <w:lang w:eastAsia="zh-CN"/>
      </w:rPr>
      <w:instrText>PAGE   \* MERGEFORMAT</w:instrText>
    </w:r>
    <w:r>
      <w:rPr>
        <w:color w:val="2B579A"/>
        <w:spacing w:val="10"/>
        <w:szCs w:val="24"/>
        <w:shd w:val="clear" w:color="auto" w:fill="E6E6E6"/>
        <w:lang w:eastAsia="zh-CN"/>
      </w:rPr>
      <w:fldChar w:fldCharType="separate"/>
    </w:r>
    <w:r>
      <w:rPr>
        <w:spacing w:val="10"/>
        <w:szCs w:val="24"/>
        <w:lang w:eastAsia="zh-CN"/>
      </w:rPr>
      <w:t>3</w:t>
    </w:r>
    <w:r>
      <w:rPr>
        <w:color w:val="2B579A"/>
        <w:spacing w:val="10"/>
        <w:szCs w:val="24"/>
        <w:shd w:val="clear" w:color="auto" w:fill="E6E6E6"/>
        <w:lang w:eastAsia="zh-CN"/>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Cs w:val="24"/>
        <w:lang w:eastAsia="zh-CN"/>
      </w:rPr>
    </w:pPr>
    <w:r>
      <w:rPr>
        <w:spacing w:val="10"/>
        <w:szCs w:val="24"/>
        <w:lang w:eastAsia="zh-CN"/>
      </w:rPr>
      <w:fldChar w:fldCharType="begin"/>
    </w:r>
    <w:r>
      <w:rPr>
        <w:spacing w:val="10"/>
        <w:szCs w:val="24"/>
        <w:lang w:eastAsia="zh-CN"/>
      </w:rPr>
      <w:instrText>PAGE   \* MERGEFORMAT</w:instrText>
    </w:r>
    <w:r>
      <w:rPr>
        <w:spacing w:val="10"/>
        <w:szCs w:val="24"/>
        <w:lang w:eastAsia="zh-CN"/>
      </w:rPr>
      <w:fldChar w:fldCharType="separate"/>
    </w:r>
    <w:r>
      <w:rPr>
        <w:spacing w:val="10"/>
        <w:szCs w:val="24"/>
        <w:lang w:eastAsia="zh-CN"/>
      </w:rPr>
      <w:t>8</w:t>
    </w:r>
    <w:r>
      <w:rPr>
        <w:spacing w:val="10"/>
        <w:szCs w:val="24"/>
        <w:lang w:eastAsia="zh-CN"/>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Cs w:val="24"/>
        <w:lang w:eastAsia="zh-CN"/>
      </w:rPr>
    </w:pPr>
    <w:r>
      <w:rPr>
        <w:spacing w:val="10"/>
        <w:szCs w:val="24"/>
        <w:lang w:eastAsia="zh-CN"/>
      </w:rPr>
      <w:fldChar w:fldCharType="begin"/>
    </w:r>
    <w:r>
      <w:rPr>
        <w:spacing w:val="10"/>
        <w:szCs w:val="24"/>
        <w:lang w:eastAsia="zh-CN"/>
      </w:rPr>
      <w:instrText>PAGE   \* MERGEFORMAT</w:instrText>
    </w:r>
    <w:r>
      <w:rPr>
        <w:spacing w:val="10"/>
        <w:szCs w:val="24"/>
        <w:lang w:eastAsia="zh-CN"/>
      </w:rPr>
      <w:fldChar w:fldCharType="separate"/>
    </w:r>
    <w:r>
      <w:rPr>
        <w:spacing w:val="10"/>
        <w:szCs w:val="24"/>
        <w:lang w:eastAsia="zh-CN"/>
      </w:rPr>
      <w:t>7</w:t>
    </w:r>
    <w:r>
      <w:rPr>
        <w:spacing w:val="10"/>
        <w:szCs w:val="24"/>
        <w:lang w:eastAsia="zh-CN"/>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Cs w:val="24"/>
        <w:lang w:eastAsia="zh-CN"/>
      </w:rPr>
    </w:pPr>
    <w:r>
      <w:rPr>
        <w:spacing w:val="10"/>
        <w:szCs w:val="24"/>
        <w:lang w:eastAsia="zh-CN"/>
      </w:rPr>
      <w:fldChar w:fldCharType="begin"/>
    </w:r>
    <w:r>
      <w:rPr>
        <w:spacing w:val="10"/>
        <w:szCs w:val="24"/>
        <w:lang w:eastAsia="zh-CN"/>
      </w:rPr>
      <w:instrText>PAGE   \* MERGEFORMAT</w:instrText>
    </w:r>
    <w:r>
      <w:rPr>
        <w:spacing w:val="10"/>
        <w:szCs w:val="24"/>
        <w:lang w:eastAsia="zh-CN"/>
      </w:rPr>
      <w:fldChar w:fldCharType="separate"/>
    </w:r>
    <w:r>
      <w:rPr>
        <w:spacing w:val="10"/>
        <w:szCs w:val="24"/>
        <w:lang w:eastAsia="zh-CN"/>
      </w:rPr>
      <w:t>2</w:t>
    </w:r>
    <w:r>
      <w:rPr>
        <w:spacing w:val="10"/>
        <w:szCs w:val="24"/>
        <w:lang w:eastAsia="zh-CN"/>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Cs w:val="24"/>
        <w:lang w:eastAsia="zh-CN"/>
      </w:rPr>
    </w:pPr>
    <w:r>
      <w:rPr>
        <w:spacing w:val="10"/>
        <w:szCs w:val="24"/>
        <w:lang w:eastAsia="zh-CN"/>
      </w:rPr>
      <w:fldChar w:fldCharType="begin"/>
    </w:r>
    <w:r>
      <w:rPr>
        <w:spacing w:val="10"/>
        <w:szCs w:val="24"/>
        <w:lang w:eastAsia="zh-CN"/>
      </w:rPr>
      <w:instrText>PAGE   \* MERGEFORMAT</w:instrText>
    </w:r>
    <w:r>
      <w:rPr>
        <w:spacing w:val="10"/>
        <w:szCs w:val="24"/>
        <w:lang w:eastAsia="zh-CN"/>
      </w:rPr>
      <w:fldChar w:fldCharType="separate"/>
    </w:r>
    <w:r>
      <w:rPr>
        <w:spacing w:val="10"/>
        <w:szCs w:val="24"/>
        <w:lang w:eastAsia="zh-CN"/>
      </w:rPr>
      <w:t>4</w:t>
    </w:r>
    <w:r>
      <w:rPr>
        <w:spacing w:val="10"/>
        <w:szCs w:val="24"/>
        <w:lang w:eastAsia="zh-CN"/>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Cs w:val="24"/>
        <w:lang w:eastAsia="zh-CN"/>
      </w:rPr>
    </w:pPr>
    <w:r>
      <w:rPr>
        <w:color w:val="2B579A"/>
        <w:spacing w:val="10"/>
        <w:szCs w:val="24"/>
        <w:shd w:val="clear" w:color="auto" w:fill="E6E6E6"/>
        <w:lang w:eastAsia="zh-CN"/>
      </w:rPr>
      <w:fldChar w:fldCharType="begin"/>
    </w:r>
    <w:r>
      <w:rPr>
        <w:spacing w:val="10"/>
        <w:szCs w:val="24"/>
        <w:lang w:eastAsia="zh-CN"/>
      </w:rPr>
      <w:instrText>PAGE   \* MERGEFORMAT</w:instrText>
    </w:r>
    <w:r>
      <w:rPr>
        <w:color w:val="2B579A"/>
        <w:spacing w:val="10"/>
        <w:szCs w:val="24"/>
        <w:shd w:val="clear" w:color="auto" w:fill="E6E6E6"/>
        <w:lang w:eastAsia="zh-CN"/>
      </w:rPr>
      <w:fldChar w:fldCharType="separate"/>
    </w:r>
    <w:r>
      <w:rPr>
        <w:spacing w:val="10"/>
        <w:szCs w:val="24"/>
        <w:lang w:eastAsia="zh-CN"/>
      </w:rPr>
      <w:t>2</w:t>
    </w:r>
    <w:r>
      <w:rPr>
        <w:color w:val="2B579A"/>
        <w:spacing w:val="10"/>
        <w:szCs w:val="24"/>
        <w:shd w:val="clear" w:color="auto" w:fill="E6E6E6"/>
        <w:lang w:eastAsia="zh-CN"/>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Cs w:val="24"/>
        <w:lang w:eastAsia="zh-CN"/>
      </w:rPr>
    </w:pPr>
    <w:r>
      <w:rPr>
        <w:color w:val="2B579A"/>
        <w:spacing w:val="10"/>
        <w:szCs w:val="24"/>
        <w:shd w:val="clear" w:color="auto" w:fill="E6E6E6"/>
        <w:lang w:eastAsia="zh-CN"/>
      </w:rPr>
      <w:fldChar w:fldCharType="begin"/>
    </w:r>
    <w:r>
      <w:rPr>
        <w:spacing w:val="10"/>
        <w:szCs w:val="24"/>
        <w:lang w:eastAsia="zh-CN"/>
      </w:rPr>
      <w:instrText>PAGE   \* MERGEFORMAT</w:instrText>
    </w:r>
    <w:r>
      <w:rPr>
        <w:color w:val="2B579A"/>
        <w:spacing w:val="10"/>
        <w:szCs w:val="24"/>
        <w:shd w:val="clear" w:color="auto" w:fill="E6E6E6"/>
        <w:lang w:eastAsia="zh-CN"/>
      </w:rPr>
      <w:fldChar w:fldCharType="separate"/>
    </w:r>
    <w:r>
      <w:rPr>
        <w:spacing w:val="10"/>
        <w:szCs w:val="24"/>
        <w:lang w:eastAsia="zh-CN"/>
      </w:rPr>
      <w:t>2</w:t>
    </w:r>
    <w:r>
      <w:rPr>
        <w:color w:val="2B579A"/>
        <w:spacing w:val="10"/>
        <w:szCs w:val="24"/>
        <w:shd w:val="clear" w:color="auto" w:fill="E6E6E6"/>
        <w:lang w:eastAsia="zh-CN"/>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Cs w:val="24"/>
        <w:lang w:eastAsia="zh-CN"/>
      </w:rPr>
    </w:pPr>
    <w:r>
      <w:rPr>
        <w:spacing w:val="10"/>
        <w:szCs w:val="24"/>
        <w:lang w:eastAsia="zh-CN"/>
      </w:rPr>
      <w:fldChar w:fldCharType="begin"/>
    </w:r>
    <w:r>
      <w:rPr>
        <w:spacing w:val="10"/>
        <w:szCs w:val="24"/>
        <w:lang w:eastAsia="zh-CN"/>
      </w:rPr>
      <w:instrText>PAGE   \* MERGEFORMAT</w:instrText>
    </w:r>
    <w:r>
      <w:rPr>
        <w:spacing w:val="10"/>
        <w:szCs w:val="24"/>
        <w:lang w:eastAsia="zh-CN"/>
      </w:rPr>
      <w:fldChar w:fldCharType="separate"/>
    </w:r>
    <w:r>
      <w:rPr>
        <w:spacing w:val="10"/>
        <w:szCs w:val="24"/>
        <w:lang w:eastAsia="zh-CN"/>
      </w:rPr>
      <w:t>11</w:t>
    </w:r>
    <w:r>
      <w:rPr>
        <w:spacing w:val="10"/>
        <w:szCs w:val="24"/>
        <w:lang w:eastAsia="zh-CN"/>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FA5D2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54C7E18B"/>
  <w15:docId w15:val="{A44C7AA9-02E3-45BF-9732-8CCF52C9508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4.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5.xml"/>
  <Relationship Id="rId14" Type="http://schemas.openxmlformats.org/officeDocument/2006/relationships/footer" Target="footer12.xml"/>
  <Relationship Id="rId15" Type="http://schemas.openxmlformats.org/officeDocument/2006/relationships/header" Target="header25.xml"/>
  <Relationship Id="rId16" Type="http://schemas.openxmlformats.org/officeDocument/2006/relationships/header" Target="header26.xml"/>
  <Relationship Id="rId17" Type="http://schemas.openxmlformats.org/officeDocument/2006/relationships/footer" Target="footer22.xml"/>
  <Relationship Id="rId18" Type="http://schemas.openxmlformats.org/officeDocument/2006/relationships/footer" Target="footer23.xml"/>
  <Relationship Id="rId19" Type="http://schemas.openxmlformats.org/officeDocument/2006/relationships/header" Target="header27.xml"/>
  <Relationship Id="rId2" Type="http://schemas.openxmlformats.org/officeDocument/2006/relationships/fontTable" Target="fontTable.xml"/>
  <Relationship Id="rId20" Type="http://schemas.openxmlformats.org/officeDocument/2006/relationships/footer" Target="footer24.xml"/>
  <Relationship Id="rId21" Type="http://schemas.openxmlformats.org/officeDocument/2006/relationships/footer" Target="footer25.xml"/>
  <Relationship Id="rId22" Type="http://schemas.openxmlformats.org/officeDocument/2006/relationships/footer" Target="footer26.xml"/>
  <Relationship Id="rId23" Type="http://schemas.openxmlformats.org/officeDocument/2006/relationships/customXml" Target="../customXml/item1.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3.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452f36bf9d4a5995fa807dc80728ac" PartId="98e022d5d56c4f6ab6bb21a2894c39d3">
    <Part Type="preambule" DocPartId="f86df2e71592400687908b73e7dc0d88" PartId="5d0c210141444d138a579338f1c18cff"/>
    <Part Type="pastraipa" DocPartId="1f68ec9c1044419a8a0ac2273268d40f" PartId="79aaa24a9c724fc7b5a654b52ab32f0c"/>
    <Part Type="signatura" DocPartId="97237e373c29407cb7b94f9495d8e529" PartId="9894759bf473442e99617bac4356f527"/>
  </Part>
  <Part Type="patvirtinta" Title="STATYBINIŲ ATLIEKŲ TVARKYMO TAISYKLĖS" DocPartId="84505c4f1b60468e9ee5c5ce5849dc26" PartId="b989e4fab75d419c8bc4587b8efe49d2">
    <Part Type="skyrius" Nr="1" Title="„I SKYRIUS BENDROSIOS NUOSTATOS“." DocPartId="59e4672ba0494ee1816ff303c37ae2af" PartId="ff45e4327b68437282e060ba472eb760">
      <Part Type="punktas" Nr="1" Abbr="1 p." DocPartId="2b986570aafe4986bd8175b8911c6b67" PartId="907a86af00ff4c8b946e91bc6e849761"/>
      <Part Type="punktas" Nr="2" Abbr="2 p." DocPartId="6b7a783a399a4629afc3e8bd1386c6a6" PartId="6f35b72134c04d858ea896d2ef867555"/>
      <Part Type="punktas" Nr="3" Abbr="3 p." DocPartId="c683bc743d3f42f99ad4d0db66c6ed2c" PartId="17b0f79cb658401c920cc39ecd9e91ee">
        <Part Type="papunktis" Nr="3.1" Abbr="3.1 pp." DocPartId="c4ce14b0199947cf924d34236fecba64" PartId="4de912041dc540d390a7837a1d2570a3"/>
        <Part Type="papunktis" Nr="3.2" Abbr="3.2 pp." DocPartId="34f5273ec6a34c238e71fbe58ed40735" PartId="214c27559d67479b9af3e61fdfdc95fc"/>
        <Part Type="papunktis" Nr="3.3" Abbr="3.3 pp." DocPartId="c3728bcf35af412d8ff0a50fadb62b04" PartId="027130b0b05345ed9103b44bf2db9f9b"/>
        <Part Type="papunktis" Nr="3.4" Abbr="3.4 pp." DocPartId="c0d16fc453eb4a5491725aa215b3ef3e" PartId="4c59502f70244c159d01af854e1c586b"/>
        <Part Type="papunktis" Nr="3.5" Abbr="3.5 pp." DocPartId="bf596d6c006e4796aceccbce81241f64" PartId="253c1f25607041c9a293334b1094e338"/>
      </Part>
      <Part Type="punktas" Nr="3-1" Abbr="3-1 p." DocPartId="6c8eead9e56441208159cfe1e4b28f2d" PartId="34624a24586d49f3b0c93b761e15d179"/>
    </Part>
    <Part Type="skyrius" Nr="2" Title="„II SKYRIUS STATYBINIŲ ATLIEKŲ SUSIDARYMO IR TVARKYMO PLANAVIMAS“." DocPartId="73a2f089c8c442ca81431616a8e688ed" PartId="0551d67488f048e2ac3d953fa7f37f33">
      <Part Type="punktas" Nr="4" Abbr="4 p." DocPartId="c53f7e432407422491b9033c51c282c8" PartId="17dcf2068bd64d3da802ebb98843983e">
        <Part Type="punktas" Nr="4.1" Abbr="4.1 p." DocPartId="bbd04ce6df534b12b747c48f8ee26c80" PartId="a9eee3709b3f49e5933b19ec6fe727f1"/>
        <Part Type="punktas" Nr="4.2" Abbr="4.2 p." DocPartId="c842a5448bc1495493e6787c8db8214e" PartId="b2bb5d8754414148b55a05036e2407d8"/>
      </Part>
      <Part Type="punktas" Nr="5" Abbr="5 p." DocPartId="363300aa24734a8185cd93d21eed28ac" PartId="24fcf36664864aceb0b08c714c39d94a">
        <Part Type="punktas" Nr="5.1" Abbr="5.1 p." DocPartId="4262dc5d20ea4f51a2c9cdc1f1d889eb" PartId="83c046916f3b42268f3c21253b0fa4d7"/>
        <Part Type="punktas" Nr="5.2" Abbr="5.2 p." DocPartId="42f65f3538db460a8a23c9465eabed14" PartId="1a30797203ab46e497fe36c9c0d1423c"/>
        <Part Type="punktas" Nr="5.3" Abbr="5.3 p." DocPartId="2a46d8cffe4446acaed171e382f11013" PartId="014c3afb76474877b11cd981bcef2491"/>
        <Part Type="punktas" Nr="5.4" Abbr="5.4 p." DocPartId="1863233911094da691ddd9d9a06d693d" PartId="cbb396b2a92743719bbf0a64736e9492"/>
      </Part>
    </Part>
    <Part Type="skyrius" Nr="3" Title="„III SKYRIUS STATYBINIŲ ATLIEKŲ APSKAITA IR TVARKYMAS STATYBVIETĖJE“." DocPartId="952c5dbf41ca46c2acd930975aa94b83" PartId="5fa16bcaa67345598296fa12c5990892">
      <Part Type="punktas" Nr="6" Abbr="6 p." DocPartId="9bbb7d1afd034c418036d78550230b08" PartId="7efff78efd1d42798bf87b85a93f0bcf"/>
      <Part Type="punktas" Nr="7" Abbr="7 p." DocPartId="6b6cd5235d9e476db8f18d08fd6e858a" PartId="d1d72cebce554582986b72f2dd4322b7">
        <Part Type="papunktis" Nr="7.1" Abbr="7.1 pp." DocPartId="b0564b680c514798bd2d868853e65734" PartId="9cc91e712371484ba17589b6d140a5db"/>
        <Part Type="papunktis" Nr="7.2" Abbr="7.2 pp." DocPartId="19dfeddcefbf45d28357184b76a8aa75" PartId="7a89e26e17cd48398cd6fd60c3c99c3a"/>
        <Part Type="papunktis" Nr="7.3" Abbr="7.3 pp." DocPartId="e4f660bb282f4b4aabf9ccaf73cdea74" PartId="bd8217f4765d4bf588d1ff2346298df4"/>
        <Part Type="papunktis" Nr="7.4" Abbr="7.4 pp." DocPartId="1a764b3e53f24fe3a29379a362671b81" PartId="26172394879847bc8f4a986655bcdc50"/>
        <Part Type="papunktis" Nr="7.5" Abbr="7.5 pp." DocPartId="d0a05461b9db4e9db071cba961f8243f" PartId="d0cf84fd9b6c43ba9836028157eb550b"/>
        <Part Type="papunktis" Nr="7.6" Abbr="7.6 pp." DocPartId="b402c23718ce41a08cdcaa6ad8d14feb" PartId="19ef09cc550b4b8b83ec2a23d555e965"/>
        <Part Type="papunktis" Nr="7.7" Abbr="7.7 pp." DocPartId="9837dbb826c3419bbe1de0c2b9b90bc0" PartId="7074a8ba506249c0ae93366a1268d89d"/>
        <Part Type="papunktis" Nr="7.8" Abbr="7.8 pp." DocPartId="873f17860a134066aefc1d61c8769eb3" PartId="65f8a1336a6e4007b8d3b6b1992e5017"/>
      </Part>
      <Part Type="punktas" Nr="7-1" Abbr="7-1 p." DocPartId="cda02f20b9bc4c708bb3c5012f52b9af" PartId="a27c02abbc2049a0bb0670f1f12a19a3"/>
      <Part Type="punktas" Nr="7-2" Abbr="7-2 p." DocPartId="af6f605adbfb45c885ce7cded40abad4" PartId="cf01d6de19d54e91bb83b9cbe424e416"/>
      <Part Type="punktas" Nr="8" Abbr="8 p." DocPartId="4e3e52858bbe4b1d92a6b8f39a7062f9" PartId="94b83f981fbe43a99e8f66b2ad1bf31e"/>
      <Part Type="punktas" Nr="9" Abbr="9 p." DocPartId="8ebff1fc8fbf4923b8afc871551fe6ff" PartId="5f5b3fdc34434f0db99a372cfd63d8d3"/>
      <Part Type="punktas" Nr="10" Abbr="10 p." DocPartId="469a3785a5154f899c4ea9f27b7909d5" PartId="5853249e3f184f1db573a88eac9b4624"/>
      <Part Type="punktas" Nr="11" Abbr="11 p." DocPartId="68fe9c2b37d94dc884bd37be2cf8b923" PartId="c2c18a28a68b41f491b5d7f6bf7f0410"/>
    </Part>
    <Part Type="skyrius" Nr="4" Title="„IV SKYRIUS STATYBINIŲ ATLIEKŲ SMULKINIMAS MOBILIA ĮRANGA STATYBVIETĖJE“." DocPartId="789e21f9a83e4f03aae5e715a3b03bbb" PartId="7c528a60cf8f4bd18482e733d063d478">
      <Part Type="punktas" Nr="12" Abbr="12 p." DocPartId="f5aaf7255da4448f94b734b07b2ffcd9" PartId="06577db2066b4bf09fdefb7cf06cd830"/>
      <Part Type="punktas" Nr="13" Abbr="13 p." DocPartId="9b30229b5f144e76a053b428867e03c5" PartId="afd8d6642a6e4634b8b66a5c14dc501b"/>
      <Part Type="punktas" Nr="14" Abbr="14 p." DocPartId="b773c625eafb4810882574ea766341d6" PartId="6e9d312d97e2453c9a393cfd6812e081"/>
      <Part Type="punktas" Nr="15" Abbr="15 p." DocPartId="2dfa34da2b6146109ba0d8e26680848f" PartId="be6ce450956846d9ae473bb51153fbd9"/>
    </Part>
    <Part Type="skyrius" Nr="5" Title="„V SKYRIUS NEAPDOROTŲ STATYBINIŲ ATLIEKŲ SUNAUDOJIMAS“." DocPartId="1dee1314b40c4141ab5384cdaf52b529" PartId="45f898ac44a4416ab4d9f8a9f782c504">
      <Part Type="punktas" Nr="16" Abbr="16 p." DocPartId="8b6bc2b80cf5451683d74fb8e93c734a" PartId="7010a024a99344738ed5d4b4c8255e5b">
        <Part Type="punktas" Nr="16.1" Abbr="16.1 p." DocPartId="d25f1b9cbc1b43d994cd0b0aa461715a" PartId="98809cc557344e0e9cfcbdae60858560"/>
        <Part Type="punktas" Nr="16.2" Abbr="16.2 p." DocPartId="7582741327a44bcd96bfa98916cbfc83" PartId="9f54fe3383c34b308ad9a12e66ca917a"/>
        <Part Type="punktas" Nr="16.3" Abbr="16.3 p." DocPartId="8c62d9a98d954bcb9863040b3bf2efab" PartId="14bc606040a9485bae3365512ca2035e"/>
        <Part Type="punktas" Nr="16.4" Abbr="16.4 p." DocPartId="93d96552d24d4cd99d2234bf6d77a8ea" PartId="1afb73aaa37b407c9cafc434c2332894"/>
      </Part>
    </Part>
    <Part Type="skyrius" Nr="6" Title="„VI SKYRIUS STATYBINIŲ ATLIEKŲ VEŽIMAS, NAUDOJIMAS IR ŠALINIMAS“." DocPartId="5973ef35d7724b888429a9af71f7f7e5" PartId="f84fb0bebb8f48f7b73575706d67f14e">
      <Part Type="punktas" Nr="17" Abbr="17 p." DocPartId="4e3aa638ee1043cd810116ff8f891f73" PartId="20853b81eabb4817aaf9d473f4740c35"/>
      <Part Type="punktas" Nr="18" Abbr="18 p." DocPartId="36c836cc1b92419483937842c208358f" PartId="942041835d7940e1a24d1f0411331c52"/>
      <Part Type="punktas" Nr="19" Abbr="19 p." DocPartId="8a01d57ad527473b93a37527762aabf4" PartId="a0f181893f5541c9a69645f37cdcafbf"/>
      <Part Type="punktas" Nr="20" Abbr="20 p." DocPartId="d62fb23ebd7d4421980b5ccd46013c3e" PartId="30358bc1fd294ae9b2c0afe0e5fa2cdc"/>
      <Part Type="punktas" Nr="21" Abbr="21 p." DocPartId="f1aa34a18bef48ab99c59aee84b38ac5" PartId="fa7f8612649d4aa6b0ba1ec3c1a9f01c"/>
      <Part Type="punktas" Nr="22" Abbr="22 p." DocPartId="64538791d26d476ead3b6717efce8b15" PartId="dce8468ef5d1469899614c708a22a5a5"/>
      <Part Type="punktas" Nr="23" Abbr="23 p." DocPartId="edd2fb6e82324a2bb8a938b032242714" PartId="3848d8d292fe4730811c0a6ebe0b251e"/>
    </Part>
    <Part Type="skyrius" Nr="7" Title="„VII SKYRIUS ASBESTO TURINČIŲ STATYBINIŲ ATLIEKŲ TVARKYMAS“." DocPartId="09db5f422d7b4322af39ca371f366544" PartId="f15eb9f5c3264f7f836df12b5d011585">
      <Part Type="punktas" Nr="24" Abbr="24 p." DocPartId="c7074c0e6d6741c282935a4f8e9f0bfb" PartId="ac19e0f8093f48e1aeeec561e0416dbc"/>
      <Part Type="punktas" Nr="25" Abbr="25 p." DocPartId="0e564fc6f4884a0eade7270794f98de1" PartId="6c714d5b7b224d6e8bdf054512481311">
        <Part Type="punktas" Nr="25.1" Abbr="25.1 p." DocPartId="618aac2510d548c1857add0ba67d3428" PartId="96092f601ee441e697d01e025e37f6b8"/>
        <Part Type="punktas" Nr="25.2" Abbr="25.2 p." DocPartId="e505c28c643b4fa8a09951ec1a30e474" PartId="4c22e78adb3c4643b485ea9dd0bec144"/>
        <Part Type="punktas" Nr="25.3" Abbr="25.3 p." DocPartId="1bbac2813d8a47ea8b3546c7fe352ce6" PartId="35a19fb3646b4e68bf7105495682a411"/>
        <Part Type="punktas" Nr="25.4" Abbr="25.4 p." DocPartId="88e9f5fef9f2424db81e9c6a0c00ca62" PartId="5173af254b2e4c578422d2eedaeae073"/>
      </Part>
      <Part Type="punktas" Nr="26" Abbr="26 p." DocPartId="d4b465abe6224348a2e68bcc6b86ff78" PartId="b32133be2e1a499fbfff8b50f4e3da83"/>
    </Part>
    <Part Type="skyrius" Nr="7-1" Title="OZONO SLUOKSNĮ ARDANČIŲ MEDŽIAGŲ IR FLUORINTŲ ŠILTNAMIO EFEKTĄ SUKELIANČIŲ DUJŲ TURINČIŲ STATYBINIŲ ATLIEKŲ TVARKYMAS" DocPartId="f061afd5d4b647c083481e027959bd8d" PartId="10924c29e71b48d396279656e8cb514b">
      <Part Type="punktas" Nr="26-1" Abbr="26-1 p." DocPartId="338e82f691d948c0af2e584a93d270e9" PartId="8bf4ee3ff22243808f989bf30955e45f">
        <Part Type="papunktis" Nr="26-1.1" Abbr="26-1.1 pp." DocPartId="bc641078a9494ab09ee1fe76c77f4971" PartId="29444150302d46338560cf5408911850"/>
        <Part Type="papunktis" Nr="26-1.2" Abbr="26-1.2 pp." DocPartId="2330393b1a81407997a0c98816e48aed" PartId="4a4e5466e3434cebb460d239de86050d"/>
        <Part Type="papunktis" Nr="26-1.3" Abbr="26-1.3 pp." DocPartId="a2cc8e68ad7742a5b03f8ed97e20f543" PartId="123d2196dd87409eb876d6dc0ddfb847"/>
      </Part>
    </Part>
    <Part Type="skyrius" Nr="8" Title="PERDIRBTŲ INERTINIŲ STATYBINIŲ ATLIEKŲ NEBELAIKYMAS ATLIEKOMIS" DocPartId="981f5f203546442c97ef76c2e193dd02" PartId="1ce35d1d71d5441899bcc542133ebf07">
      <Part Type="punktas" Nr="27" Abbr="27 p." DocPartId="17b290d41a3a48cd81f26187cee5087d" PartId="ddb855f063ce420985883ba42f01ac87"/>
      <Part Type="punktas" Nr="27-1" Abbr="27-1 p." DocPartId="0ca102a4f815473ebf94dbfb00345c02" PartId="a0779dd8e1744c8dbaf7266ffca691a0">
        <Part Type="papunktis" Nr="27-1.1" Abbr="27-1.1 pp." DocPartId="19e1f80db3db407e9e69bfe0bc050663" PartId="73f8eccc2147465987fd330098a23a77"/>
        <Part Type="papunktis" Nr="27-1.2" Abbr="27-1.2 pp." DocPartId="975c7c2542cd49cda61690eb3a918f04" PartId="9e40763c7ce84d75b32e77bc84f26e42"/>
      </Part>
      <Part Type="punktas" Nr="28" Abbr="28 p." DocPartId="4ca80a120205424bbc6f5aeae6d240b7" PartId="e091c9b6acb046929111620cde5e3f4a"/>
      <Part Type="punktas" Nr="29" Abbr="29 p." DocPartId="05ad7adeea6d4234b2aebcf87ad41d83" PartId="ab37d19168114e6f815d11f7598d24f7">
        <Part Type="papunktis" Nr="29.1" Abbr="29.1 pp." DocPartId="c9df1e116ad04a3d92f421919c7853db" PartId="0e7083cd8aa04d109f722156127f7dc2"/>
        <Part Type="papunktis" Nr="29.2" Abbr="29.2 pp." DocPartId="b720eb39c1734f17acc44098a24e2c9f" PartId="9d62c6332f7e45ceb1a45d679eb213e0"/>
        <Part Type="papunktis" Nr="29.3" Abbr="29.3 pp." DocPartId="2cafd6eea30646da8814991899bfeb2d" PartId="8894e5abdd2f4e159dcdbff1d9e8d3e6"/>
        <Part Type="papunktis" Nr="29.4" Abbr="29.4 pp." DocPartId="c4a5b743fc3143aea20bf1154199aa96" PartId="143480d67bfc4f21bfc4eac8639a83a1"/>
      </Part>
      <Part Type="punktas" Nr="30" Abbr="30 p." DocPartId="36384aacc77d430dbdc1b29caea63312" PartId="1b82b6741c01486da36a86f3ea00e9ae"/>
      <Part Type="punktas" Nr="31" Abbr="31 p." DocPartId="e006526844c74fe9883024b5857012ff" PartId="a462163acd0a41a586d340ea82877982"/>
      <Part Type="punktas" Nr="32" Abbr="32 p." DocPartId="00221ed8bb624c619a380586b20352e9" PartId="48c059e3a4844029a879067728ace49f"/>
      <Part Type="punktas" Nr="33" Abbr="33 p." DocPartId="24438252d5bc4c938e5a24f8656afe5b" PartId="7770e724e43e404a8654a313f6dfc206"/>
      <Part Type="punktas" Nr="34" Abbr="34 p." DocPartId="b2a9edc32fb04a208a636754f7d6ab62" PartId="468feb6b8c8e4b9695efcb06e6dd5d4d"/>
      <Part Type="punktas" Nr="35" Abbr="35 p." DocPartId="17c86f527ad14dee8f5de516f0f7b86e" PartId="1765e5fe91a74d71b9d4f1feb8e0e9b3"/>
      <Part Type="punktas" Nr="36" Abbr="36 p." DocPartId="fc58804a92ce4ef19834f2b4f2675a26" PartId="c626f3fd5ce2412d86184606a37a103f"/>
    </Part>
    <Part Type="skyrius" Nr="9" Title="PERDIRBTŲ INERTINIŲ STATYBINIŲ ATLIEKŲ NEBELAIKYMO ATLIEKOMIS ATITIKTIES DEKLARACIJA" DocPartId="b41148757faf4b188f2dd0a0b206de6c" PartId="1d324f37300a4877b00bee066070b2c0">
      <Part Type="punktas" Nr="37" Abbr="37 p." DocPartId="3d5a25ad2de249f78329dee2f582959f" PartId="e3f1e9daf7e24a25b96050c9415314f1">
        <Part Type="papunktis" Nr="37.1" Abbr="37.1 pp." DocPartId="5b8ee1c96fee4bb1af755e1f827be2f8" PartId="6d71b85a03b44523a3cdcde81c2d75fb"/>
        <Part Type="papunktis" Nr="37.2" Abbr="37.2 pp." DocPartId="17eab17603d84f3a9f5fe349394f33aa" PartId="d8ff20479cda460e8bf9702d01572598"/>
        <Part Type="papunktis" Nr="37.3" Abbr="37.3 pp." DocPartId="6aa5be65b8944b4fbf304358bf189a42" PartId="e19772647b4541949105d85f8621aea4"/>
        <Part Type="papunktis" Nr="37.4" Abbr="37.4 pp." DocPartId="74b77043a9594a7fbfef84051d367a8e" PartId="40faacb80481417881901a6316c203ef"/>
      </Part>
      <Part Type="punktas" Nr="38" Abbr="38 p." DocPartId="3c27c0f043b04a21bda42331c6243065" PartId="f71bb7eb65034dd2b7af734cf2fc69ac"/>
      <Part Type="punktas" Nr="39" Abbr="39 p." DocPartId="f30d018f9b934cb99dc69e6d4807d3e6" PartId="618ab38050a0432eab6e238fb51f4d32"/>
      <Part Type="punktas" Nr="39-1" Abbr="39-1 p." DocPartId="5c43b250230342738aea38edec37e981" PartId="87f0a5b58d2045079907449fa06eb8d2"/>
    </Part>
    <Part Type="skyrius" Nr="10" Title="INERTINIŲ STATYBINIŲ ATLIEKŲ PERDIRBIMO KOKYBĖS VALDYMO SISTEMA" DocPartId="42e72a86914a462ba919d07be3394971" PartId="33dfa79d3f914ce0bdeae65d1c01ecd0">
      <Part Type="punktas" Nr="40" Abbr="40 p." DocPartId="b36d28810d2d49bcb34b87036a1669b7" PartId="9a2ca0c451044cc1adfedeae5206c1dc"/>
      <Part Type="punktas" Nr="41" Abbr="41 p." DocPartId="b2ef7303d6b44a898acaf306fc288d43" PartId="7e394f89e18f4a46ad520eaea9721d72">
        <Part Type="papunktis" Nr="41.1" Abbr="41.1 pp." DocPartId="2b30c219efe847deaca8b1ce66a2edd6" PartId="c4ef9ee695404955888990d66810384b"/>
        <Part Type="papunktis" Nr="41.2" Abbr="41.2 pp." DocPartId="0bc80166b43d468caa3bf4ab51c4d922" PartId="220222bb92fe475e8957d35317df47cd"/>
        <Part Type="papunktis" Nr="41.3" Abbr="41.3 pp." DocPartId="453cfe03b860427c8df293011db948c3" PartId="3ab9066693eb47acad61ad0c27b4505d"/>
        <Part Type="papunktis" Nr="41.4" Abbr="41.4 pp." DocPartId="96340c72c3604a17b5a302fa4dfa2dfc" PartId="68f1d8ef2e864532acfc39253b1930c6"/>
        <Part Type="papunktis" Nr="41.5" Abbr="41.5 pp." DocPartId="dffb264e26b440c6a83137e54c4eba3a" PartId="94cef20d5fbc418fbb9a8d154bac695c"/>
        <Part Type="papunktis" Nr="41.6" Abbr="41.6 pp." DocPartId="1dede5519ff1477f922898ae5d30e9b6" PartId="f4b784689b264e52ba51b7425bc86223"/>
      </Part>
      <Part Type="punktas" Nr="42" Abbr="42 p." DocPartId="c5c28a4b6c984fb181aee7e64bddc506" PartId="14d2794ec6c545a78f983f2ddc00622f"/>
      <Part Type="punktas" Nr="43" Abbr="43 p." DocPartId="9ff508a7e2b942e5aeb9d38c78b1a16a" PartId="c9e2bfb07a214f22a645f54eb66ebd75"/>
      <Part Type="punktas" Nr="44" Abbr="44 p." DocPartId="ba488fc0c3414abd902037590463d3b2" PartId="a3f771fd276547fda00ff25ddd90649f">
        <Part Type="papunktis" Nr="44.1" Abbr="44.1 pp." DocPartId="9e1ff7fc044a4d98a0fb5fad3a9e6894" PartId="8fd110acaea04cb7a397428922296684"/>
        <Part Type="papunktis" Nr="44.2" Abbr="44.2 pp." DocPartId="3028b0ed3725449ab876b63ecdc0fcbf" PartId="27b92de484d44f70b867a7fe5604e44f">
          <Part Type="papunktis" Nr="44.2.1" Abbr="44.2.1 pp." DocPartId="d4c6421e687849a2ac67bdcc4501650d" PartId="8bc1c097960a427a9ff9408ef92ae186"/>
          <Part Type="papunktis" Nr="44.2.2" Abbr="44.2.2 pp." DocPartId="c3f976017933440ab959609ac99ea659" PartId="e32f4e7ab7b34621b8f50a3cb23a8237"/>
          <Part Type="papunktis" Nr="44.2.3" Abbr="44.2.3 pp." DocPartId="ba471701e15c4a208e6f11d237a88475" PartId="11742d5db4304599bf05e03b9f7057cd"/>
          <Part Type="papunktis" Nr="44.2.4" Abbr="44.2.4 pp." DocPartId="196b9d4c96a446d7b52ac818b118c484" PartId="5587aca075bd4d39bb94b53189ccff9d"/>
        </Part>
        <Part Type="papunktis" Nr="44.3" Abbr="44.3 pp." DocPartId="1006b0dc4f0b40c8af37b2cd3b51e0e5" PartId="bfe9a69ba9a0464fb147dc4f5f704fa3"/>
        <Part Type="papunktis" Nr="44.4" Abbr="44.4 pp." DocPartId="528cdea80c684f6b9a77a84f43f91d5c" PartId="f48320d0f9fa41ce95a4d73d650ea5f6"/>
      </Part>
      <Part Type="punktas" Nr="45" Abbr="45 p." DocPartId="ea67b082c1064cbbbe72f395dfa02c23" PartId="80eacfe72c144745bcd8bafdc4cf6b48"/>
      <Part Type="punktas" Nr="46" Abbr="46 p." DocPartId="61e0e0cebf794af4a8a2f2c09b8f8c77" PartId="70d87d03055b4194ab4579392cc640a1"/>
      <Part Type="punktas" Nr="47" Abbr="47 p." DocPartId="7711f94ce31741448b16303f0f87c656" PartId="7d58b285b4a14d678f61a73f643101de"/>
      <Part Type="punktas" Nr="48" Abbr="48 p." DocPartId="9df46aa0c81846448428e42358fc1b36" PartId="6da6f6a418c147cba7b59006d17eb206"/>
      <Part Type="punktas" Nr="49" Abbr="49 p." DocPartId="f466044174f24b6aa0645516dfe32320" PartId="fb14d23044ee47899b7042e79909710d"/>
    </Part>
    <Part Type="skyrius" Nr="11" Title="ATSAKOMYBĖ UŽ PAŽEIDIMĄ" DocPartId="c432b442cc1046bca1c192bf6d3e6ab2" PartId="4e52bf524cd747cfbe72f3a834da859d">
      <Part Type="punktas" Nr="50" Abbr="50 p." DocPartId="22b4d9989a8741089ded7bfd9abfc542" PartId="c2b19b4a1e1e4110b4ff0b09e8e43800"/>
    </Part>
  </Part>
  <Part Type="priedas" Nr="1" Abbr="1 pr." DocPartId="29acec61639643c19f37e5f66a592686" PartId="f4366bef9ad54a3ea74e4f67a1f98716">
    <Part Type="pabaiga" DocPartId="f447d1393a48480f9c0542aa92ad0d5e" PartId="c63f78887adf40be8f285f028b8a883e"/>
  </Part>
  <Part Type="priedas" Nr="2" Abbr="2 pr." Title="(Perdirbtų inertinių statybinių atliekų nebelaikymo atliekomis atitikties deklaracijos formos pavyzdys)" DocPartId="3f01081d539e473294290f416d27ad66" PartId="8ee501173fd147edad38ab9005dbeb73"/>
  <Part Type="priedas" Nr="3" Abbr="3 pr." Title="(Prašymo pratęsti perdirbto inertinio statybinio produkto naudojimo terminą forma)" DocPartId="abe5c6c007ac49838575b7a12a708a13" PartId="7f29f8eee14b42ef8c69ee524fac57ea">
    <Part Type="pabaiga" DocPartId="f3e0b62b4e2848938bccefc9ba1dde74" PartId="032c99999a8a4d6d8111f8eec1252ece"/>
  </Part>
  <Part Type="priedas" Nr="4" Abbr="4 pr." Title="LEISTINI FIZINIAI TERŠALAI IR JŲ RIBINĖS VERTĖS PERDIRBTOSE INERTINĖSE STATYBINĖSE ATLIEKOSE" DocPartId="9c1a88bc44164e5da1b1127af7e8e51e" PartId="e00abb937de845eeac6b3eba72315048">
    <Part Type="pabaiga" DocPartId="2434ee45bbc9440c88d81b44d889f0a2" PartId="54385966f17f40e5ad9bcdf4fa3f398e"/>
  </Part>
</Parts>
</file>

<file path=customXml/itemProps1.xml><?xml version="1.0" encoding="utf-8"?>
<ds:datastoreItem xmlns:ds="http://schemas.openxmlformats.org/officeDocument/2006/customXml" ds:itemID="{BDDAFB26-94E9-488C-97F0-872E7F2D6543}">
  <ds:schemaRefs>
    <ds:schemaRef ds:uri="http://lrs.lt/TAIS/DocParts"/>
  </ds:schemaRefs>
</ds:datastoreItem>
</file>

<file path=docProps/app.xml><?xml version="1.0" encoding="utf-8"?>
<Properties xmlns="http://schemas.openxmlformats.org/officeDocument/2006/extended-properties">
  <Template>Normal.dotm</Template>
  <TotalTime>26</TotalTime>
  <Pages>17</Pages>
  <Words>32866</Words>
  <Characters>18735</Characters>
  <Application>Microsoft Office Word</Application>
  <DocSecurity>0</DocSecurity>
  <Lines>156</Lines>
  <Paragraphs>102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APLINKOS MINISTRAS</vt:lpstr>
    </vt:vector>
  </TitlesOfParts>
  <Company/>
  <LinksUpToDate>false</LinksUpToDate>
  <CharactersWithSpaces>51499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2015-07-06T07:08:00Z</dcterms:created>
  <dc:creator>Rima</dc:creator>
  <lastModifiedBy>JUOSPONIENĖ Karolina</lastModifiedBy>
  <dcterms:modified xsi:type="dcterms:W3CDTF">2025-10-21T16:56:00Z</dcterms:modified>
  <revision>11</revision>
  <dc:title>LIETUVOS RESPUBLIKOS APLINKOS MINISTRAS</dc:title>
</coreProperties>
</file>