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95bee7b6484bfea6fd71f75b980cfa"/>
        <w:lock w:val="sdtLocked"/>
        <w:richText/>
      </w:sdtPr>
      <w:sdtContent>
        <w:p>
          <w:pPr>
            <w:jc w:val="both"/>
            <w:rPr>
              <w:rFonts w:ascii="Arial" w:hAnsi="Arial"/>
            </w:rPr>
          </w:pPr>
          <w:r>
            <w:rPr>
              <w:rFonts w:ascii="Arial" w:hAnsi="Arial"/>
              <w:b/>
              <w:i/>
            </w:rPr>
            <w:t>Suvestinė redakcija nuo 2024-08-10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2007, Nr. </w:t>
          </w:r>
          <w:fldSimple w:instr="HYPERLINK https://www.e-tar.lt/portal/legalAct.html?documentId=TAR.6779D0008885">
            <w:r w:rsidRPr="00532B9F">
              <w:rPr>
                <w:rFonts w:ascii="Arial" w:eastAsia="MS Mincho" w:hAnsi="Arial"/>
                <w:sz w:val="20"/>
                <w:i/>
                <w:iCs/>
                <w:color w:val="0000FF" w:themeColor="hyperlink"/>
                <w:u w:val="single"/>
              </w:rPr>
              <w:t>8-337</w:t>
            </w:r>
          </w:fldSimple>
          <w:r>
            <w:rPr>
              <w:rFonts w:ascii="Arial" w:eastAsia="MS Mincho" w:hAnsi="Arial"/>
              <w:sz w:val="20"/>
              <w:i/>
              <w:iCs/>
            </w:rPr>
            <w:t>, i. k. 106301MISAK00D1-636</w:t>
          </w:r>
        </w:p>
        <w:p>
          <w:pPr>
            <w:jc w:val="both"/>
            <w:rPr>
              <w:rFonts w:ascii="Arial" w:hAnsi="Arial"/>
              <w:sz w:val="20"/>
            </w:rPr>
          </w:pPr>
        </w:p>
        <w:p>
          <w:pPr>
            <w:rPr>
              <w:rFonts w:ascii="Arial" w:hAnsi="Arial"/>
              <w:sz w:val="20"/>
              <w:b/>
              <w:i/>
            </w:rPr>
          </w:pPr>
          <w:r>
            <w:rPr>
              <w:rFonts w:ascii="Arial" w:hAnsi="Arial"/>
              <w:sz w:val="20"/>
              <w:b/>
              <w:i/>
            </w:rPr>
            <w:t>Nauja redakcija nuo 2014-11-08:</w:t>
          </w:r>
        </w:p>
        <w:p>
          <w:pPr>
            <w:rPr>
              <w:rFonts w:ascii="Arial" w:hAnsi="Arial"/>
              <w:sz w:val="20"/>
              <w:i/>
            </w:rPr>
          </w:pPr>
          <w:r>
            <w:rPr>
              <w:rFonts w:ascii="Arial" w:hAnsi="Arial"/>
              <w:sz w:val="20"/>
              <w:i/>
            </w:rPr>
            <w:t xml:space="preserve">Nr. </w:t>
          </w:r>
          <w:fldSimple w:instr="HYPERLINK https://www.e-tar.lt/portal/legalAct.html?documentId=5b911130665311e4b6b89037654e22b1">
            <w:r w:rsidRPr="00532B9F">
              <w:rPr>
                <w:rFonts w:ascii="Arial" w:eastAsia="MS Mincho" w:hAnsi="Arial"/>
                <w:sz w:val="20"/>
                <w:i/>
                <w:iCs/>
                <w:color w:val="0000FF" w:themeColor="hyperlink"/>
                <w:u w:val="single"/>
              </w:rPr>
              <w:t>D1-885</w:t>
            </w:r>
          </w:fldSimple>
          <w:r>
            <w:rPr>
              <w:rFonts w:ascii="Arial" w:eastAsia="MS Mincho" w:hAnsi="Arial"/>
              <w:sz w:val="20"/>
              <w:i/>
              <w:iCs/>
            </w:rPr>
            <w:t>,
2014-11-06,
paskelbta TAR 2014-11-07, i. k. 2014-16187                </w:t>
          </w:r>
        </w:p>
        <w:p>
          <w:pPr>
            <w:rPr>
              <w:rFonts w:ascii="Arial" w:hAnsi="Arial"/>
              <w:sz w:val="22"/>
            </w:rPr>
          </w:pPr>
        </w:p>
        <w:p>
          <w:pPr>
            <w:jc w:val="center"/>
            <w:rPr>
              <w:b/>
              <w:szCs w:val="24"/>
            </w:rPr>
          </w:pPr>
          <w:r>
            <w:rPr>
              <w:b/>
              <w:szCs w:val="24"/>
            </w:rPr>
            <w:t>LIETUVOS RESPUBLIKOS APLINKOS MINISTRAS</w:t>
          </w:r>
        </w:p>
        <w:p>
          <w:pPr>
            <w:jc w:val="center"/>
            <w:rPr>
              <w:b/>
              <w:szCs w:val="24"/>
            </w:rPr>
          </w:pPr>
        </w:p>
        <w:p>
          <w:pPr>
            <w:jc w:val="center"/>
            <w:rPr>
              <w:b/>
              <w:szCs w:val="24"/>
            </w:rPr>
          </w:pPr>
          <w:r>
            <w:rPr>
              <w:b/>
              <w:szCs w:val="24"/>
            </w:rPr>
            <w:t>ĮSAKYMAS</w:t>
          </w:r>
        </w:p>
        <w:p>
          <w:pPr>
            <w:jc w:val="center"/>
            <w:rPr>
              <w:b/>
              <w:szCs w:val="24"/>
            </w:rPr>
          </w:pPr>
          <w:r>
            <w:rPr>
              <w:b/>
              <w:szCs w:val="24"/>
            </w:rPr>
            <w:t>DĖL GERIAMOJO VANDENS TIEKIMO IR NUOTEKŲ TVARKYMO INFRASTRUKTŪROS PLĖTROS PLANŲ RENGIMO TAISYKLIŲ PATVIRTINIMO</w:t>
          </w:r>
        </w:p>
        <w:p>
          <w:pPr>
            <w:rPr>
              <w:sz w:val="22"/>
              <w:szCs w:val="24"/>
            </w:rPr>
          </w:pPr>
        </w:p>
        <w:p>
          <w:pPr>
            <w:jc w:val="center"/>
            <w:rPr>
              <w:sz w:val="22"/>
              <w:szCs w:val="24"/>
            </w:rPr>
          </w:pPr>
          <w:r>
            <w:rPr>
              <w:sz w:val="22"/>
              <w:szCs w:val="24"/>
            </w:rPr>
            <w:t>2006 m. gruodžio 29 d. Nr. D1-636</w:t>
          </w:r>
        </w:p>
        <w:p>
          <w:pPr>
            <w:jc w:val="center"/>
            <w:rPr>
              <w:sz w:val="22"/>
              <w:szCs w:val="24"/>
            </w:rPr>
          </w:pPr>
          <w:r>
            <w:rPr>
              <w:sz w:val="22"/>
              <w:szCs w:val="24"/>
            </w:rPr>
            <w:t>Vilnius</w:t>
          </w:r>
        </w:p>
        <w:p>
          <w:pPr>
            <w:rPr>
              <w:sz w:val="22"/>
              <w:szCs w:val="24"/>
            </w:rPr>
          </w:pPr>
        </w:p>
        <w:p>
          <w:pPr>
            <w:rPr>
              <w:sz w:val="22"/>
              <w:szCs w:val="24"/>
            </w:rPr>
          </w:pPr>
        </w:p>
        <w:sdt>
          <w:sdtPr>
            <w:alias w:val="preambule"/>
            <w:tag w:val="part_b065d8f4ae3d4fd99255130deb3bc557"/>
            <w:lock w:val="sdtLocked"/>
            <w:richText/>
          </w:sdtPr>
          <w:sdtContent>
            <w:p>
              <w:pPr>
                <w:ind w:firstLine="567"/>
                <w:jc w:val="both"/>
                <w:rPr>
                  <w:szCs w:val="24"/>
                </w:rPr>
              </w:pPr>
              <w:r>
                <w:rPr>
                  <w:szCs w:val="24"/>
                </w:rPr>
                <w:t>Vadovaudamasis Lietuvos Respublikos geriamojo vandens tiekimo ir nuotekų tvarkymo įstatymo 6 straipsnio 2 punktu ir Lietuvos Respublikos teritorijų planavimo įstatymo 7 straipsnio 3 dalies 4 punktu,</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abfc4082b411e993ffd4361ddf8976">
                <w:r w:rsidRPr="00532B9F">
                  <w:rPr>
                    <w:rFonts w:ascii="Arial" w:eastAsia="MS Mincho" w:hAnsi="Arial"/>
                    <w:sz w:val="20"/>
                    <w:i/>
                    <w:iCs/>
                    <w:color w:val="0000FF" w:themeColor="hyperlink"/>
                    <w:u w:val="single"/>
                  </w:rPr>
                  <w:t>D1-332</w:t>
                </w:r>
              </w:fldSimple>
              <w:r>
                <w:rPr>
                  <w:rFonts w:ascii="Arial" w:eastAsia="MS Mincho" w:hAnsi="Arial"/>
                  <w:sz w:val="20"/>
                  <w:i/>
                  <w:iCs/>
                </w:rPr>
                <w:t>,
2019-05-29,
paskelbta TAR 2019-05-30, i. k. 2019-08562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097ee0560d11efbdaea558de59136c">
                <w:r w:rsidRPr="00532B9F">
                  <w:rPr>
                    <w:rFonts w:ascii="Arial" w:eastAsia="MS Mincho" w:hAnsi="Arial"/>
                    <w:sz w:val="20"/>
                    <w:i/>
                    <w:iCs/>
                    <w:color w:val="0000FF" w:themeColor="hyperlink"/>
                    <w:u w:val="single"/>
                  </w:rPr>
                  <w:t>D1-268</w:t>
                </w:r>
              </w:fldSimple>
              <w:r>
                <w:rPr>
                  <w:rFonts w:ascii="Arial" w:eastAsia="MS Mincho" w:hAnsi="Arial"/>
                  <w:sz w:val="20"/>
                  <w:i/>
                  <w:iCs/>
                </w:rPr>
                <w:t>,
2024-08-09,
paskelbta TAR 2024-08-09, i. k. 2024-14357            </w:t>
              </w:r>
            </w:p>
            <w:p/>
          </w:sdtContent>
        </w:sdt>
        <w:sdt>
          <w:sdtPr>
            <w:alias w:val="pastraipa"/>
            <w:tag w:val="part_e98b9ea7f16c48f3ab1e8344a6de0765"/>
            <w:lock w:val="sdtLocked"/>
            <w:richText/>
          </w:sdtPr>
          <w:sdtContent>
            <w:p>
              <w:pPr>
                <w:ind w:firstLine="567"/>
                <w:jc w:val="both"/>
              </w:pPr>
              <w:r>
                <w:rPr>
                  <w:szCs w:val="24"/>
                </w:rPr>
                <w:t>t v i r t i n u Geriamojo vandens tiekimo ir nuotekų tvarkymo infrastruktūros plėtros planų rengimo taisykles (pridedama).</w:t>
              </w:r>
            </w:p>
          </w:sdtContent>
        </w:sdt>
        <w:sdt>
          <w:sdtPr>
            <w:alias w:val="signatura"/>
            <w:tag w:val="part_2b668078985c40b5a2f35d229f8b4555"/>
            <w:lock w:val="sdtLocked"/>
            <w:richText/>
          </w:sdtPr>
          <w:sdtContent>
            <w:p>
              <w:pPr>
                <w:tabs>
                  <w:tab w:val="right" w:pos="9639"/>
                </w:tabs>
              </w:pPr>
            </w:p>
            <w:p>
              <w:pPr>
                <w:tabs>
                  <w:tab w:val="right" w:pos="9639"/>
                </w:tabs>
              </w:pPr>
            </w:p>
            <w:p>
              <w:pPr>
                <w:tabs>
                  <w:tab w:val="right" w:pos="9639"/>
                </w:tabs>
              </w:pPr>
            </w:p>
            <w:p>
              <w:pPr>
                <w:tabs>
                  <w:tab w:val="right" w:pos="9639"/>
                </w:tabs>
              </w:pPr>
              <w:r>
                <w:t>Aplinkos ministras</w:t>
                <w:tab/>
                <w:t>Arūnas Kundrotas</w:t>
              </w:r>
            </w:p>
          </w:sdtContent>
        </w:sdt>
        <w:p/>
      </w:sdtContent>
    </w:sdt>
    <w:sdt>
      <w:sdtPr>
        <w:alias w:val="patvirtinta"/>
        <w:tag w:val="part_b402f1e72dfe40f7b457258d414348c2"/>
        <w:lock w:val="sdtLocked"/>
        <w:richText/>
      </w:sdtPr>
      <w:sdtContent>
        <w:p>
          <w:pPr>
            <w:ind w:firstLine="4536"/>
            <w:sectPr>
              <w:headerReference w:type="default" r:id="rId14"/>
              <w:pgSz w:w="11906" w:h="16838"/>
              <w:pgMar w:top="1134" w:right="567" w:bottom="1134" w:left="1701" w:header="567" w:footer="567" w:gutter="0"/>
              <w:pgNumType w:start="1"/>
              <w:cols w:space="1296"/>
              <w:titlePg/>
              <w:docGrid w:linePitch="360"/>
            </w:sectPr>
          </w:pPr>
        </w:p>
        <w:p>
          <w:pPr>
            <w:ind w:firstLine="4536"/>
            <w:rPr>
              <w:szCs w:val="24"/>
            </w:rPr>
          </w:pPr>
          <w:r>
            <w:rPr>
              <w:szCs w:val="24"/>
            </w:rPr>
            <w:t>PATVIRTINTA</w:t>
          </w:r>
        </w:p>
        <w:p>
          <w:pPr>
            <w:tabs>
              <w:tab w:val="left" w:pos="1304"/>
              <w:tab w:val="left" w:pos="1457"/>
              <w:tab w:val="left" w:pos="1604"/>
              <w:tab w:val="left" w:pos="1757"/>
            </w:tabs>
            <w:ind w:firstLine="4536"/>
            <w:rPr>
              <w:szCs w:val="24"/>
            </w:rPr>
          </w:pPr>
          <w:r>
            <w:rPr>
              <w:szCs w:val="24"/>
            </w:rPr>
            <w:t xml:space="preserve">Lietuvos Respublikos aplinkos ministro </w:t>
          </w:r>
        </w:p>
        <w:p>
          <w:pPr>
            <w:tabs>
              <w:tab w:val="left" w:pos="1304"/>
              <w:tab w:val="left" w:pos="1457"/>
              <w:tab w:val="left" w:pos="1604"/>
              <w:tab w:val="left" w:pos="1757"/>
            </w:tabs>
            <w:ind w:firstLine="4536"/>
            <w:rPr>
              <w:szCs w:val="24"/>
            </w:rPr>
          </w:pPr>
          <w:r>
            <w:rPr>
              <w:szCs w:val="24"/>
            </w:rPr>
            <w:t>2006 m. gruodžio 29 d. įsakymu Nr. D1-636</w:t>
          </w:r>
        </w:p>
        <w:p>
          <w:pPr>
            <w:tabs>
              <w:tab w:val="left" w:pos="1304"/>
              <w:tab w:val="left" w:pos="1457"/>
              <w:tab w:val="left" w:pos="1604"/>
              <w:tab w:val="left" w:pos="1757"/>
            </w:tabs>
            <w:ind w:firstLine="4536"/>
            <w:rPr>
              <w:szCs w:val="24"/>
            </w:rPr>
          </w:pPr>
          <w:r>
            <w:rPr>
              <w:szCs w:val="24"/>
            </w:rPr>
            <w:t xml:space="preserve">(Lietuvos Respublikos aplinkos ministro </w:t>
          </w:r>
        </w:p>
        <w:p>
          <w:pPr>
            <w:tabs>
              <w:tab w:val="left" w:pos="1304"/>
              <w:tab w:val="left" w:pos="1457"/>
              <w:tab w:val="left" w:pos="1604"/>
              <w:tab w:val="left" w:pos="1757"/>
            </w:tabs>
            <w:ind w:firstLine="4536"/>
            <w:rPr>
              <w:szCs w:val="24"/>
              <w:lang w:val="en-GB"/>
            </w:rPr>
          </w:pPr>
          <w:r>
            <w:rPr>
              <w:szCs w:val="24"/>
            </w:rPr>
            <w:t>2024 m. rugpjūčio 9 d. įsakymo Nr. D</w:t>
          </w:r>
          <w:r>
            <w:rPr>
              <w:szCs w:val="24"/>
              <w:lang w:val="en-GB"/>
            </w:rPr>
            <w:t>1-268</w:t>
          </w:r>
        </w:p>
        <w:p>
          <w:pPr>
            <w:tabs>
              <w:tab w:val="left" w:pos="1304"/>
              <w:tab w:val="left" w:pos="1457"/>
              <w:tab w:val="left" w:pos="1604"/>
              <w:tab w:val="left" w:pos="1757"/>
            </w:tabs>
            <w:ind w:firstLine="4536"/>
            <w:rPr>
              <w:szCs w:val="24"/>
              <w:lang w:val="en-GB"/>
            </w:rPr>
          </w:pPr>
          <w:r>
            <w:rPr>
              <w:szCs w:val="24"/>
              <w:lang w:val="en-GB"/>
            </w:rPr>
            <w:t>redakcija)</w:t>
          </w:r>
        </w:p>
        <w:p>
          <w:pPr>
            <w:ind w:firstLine="4536"/>
            <w:rPr>
              <w:szCs w:val="24"/>
            </w:rPr>
          </w:pPr>
        </w:p>
        <w:p>
          <w:pPr>
            <w:jc w:val="center"/>
            <w:rPr>
              <w:b/>
              <w:bCs/>
              <w:caps/>
              <w:szCs w:val="24"/>
            </w:rPr>
          </w:pPr>
        </w:p>
        <w:sdt>
          <w:sdtPr>
            <w:alias w:val="Pavadinimas"/>
            <w:tag w:val="title_b402f1e72dfe40f7b457258d414348c2"/>
            <w:lock w:val="sdtLocked"/>
            <w:richText/>
          </w:sdtPr>
          <w:sdtContent>
            <w:p>
              <w:pPr>
                <w:jc w:val="center"/>
                <w:rPr>
                  <w:b/>
                  <w:bCs/>
                  <w:caps/>
                  <w:szCs w:val="24"/>
                </w:rPr>
              </w:pPr>
              <w:r>
                <w:rPr>
                  <w:b/>
                  <w:bCs/>
                  <w:caps/>
                  <w:szCs w:val="24"/>
                </w:rPr>
                <w:t xml:space="preserve">GERIAMoJO VANDENS TIEKIMO IR NUOTEKŲ TVARKYMO INFRASTRUKTŪROS </w:t>
              </w:r>
            </w:p>
            <w:p>
              <w:pPr>
                <w:jc w:val="center"/>
                <w:rPr>
                  <w:b/>
                  <w:bCs/>
                  <w:caps/>
                  <w:szCs w:val="24"/>
                </w:rPr>
              </w:pPr>
              <w:r>
                <w:rPr>
                  <w:b/>
                  <w:bCs/>
                  <w:caps/>
                  <w:szCs w:val="24"/>
                </w:rPr>
                <w:t>PLĖTROS PLANŲ RENGIMO TAISYKLĖS</w:t>
              </w:r>
            </w:p>
          </w:sdtContent>
        </w:sdt>
        <w:p>
          <w:pPr>
            <w:jc w:val="center"/>
            <w:rPr>
              <w:szCs w:val="24"/>
            </w:rPr>
          </w:pPr>
        </w:p>
        <w:p>
          <w:pPr>
            <w:jc w:val="center"/>
            <w:rPr>
              <w:szCs w:val="24"/>
            </w:rPr>
          </w:pPr>
        </w:p>
        <w:sdt>
          <w:sdtPr>
            <w:alias w:val="skyrius"/>
            <w:tag w:val="part_0db2661a8805412586a49661908f1cff"/>
            <w:lock w:val="sdtLocked"/>
            <w:richText/>
          </w:sdtPr>
          <w:sdtContent>
            <w:p>
              <w:pPr>
                <w:jc w:val="center"/>
                <w:rPr>
                  <w:b/>
                  <w:bCs/>
                  <w:caps/>
                  <w:szCs w:val="24"/>
                </w:rPr>
              </w:pPr>
              <w:sdt>
                <w:sdtPr>
                  <w:alias w:val="Numeris"/>
                  <w:tag w:val="nr_0db2661a8805412586a49661908f1cff"/>
                  <w:lock w:val="sdtLocked"/>
                  <w:richText/>
                </w:sdtPr>
                <w:sdtContent>
                  <w:r>
                    <w:rPr>
                      <w:b/>
                      <w:bCs/>
                      <w:caps/>
                      <w:szCs w:val="24"/>
                    </w:rPr>
                    <w:t>I</w:t>
                  </w:r>
                </w:sdtContent>
              </w:sdt>
              <w:r>
                <w:rPr>
                  <w:b/>
                  <w:bCs/>
                  <w:caps/>
                  <w:szCs w:val="24"/>
                </w:rPr>
                <w:t xml:space="preserve"> SKYRIUS</w:t>
              </w:r>
            </w:p>
            <w:p>
              <w:pPr>
                <w:jc w:val="center"/>
                <w:rPr>
                  <w:bCs/>
                  <w:caps/>
                  <w:szCs w:val="24"/>
                </w:rPr>
              </w:pPr>
              <w:sdt>
                <w:sdtPr>
                  <w:alias w:val="Pavadinimas"/>
                  <w:tag w:val="title_0db2661a8805412586a49661908f1cff"/>
                  <w:lock w:val="sdtLocked"/>
                  <w:richText/>
                </w:sdtPr>
                <w:sdtContent>
                  <w:r>
                    <w:rPr>
                      <w:b/>
                      <w:bCs/>
                      <w:caps/>
                      <w:szCs w:val="24"/>
                    </w:rPr>
                    <w:t>BENDROSIOS NUOSTATOS</w:t>
                  </w:r>
                </w:sdtContent>
              </w:sdt>
            </w:p>
            <w:p>
              <w:pPr>
                <w:ind w:firstLine="312"/>
                <w:jc w:val="both"/>
                <w:rPr>
                  <w:szCs w:val="24"/>
                </w:rPr>
              </w:pPr>
            </w:p>
            <w:sdt>
              <w:sdtPr>
                <w:alias w:val="1 p."/>
                <w:tag w:val="part_395827e7662b46739d84744fe8c03195"/>
                <w:lock w:val="sdtLocked"/>
                <w:richText/>
              </w:sdtPr>
              <w:sdtContent>
                <w:p>
                  <w:pPr>
                    <w:ind w:firstLine="567"/>
                    <w:jc w:val="both"/>
                    <w:rPr>
                      <w:szCs w:val="24"/>
                    </w:rPr>
                  </w:pPr>
                  <w:sdt>
                    <w:sdtPr>
                      <w:alias w:val="Numeris"/>
                      <w:tag w:val="nr_395827e7662b46739d84744fe8c03195"/>
                      <w:lock w:val="sdtLocked"/>
                      <w:richText/>
                    </w:sdtPr>
                    <w:sdtContent>
                      <w:r>
                        <w:rPr>
                          <w:szCs w:val="24"/>
                        </w:rPr>
                        <w:t>1</w:t>
                      </w:r>
                    </w:sdtContent>
                  </w:sdt>
                  <w:r>
                    <w:rPr>
                      <w:szCs w:val="24"/>
                    </w:rPr>
                    <w:t>. Geriamojo vandens tiekimo ir nuotekų tvarkymo infrastruktūros plėtros planų rengimo taisyklės (toliau – Taisyklės) nustato geriamojo vandens tiekimo ir nuotekų tvarkymo infrastruktūros plėtros planų (toliau – planai) organizavimo, rengimo, derinimo, tikrinimo, tvirtinimo, įsigaliojimo, keitimo ir koregavimo tvarką.</w:t>
                  </w:r>
                </w:p>
              </w:sdtContent>
            </w:sdt>
            <w:sdt>
              <w:sdtPr>
                <w:alias w:val="2 p."/>
                <w:tag w:val="part_d352d0d491314d3da9552055953734f2"/>
                <w:lock w:val="sdtLocked"/>
                <w:richText/>
              </w:sdtPr>
              <w:sdtContent>
                <w:p>
                  <w:pPr>
                    <w:ind w:firstLine="567"/>
                    <w:jc w:val="both"/>
                    <w:rPr>
                      <w:szCs w:val="24"/>
                    </w:rPr>
                  </w:pPr>
                  <w:sdt>
                    <w:sdtPr>
                      <w:alias w:val="Numeris"/>
                      <w:tag w:val="nr_d352d0d491314d3da9552055953734f2"/>
                      <w:lock w:val="sdtLocked"/>
                      <w:richText/>
                    </w:sdtPr>
                    <w:sdtContent>
                      <w:r>
                        <w:rPr>
                          <w:szCs w:val="24"/>
                        </w:rPr>
                        <w:t>2</w:t>
                      </w:r>
                    </w:sdtContent>
                  </w:sdt>
                  <w:r>
                    <w:rPr>
                      <w:szCs w:val="24"/>
                    </w:rPr>
                    <w:t xml:space="preserve">. Taisyklės taikomos rengiant, koreguojant, keičiant, derinant, tikrinant ir tvirtinant planus, nurodytus Lietuvos Respublikos geriamojo vandens tiekimo ir nuotekų tvarkymo įstatymo 12 straipsnio 4 dalyje. </w:t>
                  </w:r>
                </w:p>
              </w:sdtContent>
            </w:sdt>
            <w:sdt>
              <w:sdtPr>
                <w:alias w:val="3 p."/>
                <w:tag w:val="part_72fc18d361084fe19b73701cca84d5d4"/>
                <w:lock w:val="sdtLocked"/>
                <w:richText/>
              </w:sdtPr>
              <w:sdtContent>
                <w:p>
                  <w:pPr>
                    <w:suppressAutoHyphens/>
                    <w:ind w:firstLine="567"/>
                    <w:jc w:val="both"/>
                    <w:rPr>
                      <w:szCs w:val="24"/>
                    </w:rPr>
                  </w:pPr>
                  <w:sdt>
                    <w:sdtPr>
                      <w:alias w:val="Numeris"/>
                      <w:tag w:val="nr_72fc18d361084fe19b73701cca84d5d4"/>
                      <w:lock w:val="sdtLocked"/>
                      <w:richText/>
                    </w:sdtPr>
                    <w:sdtContent>
                      <w:r>
                        <w:rPr>
                          <w:szCs w:val="24"/>
                          <w:lang w:eastAsia="lt-LT"/>
                        </w:rPr>
                        <w:t>3</w:t>
                      </w:r>
                    </w:sdtContent>
                  </w:sdt>
                  <w:r>
                    <w:rPr>
                      <w:szCs w:val="24"/>
                      <w:lang w:eastAsia="lt-LT"/>
                    </w:rPr>
                    <w:t>. Planas pagal teritorijų planavimo dokumentų rūšį yra specialiojo teritorijų planavimo dokumentas. Pagal teritorijų planavimo lygmenį – savivaldybės ar vietovės lygmens.</w:t>
                  </w:r>
                </w:p>
              </w:sdtContent>
            </w:sdt>
            <w:sdt>
              <w:sdtPr>
                <w:alias w:val="4 p."/>
                <w:tag w:val="part_7586da6306fc4fefa3660a23d474c486"/>
                <w:lock w:val="sdtLocked"/>
                <w:richText/>
              </w:sdtPr>
              <w:sdtContent>
                <w:p>
                  <w:pPr>
                    <w:ind w:firstLine="567"/>
                    <w:jc w:val="both"/>
                    <w:rPr>
                      <w:szCs w:val="24"/>
                    </w:rPr>
                  </w:pPr>
                  <w:sdt>
                    <w:sdtPr>
                      <w:alias w:val="Numeris"/>
                      <w:tag w:val="nr_7586da6306fc4fefa3660a23d474c486"/>
                      <w:lock w:val="sdtLocked"/>
                      <w:richText/>
                    </w:sdtPr>
                    <w:sdtContent>
                      <w:r>
                        <w:rPr>
                          <w:szCs w:val="24"/>
                        </w:rPr>
                        <w:t>4</w:t>
                      </w:r>
                    </w:sdtContent>
                  </w:sdt>
                  <w:r>
                    <w:rPr>
                      <w:szCs w:val="24"/>
                    </w:rPr>
                    <w:t xml:space="preserve">. Taisyklėse vartojamos sąvokos suprantamos taip, kaip jos apibrėžtos Geriamojo vandens tiekimo ir nuotekų tvarkymo įstatyme, Lietuvos Respublikos savivaldybių infrastruktūros plėtros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žemės įstatyme, Lietuvos Respublikos aplinkos apsaugos įstatyme, </w:t>
                  </w:r>
                  <w:r>
                    <w:rPr>
                      <w:color w:val="000000"/>
                    </w:rPr>
                    <w:t>Planų ir programų strateginio pasekmių aplinkai vertinimo tvarkos apraše, patvirtintame</w:t>
                  </w:r>
                  <w:r>
                    <w:rPr>
                      <w:szCs w:val="24"/>
                    </w:rPr>
                    <w:t xml:space="preserve"> Lietuvos Respublikos Vyriausybės 2004 m. rugpjūčio 18 d. nutarimu Nr. 967 „Dėl Planų ir programų strateginio pasekmių aplinkai vertinimo tvarkos aprašo patvirtinimo“ </w:t>
                  </w:r>
                  <w:r>
                    <w:rPr>
                      <w:szCs w:val="24"/>
                      <w:lang w:eastAsia="lt-LT"/>
                    </w:rPr>
                    <w:t>(toliau – Planų ir programų strateginio pasekmių aplinkai vertinimo tvarkos aprašas)</w:t>
                  </w:r>
                  <w:r>
                    <w:rPr>
                      <w:szCs w:val="24"/>
                    </w:rPr>
                    <w:t xml:space="preserve">, statybos techniniame reglamente STR 2.06.04:2014 „Gatvės ir vietinės reikšmės keliai. Bendrieji reikalavimai“, patvirtintame Lietuvos Respublikos aplinkos ministro </w:t>
                  </w:r>
                  <w:r>
                    <w:rPr>
                      <w:szCs w:val="24"/>
                      <w:lang w:val="en-GB"/>
                    </w:rPr>
                    <w:t xml:space="preserve">2011 m. </w:t>
                  </w:r>
                  <w:r>
                    <w:rPr>
                      <w:szCs w:val="24"/>
                    </w:rPr>
                    <w:t>gruodžio 2</w:t>
                  </w:r>
                  <w:r>
                    <w:rPr>
                      <w:szCs w:val="24"/>
                      <w:lang w:val="en-GB"/>
                    </w:rPr>
                    <w:t xml:space="preserve"> d. </w:t>
                  </w:r>
                  <w:r>
                    <w:rPr>
                      <w:szCs w:val="24"/>
                    </w:rPr>
                    <w:t xml:space="preserve">įsakymu Nr. </w:t>
                  </w:r>
                  <w:r>
                    <w:rPr>
                      <w:szCs w:val="24"/>
                      <w:lang w:val="en-GB"/>
                    </w:rPr>
                    <w:t>D1-933</w:t>
                  </w:r>
                  <w:r>
                    <w:rPr>
                      <w:szCs w:val="24"/>
                    </w:rPr>
                    <w:t xml:space="preserve"> „Dėl statybos techninio reglamento STR 2.06.04:2014 „Gatvės ir vietinės reikšmės keliai. Bendrieji reikalavimai“ patvirtinimo“, </w:t>
                  </w:r>
                  <w:r>
                    <w:rPr>
                      <w:szCs w:val="24"/>
                      <w:lang w:eastAsia="lt-LT"/>
                    </w:rPr>
                    <w:t>2007 m. kovo 14 d. Europos Parlamento ir Tarybos direktyvoje 2007/2/EB, sukuriančioje Europos bendrijos erdvinės informacijos infrastruktūrą (INSPIRE), su visais pakeitimais.</w:t>
                  </w:r>
                </w:p>
                <w:p>
                  <w:pPr>
                    <w:ind w:firstLine="312"/>
                    <w:jc w:val="both"/>
                    <w:rPr>
                      <w:szCs w:val="24"/>
                    </w:rPr>
                  </w:pPr>
                </w:p>
              </w:sdtContent>
            </w:sdt>
          </w:sdtContent>
        </w:sdt>
        <w:sdt>
          <w:sdtPr>
            <w:alias w:val="skyrius"/>
            <w:tag w:val="part_8b9875cde29243ff8eaea7d8bef226dd"/>
            <w:lock w:val="sdtLocked"/>
            <w:richText/>
          </w:sdtPr>
          <w:sdtContent>
            <w:p>
              <w:pPr>
                <w:jc w:val="center"/>
                <w:rPr>
                  <w:b/>
                  <w:bCs/>
                  <w:caps/>
                  <w:szCs w:val="24"/>
                </w:rPr>
              </w:pPr>
              <w:sdt>
                <w:sdtPr>
                  <w:alias w:val="Numeris"/>
                  <w:tag w:val="nr_8b9875cde29243ff8eaea7d8bef226dd"/>
                  <w:lock w:val="sdtLocked"/>
                  <w:richText/>
                </w:sdtPr>
                <w:sdtContent>
                  <w:r>
                    <w:rPr>
                      <w:b/>
                      <w:bCs/>
                      <w:caps/>
                      <w:szCs w:val="24"/>
                    </w:rPr>
                    <w:t>II</w:t>
                  </w:r>
                </w:sdtContent>
              </w:sdt>
              <w:r>
                <w:rPr>
                  <w:b/>
                  <w:bCs/>
                  <w:caps/>
                  <w:szCs w:val="24"/>
                </w:rPr>
                <w:t xml:space="preserve"> SKYRIUS</w:t>
              </w:r>
            </w:p>
            <w:p>
              <w:pPr>
                <w:jc w:val="center"/>
                <w:rPr>
                  <w:b/>
                  <w:bCs/>
                  <w:caps/>
                  <w:szCs w:val="24"/>
                </w:rPr>
              </w:pPr>
              <w:sdt>
                <w:sdtPr>
                  <w:alias w:val="Pavadinimas"/>
                  <w:tag w:val="title_8b9875cde29243ff8eaea7d8bef226dd"/>
                  <w:lock w:val="sdtLocked"/>
                  <w:richText/>
                </w:sdtPr>
                <w:sdtContent>
                  <w:r>
                    <w:rPr>
                      <w:b/>
                      <w:bCs/>
                      <w:caps/>
                      <w:szCs w:val="24"/>
                    </w:rPr>
                    <w:t>PLANAVIMO TIKSLAI IR OBJEKTAS</w:t>
                  </w:r>
                </w:sdtContent>
              </w:sdt>
            </w:p>
            <w:p>
              <w:pPr>
                <w:jc w:val="center"/>
                <w:rPr>
                  <w:b/>
                  <w:bCs/>
                  <w:caps/>
                  <w:szCs w:val="24"/>
                </w:rPr>
              </w:pPr>
            </w:p>
            <w:sdt>
              <w:sdtPr>
                <w:alias w:val="5 p."/>
                <w:tag w:val="part_f51583cc0ea04c63abf8f8a07ec355f1"/>
                <w:lock w:val="sdtLocked"/>
                <w:richText/>
              </w:sdtPr>
              <w:sdtContent>
                <w:p>
                  <w:pPr>
                    <w:suppressAutoHyphens/>
                    <w:ind w:firstLine="567"/>
                    <w:jc w:val="both"/>
                    <w:rPr>
                      <w:rFonts w:eastAsia="Courier New"/>
                      <w:szCs w:val="24"/>
                    </w:rPr>
                  </w:pPr>
                  <w:sdt>
                    <w:sdtPr>
                      <w:alias w:val="Numeris"/>
                      <w:tag w:val="nr_f51583cc0ea04c63abf8f8a07ec355f1"/>
                      <w:lock w:val="sdtLocked"/>
                      <w:richText/>
                    </w:sdtPr>
                    <w:sdtContent>
                      <w:r>
                        <w:rPr>
                          <w:szCs w:val="24"/>
                          <w:lang w:eastAsia="lt-LT"/>
                        </w:rPr>
                        <w:t>5</w:t>
                      </w:r>
                    </w:sdtContent>
                  </w:sdt>
                  <w:r>
                    <w:rPr>
                      <w:szCs w:val="24"/>
                      <w:lang w:eastAsia="lt-LT"/>
                    </w:rPr>
                    <w:t>. Geriamojo vandens tiekimo ir nuotekų tvarkymo infrastruktūros plėtros planavimo tikslai – nustatyti aglomeracijas, viešojo geriamojo vandens tiekimo ir nuotekų tvarkymo teritorijas, geriamojo vandens tiekimo ir nuotekų tvarkymo</w:t>
                  </w:r>
                  <w:r>
                    <w:rPr>
                      <w:szCs w:val="24"/>
                    </w:rPr>
                    <w:t xml:space="preserve"> ir (arba) paviršinių nuotekų tvarkymo</w:t>
                  </w:r>
                  <w:r>
                    <w:rPr>
                      <w:szCs w:val="24"/>
                      <w:lang w:eastAsia="lt-LT"/>
                    </w:rPr>
                    <w:t xml:space="preserve"> infrastruktūros plėtros kryptis, nurodyti šios infrastruktūros plėtros įgyvendinimo etapus (eigą, eiliškumą) ir finansavimą, kad visi savivaldybės gyventojai gautų saugos ir kokybės reikalavimus atitinkantį geriamąjį vandenį ir nuotekų tvarkymo paslaugas arba </w:t>
                  </w:r>
                  <w:r>
                    <w:rPr>
                      <w:color w:val="000000"/>
                      <w:spacing w:val="1"/>
                      <w:szCs w:val="24"/>
                      <w:lang w:eastAsia="lt-LT"/>
                    </w:rPr>
                    <w:t>turėtų galimybę individualiai apsirūpinti geriamuoju vandeniu ir (arba) individualiai tvarkyti nuotekas</w:t>
                  </w:r>
                  <w:r>
                    <w:rPr>
                      <w:rFonts w:eastAsia="Courier New"/>
                      <w:szCs w:val="24"/>
                      <w:lang w:eastAsia="lt-LT"/>
                    </w:rPr>
                    <w:t>.</w:t>
                  </w:r>
                  <w:r>
                    <w:rPr>
                      <w:szCs w:val="24"/>
                    </w:rPr>
                    <w:t xml:space="preserve"> </w:t>
                  </w:r>
                </w:p>
              </w:sdtContent>
            </w:sdt>
            <w:sdt>
              <w:sdtPr>
                <w:alias w:val="6 p."/>
                <w:tag w:val="part_942b9862f4be4371ada6947c19e19953"/>
                <w:lock w:val="sdtLocked"/>
                <w:richText/>
              </w:sdtPr>
              <w:sdtContent>
                <w:p>
                  <w:pPr>
                    <w:suppressAutoHyphens/>
                    <w:ind w:firstLine="567"/>
                    <w:jc w:val="both"/>
                    <w:rPr>
                      <w:szCs w:val="24"/>
                    </w:rPr>
                  </w:pPr>
                  <w:sdt>
                    <w:sdtPr>
                      <w:alias w:val="Numeris"/>
                      <w:tag w:val="nr_942b9862f4be4371ada6947c19e19953"/>
                      <w:lock w:val="sdtLocked"/>
                      <w:richText/>
                    </w:sdtPr>
                    <w:sdtContent>
                      <w:r>
                        <w:rPr>
                          <w:szCs w:val="24"/>
                          <w:lang w:eastAsia="lt-LT"/>
                        </w:rPr>
                        <w:t>6</w:t>
                      </w:r>
                    </w:sdtContent>
                  </w:sdt>
                  <w:r>
                    <w:rPr>
                      <w:szCs w:val="24"/>
                      <w:lang w:eastAsia="lt-LT"/>
                    </w:rPr>
                    <w:t>. Planavimo objektas – savivaldybės teritorijoje esama ir planuojama geriamojo vandens tiekimo ir nuotekų tvarkymo, paviršinių nuotekų tvarkymo infrastruktūra ir (ar) jos dalys.</w:t>
                  </w:r>
                  <w:r>
                    <w:rPr>
                      <w:szCs w:val="24"/>
                    </w:rPr>
                    <w:t xml:space="preserve"> </w:t>
                  </w:r>
                </w:p>
              </w:sdtContent>
            </w:sdt>
          </w:sdtContent>
        </w:sdt>
        <w:sdt>
          <w:sdtPr>
            <w:alias w:val="skyrius"/>
            <w:tag w:val="part_523fd72355ee4cdd8c8c866cb9d89c52"/>
            <w:lock w:val="sdtLocked"/>
            <w:richText/>
          </w:sdtPr>
          <w:sdtContent>
            <w:p>
              <w:pPr>
                <w:jc w:val="center"/>
                <w:rPr>
                  <w:b/>
                  <w:bCs/>
                  <w:caps/>
                  <w:szCs w:val="24"/>
                </w:rPr>
              </w:pPr>
              <w:sdt>
                <w:sdtPr>
                  <w:alias w:val="Numeris"/>
                  <w:tag w:val="nr_523fd72355ee4cdd8c8c866cb9d89c52"/>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523fd72355ee4cdd8c8c866cb9d89c52"/>
                  <w:lock w:val="sdtLocked"/>
                  <w:richText/>
                </w:sdtPr>
                <w:sdtContent>
                  <w:r>
                    <w:rPr>
                      <w:b/>
                      <w:bCs/>
                      <w:caps/>
                      <w:szCs w:val="24"/>
                    </w:rPr>
                    <w:t>PLANAVIMO ORGANIZATORIAI IR PLANŲ RENGĖJAI</w:t>
                  </w:r>
                </w:sdtContent>
              </w:sdt>
            </w:p>
            <w:p>
              <w:pPr>
                <w:jc w:val="center"/>
                <w:rPr>
                  <w:b/>
                  <w:bCs/>
                  <w:caps/>
                  <w:szCs w:val="24"/>
                </w:rPr>
              </w:pPr>
            </w:p>
            <w:sdt>
              <w:sdtPr>
                <w:alias w:val="7 p."/>
                <w:tag w:val="part_872e9ead97844cfcbce72dbce9cf5c22"/>
                <w:lock w:val="sdtLocked"/>
                <w:richText/>
              </w:sdtPr>
              <w:sdtContent>
                <w:p>
                  <w:pPr>
                    <w:ind w:firstLine="567"/>
                    <w:jc w:val="both"/>
                    <w:rPr>
                      <w:szCs w:val="24"/>
                    </w:rPr>
                  </w:pPr>
                  <w:sdt>
                    <w:sdtPr>
                      <w:alias w:val="Numeris"/>
                      <w:tag w:val="nr_872e9ead97844cfcbce72dbce9cf5c22"/>
                      <w:lock w:val="sdtLocked"/>
                      <w:richText/>
                    </w:sdtPr>
                    <w:sdtContent>
                      <w:r>
                        <w:rPr>
                          <w:szCs w:val="24"/>
                        </w:rPr>
                        <w:t>7</w:t>
                      </w:r>
                    </w:sdtContent>
                  </w:sdt>
                  <w:r>
                    <w:rPr>
                      <w:szCs w:val="24"/>
                    </w:rPr>
                    <w:t>. Planavimo organizatorius yra savivaldybės vykdomoji institucija. Fiziniai asmenys, juridiniai asmenys ar jų padaliniai, kitos organizacijos ar jų padaliniai, turintys planavimo iniciatyvos teisę (toliau – planavimo iniciatoriai), vadovaudamiesi Teritorijų planavimo įstatymo 6 straipsnio 3 dalyje nustatyta tvarka, gali teikti pasiūlymus planavimo organizatoriui dėl plano rengimo, keitimo, koregavimo ir (ar) finansavimo. Priėmus sprendimą rengti, koreguoti ar keisti siūlomą planą, planavimo iniciatoriai su planavimo organizatoriumi Teritorijų planavimo įstatymo 6 straipsnio 3 dalyje nustatyta tvarka ir sąlygomis sudaro teritorijų planavimo proceso inicijavimo sutartį, prieš patvirtinant planą – Teritorijų planavimo įstatymo 6 straipsnio 4 dalyje nustatyta tvarka ir sąlygomis pasirašo plano sprendinių įgyvendinimo sutartį.</w:t>
                  </w:r>
                </w:p>
              </w:sdtContent>
            </w:sdt>
            <w:sdt>
              <w:sdtPr>
                <w:alias w:val="8 p."/>
                <w:tag w:val="part_a3e8eb0847cb44408d0fad8eb9b3b5d1"/>
                <w:lock w:val="sdtLocked"/>
                <w:richText/>
              </w:sdtPr>
              <w:sdtContent>
                <w:p>
                  <w:pPr>
                    <w:ind w:firstLine="567"/>
                    <w:jc w:val="both"/>
                    <w:rPr>
                      <w:szCs w:val="24"/>
                      <w:lang w:val="en-US" w:eastAsia="lt-LT"/>
                    </w:rPr>
                  </w:pPr>
                  <w:sdt>
                    <w:sdtPr>
                      <w:alias w:val="Numeris"/>
                      <w:tag w:val="nr_a3e8eb0847cb44408d0fad8eb9b3b5d1"/>
                      <w:lock w:val="sdtLocked"/>
                      <w:richText/>
                    </w:sdtPr>
                    <w:sdtContent>
                      <w:r>
                        <w:rPr>
                          <w:szCs w:val="24"/>
                        </w:rPr>
                        <w:t>8</w:t>
                      </w:r>
                    </w:sdtContent>
                  </w:sdt>
                  <w:r>
                    <w:rPr>
                      <w:szCs w:val="24"/>
                    </w:rPr>
                    <w:t>. Rengti planus, vadovauti planavimo darbams turi teisę asmenys, nurodyti Teritorijų planavimo įstatymo 40 straipsnyje.</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Content>
            </w:sdt>
          </w:sdtContent>
        </w:sdt>
        <w:sdt>
          <w:sdtPr>
            <w:alias w:val="skyrius"/>
            <w:tag w:val="part_afbda7c2bca94565a9cdaea2e981a0a2"/>
            <w:lock w:val="sdtLocked"/>
            <w:richText/>
          </w:sdtPr>
          <w:sdtContent>
            <w:p>
              <w:pPr>
                <w:jc w:val="center"/>
                <w:rPr>
                  <w:b/>
                  <w:bCs/>
                  <w:caps/>
                  <w:szCs w:val="24"/>
                </w:rPr>
              </w:pPr>
              <w:sdt>
                <w:sdtPr>
                  <w:alias w:val="Numeris"/>
                  <w:tag w:val="nr_afbda7c2bca94565a9cdaea2e981a0a2"/>
                  <w:lock w:val="sdtLocked"/>
                  <w:richText/>
                </w:sdtPr>
                <w:sdtContent>
                  <w:r>
                    <w:rPr>
                      <w:b/>
                      <w:bCs/>
                      <w:caps/>
                      <w:szCs w:val="24"/>
                    </w:rPr>
                    <w:t>IV</w:t>
                  </w:r>
                </w:sdtContent>
              </w:sdt>
              <w:r>
                <w:rPr>
                  <w:b/>
                  <w:bCs/>
                  <w:caps/>
                  <w:szCs w:val="24"/>
                </w:rPr>
                <w:t xml:space="preserve"> SKYRIUS</w:t>
              </w:r>
            </w:p>
            <w:p>
              <w:pPr>
                <w:jc w:val="center"/>
                <w:rPr>
                  <w:b/>
                  <w:bCs/>
                  <w:caps/>
                  <w:szCs w:val="24"/>
                </w:rPr>
              </w:pPr>
              <w:sdt>
                <w:sdtPr>
                  <w:alias w:val="Pavadinimas"/>
                  <w:tag w:val="title_afbda7c2bca94565a9cdaea2e981a0a2"/>
                  <w:lock w:val="sdtLocked"/>
                  <w:richText/>
                </w:sdtPr>
                <w:sdtContent>
                  <w:r>
                    <w:rPr>
                      <w:b/>
                      <w:bCs/>
                      <w:caps/>
                      <w:szCs w:val="24"/>
                    </w:rPr>
                    <w:t>PLANAVIMO PROCESAS</w:t>
                  </w:r>
                </w:sdtContent>
              </w:sdt>
            </w:p>
            <w:p>
              <w:pPr>
                <w:rPr>
                  <w:bCs/>
                  <w:caps/>
                  <w:szCs w:val="24"/>
                </w:rPr>
              </w:pPr>
            </w:p>
            <w:sdt>
              <w:sdtPr>
                <w:alias w:val="9 p."/>
                <w:tag w:val="part_fccc30a5902b40639e9bcec273573248"/>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ccc30a5902b40639e9bcec273573248"/>
                      <w:lock w:val="sdtLocked"/>
                      <w:richText/>
                    </w:sdtPr>
                    <w:sdtContent>
                      <w:r>
                        <w:rPr>
                          <w:szCs w:val="24"/>
                          <w:lang w:eastAsia="lt-LT"/>
                        </w:rPr>
                        <w:t>9</w:t>
                      </w:r>
                    </w:sdtContent>
                  </w:sdt>
                  <w:r>
                    <w:rPr>
                      <w:szCs w:val="24"/>
                      <w:lang w:eastAsia="lt-LT"/>
                    </w:rPr>
                    <w:t xml:space="preserve">. Planas pradedamas rengti savivaldybės tarybos sprendimu dėl plano rengimo pradžios ir planavimo tikslų. Sprendimo dėl plano rengimo ir planavimo tikslų projektas, likus ne mažiau kaip 10 darbo dienų iki jo priėmimo dienos, turi būti paskelbtas Teritorijų planavimo įstatymo 31 straipsnio 4 dalyje ir Visuomenės informavimo, konsultavimo ir dalyvavimo priimant sprendimus dėl teritorijų planavimo nuostatuose, patvirtintuose Lietuvos Respublikos Vyriausybės 1996 m. rugsėjo 18 d. nutarimu Nr. 1079 „Dėl Visuomenės informavimo, konsultavimo ir dalyvavimo priimant sprendimus dėl teritorijų planavimo nuostatų patvirtinimo“ (toliau – </w:t>
                  </w:r>
                  <w:r>
                    <w:rPr>
                      <w:color w:val="000000"/>
                      <w:szCs w:val="24"/>
                    </w:rPr>
                    <w:t>Visuomenės informavimo nuostatai)</w:t>
                  </w:r>
                  <w:r>
                    <w:rPr>
                      <w:szCs w:val="24"/>
                      <w:lang w:eastAsia="lt-LT"/>
                    </w:rPr>
                    <w:t>, nustatyta tvarka.</w:t>
                  </w:r>
                </w:p>
              </w:sdtContent>
            </w:sdt>
            <w:sdt>
              <w:sdtPr>
                <w:alias w:val="10 p."/>
                <w:tag w:val="part_37eb4a642d8249f9a80898d84536e255"/>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7eb4a642d8249f9a80898d84536e255"/>
                      <w:lock w:val="sdtLocked"/>
                      <w:richText/>
                    </w:sdtPr>
                    <w:sdtContent>
                      <w:r>
                        <w:rPr>
                          <w:szCs w:val="24"/>
                          <w:lang w:eastAsia="lt-LT"/>
                        </w:rPr>
                        <w:t>10</w:t>
                      </w:r>
                    </w:sdtContent>
                  </w:sdt>
                  <w:r>
                    <w:rPr>
                      <w:szCs w:val="24"/>
                      <w:lang w:eastAsia="lt-LT"/>
                    </w:rPr>
                    <w:t>. Planavimo procesą sudaro šie etapai:</w:t>
                  </w:r>
                </w:p>
                <w:sdt>
                  <w:sdtPr>
                    <w:alias w:val="10.1 pp."/>
                    <w:tag w:val="part_f54090a7017c45d8848cafe0d7d644d3"/>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54090a7017c45d8848cafe0d7d644d3"/>
                          <w:lock w:val="sdtLocked"/>
                          <w:richText/>
                        </w:sdtPr>
                        <w:sdtContent>
                          <w:r>
                            <w:rPr>
                              <w:szCs w:val="24"/>
                              <w:lang w:eastAsia="lt-LT"/>
                            </w:rPr>
                            <w:t>10.1</w:t>
                          </w:r>
                        </w:sdtContent>
                      </w:sdt>
                      <w:r>
                        <w:rPr>
                          <w:szCs w:val="24"/>
                          <w:lang w:eastAsia="lt-LT"/>
                        </w:rPr>
                        <w:t>. parengiamasis;</w:t>
                      </w:r>
                    </w:p>
                  </w:sdtContent>
                </w:sdt>
                <w:sdt>
                  <w:sdtPr>
                    <w:alias w:val="10.2 pp."/>
                    <w:tag w:val="part_550c5517d7f04cdb81ebdf54002e837d"/>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50c5517d7f04cdb81ebdf54002e837d"/>
                          <w:lock w:val="sdtLocked"/>
                          <w:richText/>
                        </w:sdtPr>
                        <w:sdtContent>
                          <w:r>
                            <w:rPr>
                              <w:szCs w:val="24"/>
                              <w:lang w:eastAsia="lt-LT"/>
                            </w:rPr>
                            <w:t>10.2</w:t>
                          </w:r>
                        </w:sdtContent>
                      </w:sdt>
                      <w:r>
                        <w:rPr>
                          <w:szCs w:val="24"/>
                          <w:lang w:eastAsia="lt-LT"/>
                        </w:rPr>
                        <w:t>. rengimo;</w:t>
                      </w:r>
                    </w:p>
                  </w:sdtContent>
                </w:sdt>
                <w:sdt>
                  <w:sdtPr>
                    <w:alias w:val="10.3 pp."/>
                    <w:tag w:val="part_81dfd37464cd444e8b28d09977fdaffb"/>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1dfd37464cd444e8b28d09977fdaffb"/>
                          <w:lock w:val="sdtLocked"/>
                          <w:richText/>
                        </w:sdtPr>
                        <w:sdtContent>
                          <w:r>
                            <w:rPr>
                              <w:szCs w:val="24"/>
                              <w:lang w:eastAsia="lt-LT"/>
                            </w:rPr>
                            <w:t>10.3</w:t>
                          </w:r>
                        </w:sdtContent>
                      </w:sdt>
                      <w:r>
                        <w:rPr>
                          <w:szCs w:val="24"/>
                          <w:lang w:eastAsia="lt-LT"/>
                        </w:rPr>
                        <w:t>. baigiamasis.</w:t>
                      </w:r>
                    </w:p>
                  </w:sdtContent>
                </w:sdt>
              </w:sdtContent>
            </w:sdt>
            <w:sdt>
              <w:sdtPr>
                <w:alias w:val="11 p."/>
                <w:tag w:val="part_4612f041b8db46b7a39f68855f216143"/>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612f041b8db46b7a39f68855f216143"/>
                      <w:lock w:val="sdtLocked"/>
                      <w:richText/>
                    </w:sdtPr>
                    <w:sdtContent>
                      <w:r>
                        <w:rPr>
                          <w:szCs w:val="24"/>
                          <w:lang w:eastAsia="lt-LT"/>
                        </w:rPr>
                        <w:t>11</w:t>
                      </w:r>
                    </w:sdtContent>
                  </w:sdt>
                  <w:r>
                    <w:rPr>
                      <w:szCs w:val="24"/>
                      <w:lang w:eastAsia="lt-LT"/>
                    </w:rPr>
                    <w:t>. Kiekvienas plano rengimo etapas (jo stadija) gali būti pradedamas tik baigus ankstesnįjį. Planavimo proceso metu planavimo organizatorius turi raštu pritarti rengimo etapo</w:t>
                  </w:r>
                  <w:r>
                    <w:t xml:space="preserve"> </w:t>
                  </w:r>
                  <w:r>
                    <w:rPr>
                      <w:szCs w:val="24"/>
                      <w:lang w:eastAsia="lt-LT"/>
                    </w:rPr>
                    <w:t>bendrųjų sprendinių formavimo ir sprendinių konkretizavimo stadijų sprendiniams.</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kyrius"/>
            <w:tag w:val="part_8fb72e3fa7654192a1e2055351c85c37"/>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8fb72e3fa7654192a1e2055351c85c37"/>
                  <w:lock w:val="sdtLocked"/>
                  <w:richText/>
                </w:sdtPr>
                <w:sdtContent>
                  <w:r>
                    <w:rPr>
                      <w:b/>
                      <w:szCs w:val="24"/>
                      <w:lang w:eastAsia="lt-LT"/>
                    </w:rPr>
                    <w:t>V</w:t>
                  </w:r>
                </w:sdtContent>
              </w:sdt>
              <w:r>
                <w:rPr>
                  <w:b/>
                  <w:szCs w:val="24"/>
                  <w:lang w:eastAsia="lt-LT"/>
                </w:rPr>
                <w:t xml:space="preserve"> SKYRIUS</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8fb72e3fa7654192a1e2055351c85c37"/>
                  <w:lock w:val="sdtLocked"/>
                  <w:richText/>
                </w:sdtPr>
                <w:sdtContent>
                  <w:r>
                    <w:rPr>
                      <w:b/>
                      <w:szCs w:val="24"/>
                      <w:lang w:eastAsia="lt-LT"/>
                    </w:rPr>
                    <w:t>PARENGIAMASIS ETAPAS</w:t>
                  </w:r>
                </w:sdtContent>
              </w:sdt>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2 p."/>
                <w:tag w:val="part_7647c65551e341508fa99bc100f526f8"/>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647c65551e341508fa99bc100f526f8"/>
                      <w:lock w:val="sdtLocked"/>
                      <w:richText/>
                    </w:sdtPr>
                    <w:sdtContent>
                      <w:r>
                        <w:rPr>
                          <w:szCs w:val="24"/>
                          <w:lang w:eastAsia="lt-LT"/>
                        </w:rPr>
                        <w:t>12</w:t>
                      </w:r>
                    </w:sdtContent>
                  </w:sdt>
                  <w:r>
                    <w:rPr>
                      <w:szCs w:val="24"/>
                      <w:lang w:eastAsia="lt-LT"/>
                    </w:rPr>
                    <w:t>. Planavimo organizatorius parengiamojo etapo metu nurodo planuojamą teritoriją (savivaldybės lygmens plano planuojama teritorija yra savivaldybės teritorija), pagal nustatytus planavimo tikslus parengia ir patvirtina planavimo darbų programą.</w:t>
                  </w:r>
                </w:p>
              </w:sdtContent>
            </w:sdt>
            <w:sdt>
              <w:sdtPr>
                <w:alias w:val="13 p."/>
                <w:tag w:val="part_fb772d3cb5b34a0e861a6668336198af"/>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b772d3cb5b34a0e861a6668336198af"/>
                      <w:lock w:val="sdtLocked"/>
                      <w:richText/>
                    </w:sdtPr>
                    <w:sdtContent>
                      <w:r>
                        <w:rPr>
                          <w:szCs w:val="24"/>
                          <w:lang w:eastAsia="lt-LT"/>
                        </w:rPr>
                        <w:t>13</w:t>
                      </w:r>
                    </w:sdtContent>
                  </w:sdt>
                  <w:r>
                    <w:rPr>
                      <w:szCs w:val="24"/>
                      <w:lang w:eastAsia="lt-LT"/>
                    </w:rPr>
                    <w:t>. Planavimo organizatorius planavimo darbų programoje:</w:t>
                    <w:tab/>
                  </w:r>
                </w:p>
                <w:sdt>
                  <w:sdtPr>
                    <w:alias w:val="13.1 pp."/>
                    <w:tag w:val="part_ef7d495dc8ac4beebb689787cb705236"/>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f7d495dc8ac4beebb689787cb705236"/>
                          <w:lock w:val="sdtLocked"/>
                          <w:richText/>
                        </w:sdtPr>
                        <w:sdtContent>
                          <w:r>
                            <w:rPr>
                              <w:szCs w:val="24"/>
                              <w:lang w:eastAsia="lt-LT"/>
                            </w:rPr>
                            <w:t>13.1</w:t>
                          </w:r>
                        </w:sdtContent>
                      </w:sdt>
                      <w:r>
                        <w:rPr>
                          <w:szCs w:val="24"/>
                          <w:lang w:eastAsia="lt-LT"/>
                        </w:rPr>
                        <w:t>. atsižvelgdamas į planavimo tikslą, nustato plano uždavinius:</w:t>
                      </w:r>
                    </w:p>
                    <w:sdt>
                      <w:sdtPr>
                        <w:alias w:val="13.1.1 pp."/>
                        <w:tag w:val="part_e3e7993969b1474bbc11a2c4fd9c4b88"/>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e3e7993969b1474bbc11a2c4fd9c4b88"/>
                              <w:lock w:val="sdtLocked"/>
                              <w:richText/>
                            </w:sdtPr>
                            <w:sdtContent>
                              <w:r>
                                <w:rPr>
                                  <w:color w:val="000000"/>
                                  <w:szCs w:val="24"/>
                                  <w:lang w:eastAsia="lt-LT"/>
                                </w:rPr>
                                <w:t>13.1.1</w:t>
                              </w:r>
                            </w:sdtContent>
                          </w:sdt>
                          <w:r>
                            <w:rPr>
                              <w:color w:val="000000"/>
                              <w:szCs w:val="24"/>
                              <w:lang w:eastAsia="lt-LT"/>
                            </w:rPr>
                            <w:t>. numatyti geriamojo vandens ir nuotekų sistemų plėtrai reikalingas teritorijas;</w:t>
                          </w:r>
                        </w:p>
                      </w:sdtContent>
                    </w:sdt>
                    <w:sdt>
                      <w:sdtPr>
                        <w:alias w:val="13.1.2 pp."/>
                        <w:tag w:val="part_3c7794c720de4d52b9eae3f8a838bdda"/>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c7794c720de4d52b9eae3f8a838bdda"/>
                              <w:lock w:val="sdtLocked"/>
                              <w:richText/>
                            </w:sdtPr>
                            <w:sdtContent>
                              <w:r>
                                <w:rPr>
                                  <w:szCs w:val="24"/>
                                  <w:lang w:eastAsia="lt-LT"/>
                                </w:rPr>
                                <w:t>13.1.2</w:t>
                              </w:r>
                            </w:sdtContent>
                          </w:sdt>
                          <w:r>
                            <w:rPr>
                              <w:szCs w:val="24"/>
                              <w:lang w:eastAsia="lt-LT"/>
                            </w:rPr>
                            <w:t>. numatyti geriamojo vandens tiekimo ir nuotekų tvarkymo infrastruktūros, paviršinių nuotekų tvarkymo infrastruktūros apsaugos zonas;</w:t>
                          </w:r>
                        </w:p>
                      </w:sdtContent>
                    </w:sdt>
                    <w:sdt>
                      <w:sdtPr>
                        <w:alias w:val="13.1.3 pp."/>
                        <w:tag w:val="part_e15540fb562e4e889d3adf18f76b579e"/>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15540fb562e4e889d3adf18f76b579e"/>
                              <w:lock w:val="sdtLocked"/>
                              <w:richText/>
                            </w:sdtPr>
                            <w:sdtContent>
                              <w:r>
                                <w:rPr>
                                  <w:szCs w:val="24"/>
                                  <w:lang w:eastAsia="lt-LT"/>
                                </w:rPr>
                                <w:t>13.1.3</w:t>
                              </w:r>
                            </w:sdtContent>
                          </w:sdt>
                          <w:r>
                            <w:rPr>
                              <w:szCs w:val="24"/>
                              <w:lang w:eastAsia="lt-LT"/>
                            </w:rPr>
                            <w:t>. numatyti vietovės lygmens kompleksinio teritorijų planavimo dokumente konkrečias teritorijas, paimti žemę visuomenės poreikiams;</w:t>
                          </w:r>
                        </w:p>
                      </w:sdtContent>
                    </w:sdt>
                    <w:sdt>
                      <w:sdtPr>
                        <w:alias w:val="13.1.4 pp."/>
                        <w:tag w:val="part_c5fcb35ca0c34bac9352ffadc249e5f2"/>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5fcb35ca0c34bac9352ffadc249e5f2"/>
                              <w:lock w:val="sdtLocked"/>
                              <w:richText/>
                            </w:sdtPr>
                            <w:sdtContent>
                              <w:r>
                                <w:rPr>
                                  <w:szCs w:val="24"/>
                                  <w:lang w:eastAsia="lt-LT"/>
                                </w:rPr>
                                <w:t>13.1.4</w:t>
                              </w:r>
                            </w:sdtContent>
                          </w:sdt>
                          <w:r>
                            <w:rPr>
                              <w:szCs w:val="24"/>
                              <w:lang w:eastAsia="lt-LT"/>
                            </w:rPr>
                            <w:t>. numatyti geriamojo vandens tiekimo ir nuotekų tvarkymo, paviršinių nuotekų tvarkymo infrastruktūrai funkcionuoti reikalingus servitutus;</w:t>
                          </w:r>
                        </w:p>
                      </w:sdtContent>
                    </w:sdt>
                    <w:sdt>
                      <w:sdtPr>
                        <w:alias w:val="13.1.5 pp."/>
                        <w:tag w:val="part_128ee9736fe049d5b1376de787134047"/>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28ee9736fe049d5b1376de787134047"/>
                              <w:lock w:val="sdtLocked"/>
                              <w:richText/>
                            </w:sdtPr>
                            <w:sdtContent>
                              <w:r>
                                <w:rPr>
                                  <w:szCs w:val="24"/>
                                  <w:lang w:eastAsia="lt-LT"/>
                                </w:rPr>
                                <w:t>13.1.5</w:t>
                              </w:r>
                            </w:sdtContent>
                          </w:sdt>
                          <w:r>
                            <w:rPr>
                              <w:szCs w:val="24"/>
                              <w:lang w:eastAsia="lt-LT"/>
                            </w:rPr>
                            <w:t>.</w:t>
                          </w:r>
                          <w:r>
                            <w:rPr>
                              <w:szCs w:val="24"/>
                            </w:rPr>
                            <w:t xml:space="preserve"> numatyti </w:t>
                          </w:r>
                          <w:r>
                            <w:rPr>
                              <w:szCs w:val="24"/>
                              <w:lang w:eastAsia="lt-LT"/>
                            </w:rPr>
                            <w:t xml:space="preserve">atlikti alternatyvų geriamojo vandens tiekimo ir nuotekų tvarkymo infrastruktūros plėtros ekonominio skaičiavimo ir aplinkosaugos vertinimą (toliau – ekonominio skaičiavimo ir aplinkosaugos vertinimo ataskaita); </w:t>
                          </w:r>
                        </w:p>
                      </w:sdtContent>
                    </w:sdt>
                    <w:sdt>
                      <w:sdtPr>
                        <w:alias w:val="13.1.6 pp."/>
                        <w:tag w:val="part_0d3f46f5f43b4af8ada022d1e6b20eb4"/>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0d3f46f5f43b4af8ada022d1e6b20eb4"/>
                              <w:lock w:val="sdtLocked"/>
                              <w:richText/>
                            </w:sdtPr>
                            <w:sdtContent>
                              <w:r>
                                <w:rPr>
                                  <w:szCs w:val="24"/>
                                </w:rPr>
                                <w:t>13.1.6</w:t>
                              </w:r>
                            </w:sdtContent>
                          </w:sdt>
                          <w:r>
                            <w:rPr>
                              <w:szCs w:val="24"/>
                            </w:rPr>
                            <w:t>. numatyti geriamojo vandens tiekimo ir nuotekų tvarkymo infrastruktūros statinių išdėstymą (šis reikalavimas taikomas rengiant vietovės lygmens planą);</w:t>
                          </w:r>
                        </w:p>
                      </w:sdtContent>
                    </w:sdt>
                    <w:sdt>
                      <w:sdtPr>
                        <w:alias w:val="13.1.7 pp."/>
                        <w:tag w:val="part_b0f98ea499474712adedccdb86d8477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b0f98ea499474712adedccdb86d84771"/>
                              <w:lock w:val="sdtLocked"/>
                              <w:richText/>
                            </w:sdtPr>
                            <w:sdtContent>
                              <w:r>
                                <w:rPr>
                                  <w:szCs w:val="24"/>
                                </w:rPr>
                                <w:t>13.1.7</w:t>
                              </w:r>
                            </w:sdtContent>
                          </w:sdt>
                          <w:r>
                            <w:rPr>
                              <w:szCs w:val="24"/>
                            </w:rPr>
                            <w:t>. numatyti paviršinių nuotekų tvarkymo ir jų infrastruktūros plėtros priemones, klimato kaitos padarinių poveikio švelninimo priemones, susijusias su klimato kaitos padariniais; aplinkos kokybei gerinti skirtus gamtos procesais pagrįstus sprendimus ir juos įgyvendinančias priemones (iš kritulių vandens susidarančioms paviršinėms nuotekoms sulaikyti ir jų absorbcijai skirtas infrastruktūras, atviras kritulių vandens kaupyklas (akumuliacinius tvenkinius), žalos aplinkai prevencijos priemones ir kitas priemones neigiamam poveikiui mažinti). Klimato kaitos poveikio mažinimo (paviršinių nuotekų tvarkymo ir jų infrastruktūros plėtros) priemonės gali būti numatomos ir rengiant atskirą teritorijų planavimo dokumentą;</w:t>
                          </w:r>
                        </w:p>
                      </w:sdtContent>
                    </w:sdt>
                    <w:sdt>
                      <w:sdtPr>
                        <w:alias w:val="13.1.8 pp."/>
                        <w:tag w:val="part_73128f081cbe4204b85e2bb3c71c4da9"/>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73128f081cbe4204b85e2bb3c71c4da9"/>
                              <w:lock w:val="sdtLocked"/>
                              <w:richText/>
                            </w:sdtPr>
                            <w:sdtContent>
                              <w:r>
                                <w:rPr>
                                  <w:szCs w:val="24"/>
                                </w:rPr>
                                <w:t>13.1.8</w:t>
                              </w:r>
                            </w:sdtContent>
                          </w:sdt>
                          <w:r>
                            <w:rPr>
                              <w:szCs w:val="24"/>
                            </w:rPr>
                            <w:t>. nustatyti prioritetinės infrastruktūros plėtros etapus, jei planuojama prioritetinė infrastruktūra;</w:t>
                          </w:r>
                        </w:p>
                      </w:sdtContent>
                    </w:sdt>
                    <w:sdt>
                      <w:sdtPr>
                        <w:alias w:val="13.1.9 pp."/>
                        <w:tag w:val="part_93c4427dfc5346bb8b1f649a9c765962"/>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3c4427dfc5346bb8b1f649a9c765962"/>
                              <w:lock w:val="sdtLocked"/>
                              <w:richText/>
                            </w:sdtPr>
                            <w:sdtContent>
                              <w:r>
                                <w:rPr>
                                  <w:szCs w:val="24"/>
                                </w:rPr>
                                <w:t>13.1.9</w:t>
                              </w:r>
                            </w:sdtContent>
                          </w:sdt>
                          <w:r>
                            <w:rPr>
                              <w:szCs w:val="24"/>
                            </w:rPr>
                            <w:t>. nurodyti kitus teisės aktais pagrįstus uždavinius;</w:t>
                          </w:r>
                        </w:p>
                      </w:sdtContent>
                    </w:sdt>
                  </w:sdtContent>
                </w:sdt>
                <w:sdt>
                  <w:sdtPr>
                    <w:alias w:val="13.2 pp."/>
                    <w:tag w:val="part_c4c54850b97842bbb233253b4d068fc3"/>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c4c54850b97842bbb233253b4d068fc3"/>
                          <w:lock w:val="sdtLocked"/>
                          <w:richText/>
                        </w:sdtPr>
                        <w:sdtContent>
                          <w:r>
                            <w:rPr>
                              <w:szCs w:val="24"/>
                            </w:rPr>
                            <w:t>13.2</w:t>
                          </w:r>
                        </w:sdtContent>
                      </w:sdt>
                      <w:r>
                        <w:rPr>
                          <w:szCs w:val="24"/>
                        </w:rPr>
                        <w:t>. nurodo, kokius tyrimus ir galimybių studijas reikia atlikti. Planavimo organizatorius gali numatyti atlikti:</w:t>
                      </w:r>
                    </w:p>
                    <w:sdt>
                      <w:sdtPr>
                        <w:alias w:val="13.2.1 pp."/>
                        <w:tag w:val="part_1ee3247a976041508df4e3e67e5acb08"/>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ee3247a976041508df4e3e67e5acb08"/>
                              <w:lock w:val="sdtLocked"/>
                              <w:richText/>
                            </w:sdtPr>
                            <w:sdtContent>
                              <w:r>
                                <w:rPr>
                                  <w:szCs w:val="24"/>
                                </w:rPr>
                                <w:t>13.2.1</w:t>
                              </w:r>
                            </w:sdtContent>
                          </w:sdt>
                          <w:r>
                            <w:rPr>
                              <w:szCs w:val="24"/>
                            </w:rPr>
                            <w:t xml:space="preserve">. </w:t>
                          </w:r>
                          <w:r>
                            <w:rPr>
                              <w:szCs w:val="24"/>
                              <w:lang w:eastAsia="lt-LT"/>
                            </w:rPr>
                            <w:t>dirvožemio, grunto sudėties ir taršos tyrimus;</w:t>
                          </w:r>
                        </w:p>
                      </w:sdtContent>
                    </w:sdt>
                    <w:sdt>
                      <w:sdtPr>
                        <w:alias w:val="13.2.2 pp."/>
                        <w:tag w:val="part_53535bcb84d247959d335731721a9da9"/>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val="en-GB" w:eastAsia="lt-LT"/>
                            </w:rPr>
                          </w:pPr>
                          <w:sdt>
                            <w:sdtPr>
                              <w:alias w:val="Numeris"/>
                              <w:tag w:val="nr_53535bcb84d247959d335731721a9da9"/>
                              <w:lock w:val="sdtLocked"/>
                              <w:richText/>
                            </w:sdtPr>
                            <w:sdtContent>
                              <w:r>
                                <w:rPr>
                                  <w:szCs w:val="24"/>
                                  <w:lang w:eastAsia="lt-LT"/>
                                </w:rPr>
                                <w:t>13.2.2</w:t>
                              </w:r>
                            </w:sdtContent>
                          </w:sdt>
                          <w:r>
                            <w:rPr>
                              <w:szCs w:val="24"/>
                              <w:lang w:eastAsia="lt-LT"/>
                            </w:rPr>
                            <w:t>. gruntinio vandens lygio ir svyravimo tyrimus;</w:t>
                          </w:r>
                        </w:p>
                      </w:sdtContent>
                    </w:sdt>
                    <w:sdt>
                      <w:sdtPr>
                        <w:alias w:val="13.2.3 pp."/>
                        <w:tag w:val="part_d9673b103ead498f9c820d7aedac772e"/>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9673b103ead498f9c820d7aedac772e"/>
                              <w:lock w:val="sdtLocked"/>
                              <w:richText/>
                            </w:sdtPr>
                            <w:sdtContent>
                              <w:r>
                                <w:rPr>
                                  <w:szCs w:val="24"/>
                                  <w:lang w:eastAsia="lt-LT"/>
                                </w:rPr>
                                <w:t>13.2.3</w:t>
                              </w:r>
                            </w:sdtContent>
                          </w:sdt>
                          <w:r>
                            <w:rPr>
                              <w:szCs w:val="24"/>
                              <w:lang w:eastAsia="lt-LT"/>
                            </w:rPr>
                            <w:t>. tyrimus, įvertinančius planuojamą teritoriją ir jos prieigas, jei tokie tyrimai neatlikti ar jų nepakanka;</w:t>
                          </w:r>
                        </w:p>
                      </w:sdtContent>
                    </w:sdt>
                    <w:sdt>
                      <w:sdtPr>
                        <w:alias w:val="13.2.4 pp."/>
                        <w:tag w:val="part_341f46ab5a7a4bd4bf4d1201896a52e6"/>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41f46ab5a7a4bd4bf4d1201896a52e6"/>
                              <w:lock w:val="sdtLocked"/>
                              <w:richText/>
                            </w:sdtPr>
                            <w:sdtContent>
                              <w:r>
                                <w:rPr>
                                  <w:szCs w:val="24"/>
                                  <w:lang w:eastAsia="lt-LT"/>
                                </w:rPr>
                                <w:t>13.2.4</w:t>
                              </w:r>
                            </w:sdtContent>
                          </w:sdt>
                          <w:r>
                            <w:rPr>
                              <w:szCs w:val="24"/>
                              <w:lang w:eastAsia="lt-LT"/>
                            </w:rPr>
                            <w:t>. kitus tyrimus, reikalingus planui parengti;</w:t>
                          </w:r>
                        </w:p>
                      </w:sdtContent>
                    </w:sdt>
                    <w:sdt>
                      <w:sdtPr>
                        <w:alias w:val="13.2.5 pp."/>
                        <w:tag w:val="part_a08108092fd24301bf5c37eea3f9d47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a08108092fd24301bf5c37eea3f9d471"/>
                              <w:lock w:val="sdtLocked"/>
                              <w:richText/>
                            </w:sdtPr>
                            <w:sdtContent>
                              <w:r>
                                <w:rPr>
                                  <w:szCs w:val="24"/>
                                  <w:lang w:eastAsia="lt-LT"/>
                                </w:rPr>
                                <w:t>13.2.5</w:t>
                              </w:r>
                            </w:sdtContent>
                          </w:sdt>
                          <w:r>
                            <w:rPr>
                              <w:szCs w:val="24"/>
                              <w:lang w:eastAsia="lt-LT"/>
                            </w:rPr>
                            <w:t>. galimybių studiją, kad būtų nustatytos teritorijos planavimo sąlygos (toliau – planavimo sąlygos);</w:t>
                          </w:r>
                        </w:p>
                      </w:sdtContent>
                    </w:sdt>
                  </w:sdtContent>
                </w:sdt>
                <w:sdt>
                  <w:sdtPr>
                    <w:alias w:val="13.3 pp."/>
                    <w:tag w:val="part_375511fb0bf545ce8cbaadd8a542e72b"/>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75511fb0bf545ce8cbaadd8a542e72b"/>
                          <w:lock w:val="sdtLocked"/>
                          <w:richText/>
                        </w:sdtPr>
                        <w:sdtContent>
                          <w:r>
                            <w:rPr>
                              <w:szCs w:val="24"/>
                              <w:lang w:eastAsia="lt-LT"/>
                            </w:rPr>
                            <w:t>13.3</w:t>
                          </w:r>
                        </w:sdtContent>
                      </w:sdt>
                      <w:r>
                        <w:rPr>
                          <w:szCs w:val="24"/>
                          <w:lang w:eastAsia="lt-LT"/>
                        </w:rPr>
                        <w:t xml:space="preserve">. vadovaudamasis Planų ir programų strateginio pasekmių aplinkai vertinimo tvarkos aprašo nuostatomis, nustato, ar bus atliekama plano atranka strateginiam pasekmių aplinkai vertinimui atlikti, nurodo ar bus atliekamas plano strateginis pasekmių aplinkai vertinimas </w:t>
                      </w:r>
                      <w:r>
                        <w:t xml:space="preserve"> (</w:t>
                      </w:r>
                      <w:r>
                        <w:rPr>
                          <w:szCs w:val="24"/>
                          <w:lang w:eastAsia="lt-LT"/>
                        </w:rPr>
                        <w:t>toliau – SPAV);</w:t>
                      </w:r>
                    </w:p>
                  </w:sdtContent>
                </w:sdt>
                <w:sdt>
                  <w:sdtPr>
                    <w:alias w:val="13.4 pp."/>
                    <w:tag w:val="part_7a56dacd909f4a4d8ff38b51ca177d19"/>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a56dacd909f4a4d8ff38b51ca177d19"/>
                          <w:lock w:val="sdtLocked"/>
                          <w:richText/>
                        </w:sdtPr>
                        <w:sdtContent>
                          <w:r>
                            <w:rPr>
                              <w:szCs w:val="24"/>
                              <w:lang w:eastAsia="lt-LT"/>
                            </w:rPr>
                            <w:t>13.4</w:t>
                          </w:r>
                        </w:sdtContent>
                      </w:sdt>
                      <w:r>
                        <w:rPr>
                          <w:szCs w:val="24"/>
                          <w:lang w:eastAsia="lt-LT"/>
                        </w:rPr>
                        <w:t>. nurodo, ar reikia parengti geriamojo vandens tiekimo ir nuotekų tvarkymo infrastruktūros plėtros koncepciją (toliau – koncepcija), ar bus atliekamas jos nepriklausomas profesinis vertinimas. Koncepcija rengiama planavimo organizatoriaus pasirinkimu ir (ar) kai numatomos kelios sprendinių alternatyvos.</w:t>
                      </w:r>
                    </w:p>
                  </w:sdtContent>
                </w:sdt>
              </w:sdtContent>
            </w:sdt>
            <w:sdt>
              <w:sdtPr>
                <w:alias w:val="14 p."/>
                <w:tag w:val="part_7d655574f5ef4837b9d00a6d4977dde4"/>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d655574f5ef4837b9d00a6d4977dde4"/>
                      <w:lock w:val="sdtLocked"/>
                      <w:richText/>
                    </w:sdtPr>
                    <w:sdtContent>
                      <w:r>
                        <w:rPr>
                          <w:szCs w:val="24"/>
                          <w:lang w:eastAsia="lt-LT"/>
                        </w:rPr>
                        <w:t>14</w:t>
                      </w:r>
                    </w:sdtContent>
                  </w:sdt>
                  <w:r>
                    <w:rPr>
                      <w:szCs w:val="24"/>
                      <w:lang w:eastAsia="lt-LT"/>
                    </w:rPr>
                    <w:t>. Parengiamajame etape planavimo organizatorius viešai paskelbia apie priimtą sprendimą dėl plano rengimo pradžios, planavimo tikslų ir planavimo darbų programą Teritorijų planavimo įstatymo 34 straipsnio 2 dalyje ir Visuomenės informavimo nuostatuose nustatyta tvarka.</w:t>
                  </w:r>
                </w:p>
              </w:sdtContent>
            </w:sdt>
            <w:sdt>
              <w:sdtPr>
                <w:alias w:val="15 p."/>
                <w:tag w:val="part_d41d3f004eb84dc0a066da00fdc85de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41d3f004eb84dc0a066da00fdc85de2"/>
                      <w:lock w:val="sdtLocked"/>
                      <w:richText/>
                    </w:sdtPr>
                    <w:sdtContent>
                      <w:r>
                        <w:rPr>
                          <w:szCs w:val="24"/>
                          <w:lang w:eastAsia="lt-LT"/>
                        </w:rPr>
                        <w:t>15</w:t>
                      </w:r>
                    </w:sdtContent>
                  </w:sdt>
                  <w:r>
                    <w:rPr>
                      <w:szCs w:val="24"/>
                      <w:lang w:eastAsia="lt-LT"/>
                    </w:rPr>
                    <w:t>. Prieš pradėdamas rengti planą, planavimo organizatorius arba jo įgaliotas asmuo Teritorijos planavimo sąlygų išdavimo tvarkos apraše, patvirtintame Lietuvos Respublikos aplinkos ministro 2004 m. gegužės 7 d. įsakymu Nr. D1-262 „Dėl Teritorijos planavimo sąlygų išdavimo tvarkos aprašo patvirtinimo“ (toliau – Teritorijos planavimo sąlygų išdavimo tvarkos aprašas), nustatyta tvarka raštu kreipiasi dėl planavimo sąlygų išdavimo.</w:t>
                  </w:r>
                </w:p>
              </w:sdtContent>
            </w:sdt>
            <w:sdt>
              <w:sdtPr>
                <w:alias w:val="16 p."/>
                <w:tag w:val="part_3eaecc7cc8374765902a02c7b13fca8d"/>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eaecc7cc8374765902a02c7b13fca8d"/>
                      <w:lock w:val="sdtLocked"/>
                      <w:richText/>
                    </w:sdtPr>
                    <w:sdtContent>
                      <w:r>
                        <w:rPr>
                          <w:szCs w:val="24"/>
                          <w:lang w:eastAsia="lt-LT"/>
                        </w:rPr>
                        <w:t>16</w:t>
                      </w:r>
                    </w:sdtContent>
                  </w:sdt>
                  <w:r>
                    <w:rPr>
                      <w:szCs w:val="24"/>
                      <w:lang w:eastAsia="lt-LT"/>
                    </w:rPr>
                    <w:t>. Planavimo sąlygas teikia:</w:t>
                  </w:r>
                </w:p>
                <w:sdt>
                  <w:sdtPr>
                    <w:alias w:val="16.1 pp."/>
                    <w:tag w:val="part_d3660330afc74bee9cd707f35eb55717"/>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3660330afc74bee9cd707f35eb55717"/>
                          <w:lock w:val="sdtLocked"/>
                          <w:richText/>
                        </w:sdtPr>
                        <w:sdtContent>
                          <w:r>
                            <w:rPr>
                              <w:szCs w:val="24"/>
                              <w:lang w:eastAsia="lt-LT"/>
                            </w:rPr>
                            <w:t>16.1</w:t>
                          </w:r>
                        </w:sdtContent>
                      </w:sdt>
                      <w:r>
                        <w:rPr>
                          <w:szCs w:val="24"/>
                          <w:lang w:eastAsia="lt-LT"/>
                        </w:rPr>
                        <w:t>. viešoji įstaiga Statybos sektoriaus vystymo agentūra;</w:t>
                      </w:r>
                    </w:p>
                  </w:sdtContent>
                </w:sdt>
                <w:sdt>
                  <w:sdtPr>
                    <w:alias w:val="16.2 pp."/>
                    <w:tag w:val="part_a6aeb25978b34b59aafd7a2664704820"/>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aeb25978b34b59aafd7a2664704820"/>
                          <w:lock w:val="sdtLocked"/>
                          <w:richText/>
                        </w:sdtPr>
                        <w:sdtContent>
                          <w:r>
                            <w:rPr>
                              <w:szCs w:val="24"/>
                              <w:lang w:eastAsia="lt-LT"/>
                            </w:rPr>
                            <w:t>16.2</w:t>
                          </w:r>
                        </w:sdtContent>
                      </w:sdt>
                      <w:r>
                        <w:rPr>
                          <w:szCs w:val="24"/>
                          <w:lang w:eastAsia="lt-LT"/>
                        </w:rPr>
                        <w:t xml:space="preserve">.  planavimo organizatorius;</w:t>
                      </w:r>
                    </w:p>
                  </w:sdtContent>
                </w:sdt>
                <w:sdt>
                  <w:sdtPr>
                    <w:alias w:val="16.3 pp."/>
                    <w:tag w:val="part_a57e33ee7e2445b290d194596e7a6ea0"/>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57e33ee7e2445b290d194596e7a6ea0"/>
                          <w:lock w:val="sdtLocked"/>
                          <w:richText/>
                        </w:sdtPr>
                        <w:sdtContent>
                          <w:r>
                            <w:rPr>
                              <w:szCs w:val="24"/>
                              <w:lang w:eastAsia="lt-LT"/>
                            </w:rPr>
                            <w:t>16.3</w:t>
                          </w:r>
                        </w:sdtContent>
                      </w:sdt>
                      <w:r>
                        <w:rPr>
                          <w:szCs w:val="24"/>
                          <w:lang w:eastAsia="lt-LT"/>
                        </w:rPr>
                        <w:t>. Nacionalinis visuomenės sveikatos centras prie Sveikatos apsaugos ministerijos;</w:t>
                      </w:r>
                    </w:p>
                  </w:sdtContent>
                </w:sdt>
                <w:sdt>
                  <w:sdtPr>
                    <w:alias w:val="16.4 pp."/>
                    <w:tag w:val="part_aa6f052c5fa7470986b47be5b65b17ca"/>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a6f052c5fa7470986b47be5b65b17ca"/>
                          <w:lock w:val="sdtLocked"/>
                          <w:richText/>
                        </w:sdtPr>
                        <w:sdtContent>
                          <w:r>
                            <w:rPr>
                              <w:szCs w:val="24"/>
                              <w:lang w:eastAsia="lt-LT"/>
                            </w:rPr>
                            <w:t>16.4</w:t>
                          </w:r>
                        </w:sdtContent>
                      </w:sdt>
                      <w:r>
                        <w:rPr>
                          <w:szCs w:val="24"/>
                          <w:lang w:eastAsia="lt-LT"/>
                        </w:rPr>
                        <w:t>. Kultūros paveldo departamentas prie Kultūros ministerijos, jei į planuojamą teritoriją patenka</w:t>
                      </w:r>
                      <w:r>
                        <w:t xml:space="preserve"> </w:t>
                      </w:r>
                      <w:r>
                        <w:rPr>
                          <w:szCs w:val="24"/>
                          <w:lang w:eastAsia="lt-LT"/>
                        </w:rPr>
                        <w:t>regioninio bei nacionalinio reikšmingumo lygmens kultūros paveldo objektai ir jų teritorijos bei apsaugos zonos, valstybės saugomais paskelbti kultūros paveldo objektai, jų teritorijos ir (ar) kultūros paveldo vietovės ir (ar) jų apsaugos zonos (išskyrus ten esančius savivaldybės tarybos saugomais paskelbtus kultūros paveldo objektus ar vietoves);</w:t>
                      </w:r>
                    </w:p>
                  </w:sdtContent>
                </w:sdt>
                <w:sdt>
                  <w:sdtPr>
                    <w:alias w:val="16.5 pp."/>
                    <w:tag w:val="part_a7a8cd9a365d4f879fe64cf2414c1a1f"/>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7a8cd9a365d4f879fe64cf2414c1a1f"/>
                          <w:lock w:val="sdtLocked"/>
                          <w:richText/>
                        </w:sdtPr>
                        <w:sdtContent>
                          <w:r>
                            <w:rPr>
                              <w:szCs w:val="24"/>
                              <w:lang w:eastAsia="lt-LT"/>
                            </w:rPr>
                            <w:t>16.5</w:t>
                          </w:r>
                        </w:sdtContent>
                      </w:sdt>
                      <w:r>
                        <w:rPr>
                          <w:szCs w:val="24"/>
                          <w:lang w:eastAsia="lt-LT"/>
                        </w:rPr>
                        <w:t>. Savivaldybių administracijos paveldosaugos padaliniai, jei į planuojamą teritoriją patenka savivaldybės tarybos saugomais paskelbti kultūros paveldo objektai ir jų teritorijos bei apsaugos zonos, savivaldybės saugomomis paskelbtos kultūros paveldo vietovės ir jų apsaugos zonos (išskyrus ten esančius regioninio ir nacionalinio reikšmingumo lygmens kultūros paveldo objektus, valstybės saugomus kultūros paveldo objektus bei kultūros paveldo vietoves, paminklus);</w:t>
                      </w:r>
                    </w:p>
                  </w:sdtContent>
                </w:sdt>
                <w:sdt>
                  <w:sdtPr>
                    <w:alias w:val="16.6 pp."/>
                    <w:tag w:val="part_98e65932c36a434da7e6766c0309c85c"/>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8e65932c36a434da7e6766c0309c85c"/>
                          <w:lock w:val="sdtLocked"/>
                          <w:richText/>
                        </w:sdtPr>
                        <w:sdtContent>
                          <w:r>
                            <w:rPr>
                              <w:szCs w:val="24"/>
                              <w:lang w:eastAsia="lt-LT"/>
                            </w:rPr>
                            <w:t>16.6</w:t>
                          </w:r>
                        </w:sdtContent>
                      </w:sdt>
                      <w:r>
                        <w:rPr>
                          <w:szCs w:val="24"/>
                          <w:lang w:eastAsia="lt-LT"/>
                        </w:rPr>
                        <w:t>. geriamojo vandens tiekėjai ir nuotekų tvarkytojai, viešieji geriamojo vandens tiekėjai ir nuotekų tvarkytojai, regioniniai viešieji geriamojo vandens tiekėjai ir nuotekų tvarkytojai, paviršinių nuotekų tvarkytojai, kiti planuojamoje teritorijoje esančių ir teritorijų planavimo dokumentuose suplanuotų inžinerinių tinklų ir susisiekimo komunikacijų valdytojai;</w:t>
                      </w:r>
                    </w:p>
                  </w:sdtContent>
                </w:sdt>
                <w:sdt>
                  <w:sdtPr>
                    <w:alias w:val="16.7 pp."/>
                    <w:tag w:val="part_45d531ca748844c1a76f86fcf4930ef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5d531ca748844c1a76f86fcf4930ef1"/>
                          <w:lock w:val="sdtLocked"/>
                          <w:richText/>
                        </w:sdtPr>
                        <w:sdtContent>
                          <w:r>
                            <w:rPr>
                              <w:szCs w:val="24"/>
                              <w:lang w:eastAsia="lt-LT"/>
                            </w:rPr>
                            <w:t>16.7</w:t>
                          </w:r>
                        </w:sdtContent>
                      </w:sdt>
                      <w:r>
                        <w:rPr>
                          <w:szCs w:val="24"/>
                          <w:lang w:eastAsia="lt-LT"/>
                        </w:rPr>
                        <w:t>. Priešgaisrinės apsaugos ir gelbėjimo departamentas prie Vidaus reikalų ministerijos;</w:t>
                      </w:r>
                    </w:p>
                  </w:sdtContent>
                </w:sdt>
                <w:sdt>
                  <w:sdtPr>
                    <w:alias w:val="16.8 pp."/>
                    <w:tag w:val="part_2cc8e78bb0ee4b1e98bc47e078a53f49"/>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cc8e78bb0ee4b1e98bc47e078a53f49"/>
                          <w:lock w:val="sdtLocked"/>
                          <w:richText/>
                        </w:sdtPr>
                        <w:sdtContent>
                          <w:r>
                            <w:rPr>
                              <w:szCs w:val="24"/>
                              <w:lang w:eastAsia="lt-LT"/>
                            </w:rPr>
                            <w:t>16.8</w:t>
                          </w:r>
                        </w:sdtContent>
                      </w:sdt>
                      <w:r>
                        <w:rPr>
                          <w:szCs w:val="24"/>
                          <w:lang w:eastAsia="lt-LT"/>
                        </w:rPr>
                        <w:t>. Nacionalinė žemės tarnyba prie Aplinkos ministerijos, jei į planuojamą teritoriją patenka jos patikėjimo teise valdoma valstybinė žemė;</w:t>
                      </w:r>
                    </w:p>
                  </w:sdtContent>
                </w:sdt>
                <w:sdt>
                  <w:sdtPr>
                    <w:alias w:val="16.9 pp."/>
                    <w:tag w:val="part_3a6efc6cea1f4366ba2291f3808c7f5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3a6efc6cea1f4366ba2291f3808c7f51"/>
                          <w:lock w:val="sdtLocked"/>
                          <w:richText/>
                        </w:sdtPr>
                        <w:sdtContent>
                          <w:r>
                            <w:rPr>
                              <w:szCs w:val="24"/>
                              <w:lang w:eastAsia="lt-LT"/>
                            </w:rPr>
                            <w:t>16.9</w:t>
                          </w:r>
                        </w:sdtContent>
                      </w:sdt>
                      <w:r>
                        <w:rPr>
                          <w:szCs w:val="24"/>
                          <w:lang w:eastAsia="lt-LT"/>
                        </w:rPr>
                        <w:t>. saugomos teritorijos direkcija – pagal</w:t>
                      </w:r>
                      <w:r>
                        <w:rPr>
                          <w:szCs w:val="24"/>
                        </w:rPr>
                        <w:t xml:space="preserve"> Teritorijų planavimo sąlygų išdavimo ir šių dokumentų derinimo Aplinkos ministerijoje bei jai pavaldžiose ir reguliavimo sričiai priskirtose įstaigose tvarkos aprašą, patvirtintą Lietuvos Respublikos aplinkos ministro 2008 m. gegužės 30 d. įsakymu Nr. D1-294 „Dėl Teritorijų planavimo sąlygų išdavimo ir šių dokumentų derinimo Aplinkos ministerijoje bei jai pavaldžiose ir reguliavimo sričiai priskirtose įstaigose tvarkos aprašo patvirtinimo“ (toliau – Tvarkos aprašas);</w:t>
                      </w:r>
                    </w:p>
                  </w:sdtContent>
                </w:sdt>
                <w:sdt>
                  <w:sdtPr>
                    <w:alias w:val="16.10 pp."/>
                    <w:tag w:val="part_69b62b4deea34485a79d754c4d8976c3"/>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9b62b4deea34485a79d754c4d8976c3"/>
                          <w:lock w:val="sdtLocked"/>
                          <w:richText/>
                        </w:sdtPr>
                        <w:sdtContent>
                          <w:r>
                            <w:rPr>
                              <w:szCs w:val="24"/>
                              <w:lang w:eastAsia="lt-LT"/>
                            </w:rPr>
                            <w:t>16.10</w:t>
                          </w:r>
                        </w:sdtContent>
                      </w:sdt>
                      <w:r>
                        <w:rPr>
                          <w:szCs w:val="24"/>
                          <w:lang w:eastAsia="lt-LT"/>
                        </w:rPr>
                        <w:t>. Aplinkos apsaugos agentūra – pagal Tvarkos aprašą;</w:t>
                      </w:r>
                    </w:p>
                  </w:sdtContent>
                </w:sdt>
                <w:sdt>
                  <w:sdtPr>
                    <w:alias w:val="16.11 pp."/>
                    <w:tag w:val="part_239768317678444dbdc5eccbff1042f5"/>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239768317678444dbdc5eccbff1042f5"/>
                          <w:lock w:val="sdtLocked"/>
                          <w:richText/>
                        </w:sdtPr>
                        <w:sdtContent>
                          <w:r>
                            <w:rPr>
                              <w:szCs w:val="24"/>
                              <w:lang w:eastAsia="lt-LT"/>
                            </w:rPr>
                            <w:t>16.11</w:t>
                          </w:r>
                        </w:sdtContent>
                      </w:sdt>
                      <w:r>
                        <w:rPr>
                          <w:szCs w:val="24"/>
                          <w:lang w:eastAsia="lt-LT"/>
                        </w:rPr>
                        <w:t>. Valstybės sienos</w:t>
                      </w:r>
                      <w:r>
                        <w:rPr>
                          <w:szCs w:val="24"/>
                        </w:rPr>
                        <w:t xml:space="preserve"> apsaugos tarnyba</w:t>
                      </w:r>
                      <w:r>
                        <w:t xml:space="preserve"> </w:t>
                      </w:r>
                      <w:r>
                        <w:rPr>
                          <w:szCs w:val="24"/>
                        </w:rPr>
                        <w:t>prie Lietuvos Respublikos vidaus reikalų ministerijos – pagal Specialiųjų žemės naudojimo sąlygų įstatymo 16 straipsnio ir 120 straipsnio 1 dalies nuostatas, reglamentuojančias specialiąsias žemės naudojimo sąlygas civilinio ir karinio, naudojamo civilinių orlaivių skrydžiams, aerodromo apsaugos zonose ir specialiąsias žemės naudojimo sąlygas bendrojoje valstybės sienos apsaugai skirto radiolokatoriaus apsaugos zonoje;</w:t>
                      </w:r>
                    </w:p>
                  </w:sdtContent>
                </w:sdt>
                <w:sdt>
                  <w:sdtPr>
                    <w:alias w:val="16.12 pp."/>
                    <w:tag w:val="part_21fefe2412144cc699ae932d17a8b7fd"/>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21fefe2412144cc699ae932d17a8b7fd"/>
                          <w:lock w:val="sdtLocked"/>
                          <w:richText/>
                        </w:sdtPr>
                        <w:sdtContent>
                          <w:r>
                            <w:rPr>
                              <w:rFonts w:eastAsia="Lucida Sans Unicode"/>
                              <w:szCs w:val="24"/>
                              <w:lang w:eastAsia="lt-LT"/>
                            </w:rPr>
                            <w:t>16.12</w:t>
                          </w:r>
                        </w:sdtContent>
                      </w:sdt>
                      <w:r>
                        <w:rPr>
                          <w:rFonts w:eastAsia="Lucida Sans Unicode"/>
                          <w:szCs w:val="24"/>
                          <w:lang w:eastAsia="lt-LT"/>
                        </w:rPr>
                        <w:t xml:space="preserve">. </w:t>
                      </w:r>
                      <w:r>
                        <w:rPr>
                          <w:rFonts w:ascii="Segoe UI" w:hAnsi="Segoe UI" w:cs="Segoe UI"/>
                          <w:sz w:val="18"/>
                          <w:szCs w:val="18"/>
                          <w:shd w:val="clear" w:color="auto" w:fill="FFFFFF"/>
                        </w:rPr>
                        <w:t xml:space="preserve"> </w:t>
                      </w:r>
                      <w:r>
                        <w:rPr>
                          <w:szCs w:val="24"/>
                          <w:shd w:val="clear" w:color="auto" w:fill="FFFFFF"/>
                        </w:rPr>
                        <w:t>viešoji įstaiga Transporto kompetencijų agentūra – pagal Specialiųjų žemės naudojimo sąlygų įstatymo 16 straipsnio ir 120 straipsnio 1 dalies nuostatas, reglamentuojančias specialiąsias žemės naudojimo sąlygas civilinio ir karinio, naudojamo civilinių orlaivių skrydžiams, aerodromo apsaugos zonose ir specialiąsias žemės naudojimo sąlygas</w:t>
                      </w:r>
                      <w:r>
                        <w:t xml:space="preserve"> </w:t>
                      </w:r>
                      <w:r>
                        <w:rPr>
                          <w:szCs w:val="24"/>
                          <w:shd w:val="clear" w:color="auto" w:fill="FFFFFF"/>
                        </w:rPr>
                        <w:t>bendrojoje civilinės aviacijos</w:t>
                      </w:r>
                      <w:r>
                        <w:rPr>
                          <w:b/>
                          <w:bCs/>
                          <w:szCs w:val="24"/>
                          <w:shd w:val="clear" w:color="auto" w:fill="FFFFFF"/>
                        </w:rPr>
                        <w:t xml:space="preserve"> </w:t>
                      </w:r>
                      <w:r>
                        <w:rPr>
                          <w:szCs w:val="24"/>
                          <w:shd w:val="clear" w:color="auto" w:fill="FFFFFF"/>
                        </w:rPr>
                        <w:t>radiolokatorių apsaugos zonoje;</w:t>
                      </w:r>
                    </w:p>
                  </w:sdtContent>
                </w:sdt>
                <w:sdt>
                  <w:sdtPr>
                    <w:alias w:val="16.13 pp."/>
                    <w:tag w:val="part_71d50cae875849209f18383238ae1583"/>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71d50cae875849209f18383238ae1583"/>
                          <w:lock w:val="sdtLocked"/>
                          <w:richText/>
                        </w:sdtPr>
                        <w:sdtContent>
                          <w:r>
                            <w:rPr>
                              <w:szCs w:val="24"/>
                            </w:rPr>
                            <w:t>16.13</w:t>
                          </w:r>
                        </w:sdtContent>
                      </w:sdt>
                      <w:r>
                        <w:rPr>
                          <w:szCs w:val="24"/>
                        </w:rPr>
                        <w:t>. Lietuvos kariuomenės vadas – pagal Specialiųjų žemės naudojimo sąlygų įstatymo 16 straipsnio ir 120 straipsnio 1 dalies nuostatas, reglamentuojančias specialiąsias žemės naudojimo sąlygas karinio aerodromo apsaugos zonose ir specialiąsias žemės naudojimo sąlygas bendrojoje karinio radiolokatoriaus apsaugos zonoje:</w:t>
                      </w:r>
                    </w:p>
                  </w:sdtContent>
                </w:sdt>
                <w:sdt>
                  <w:sdtPr>
                    <w:alias w:val="16.14 pp."/>
                    <w:tag w:val="part_ad02d5bcb9a8437eb0aacfb221dd5d99"/>
                    <w:lock w:val="sdtLocked"/>
                    <w:richText/>
                  </w:sdtPr>
                  <w:sdtContent>
                    <w:p>
                      <w:pPr>
                        <w:widowControl w:val="0"/>
                        <w:suppressAutoHyphens/>
                        <w:ind w:firstLine="567"/>
                        <w:jc w:val="both"/>
                        <w:textAlignment w:val="baseline"/>
                        <w:rPr>
                          <w:szCs w:val="24"/>
                        </w:rPr>
                      </w:pPr>
                      <w:sdt>
                        <w:sdtPr>
                          <w:alias w:val="Numeris"/>
                          <w:tag w:val="nr_ad02d5bcb9a8437eb0aacfb221dd5d99"/>
                          <w:lock w:val="sdtLocked"/>
                          <w:richText/>
                        </w:sdtPr>
                        <w:sdtContent>
                          <w:r>
                            <w:rPr>
                              <w:szCs w:val="24"/>
                              <w:lang w:eastAsia="lt-LT"/>
                            </w:rPr>
                            <w:t>16.14</w:t>
                          </w:r>
                        </w:sdtContent>
                      </w:sdt>
                      <w:r>
                        <w:rPr>
                          <w:szCs w:val="24"/>
                          <w:lang w:eastAsia="lt-LT"/>
                        </w:rPr>
                        <w:t>. Lietuvos geologijos tarnyba prie Aplinkos ministerijos – pagal Tvarkos aprašą</w:t>
                      </w:r>
                      <w:r>
                        <w:rPr>
                          <w:szCs w:val="24"/>
                        </w:rPr>
                        <w:t>;</w:t>
                      </w:r>
                    </w:p>
                  </w:sdtContent>
                </w:sdt>
                <w:sdt>
                  <w:sdtPr>
                    <w:alias w:val="16.15 pp."/>
                    <w:tag w:val="part_05e6de6bbfc945f09c3200e3d44949c7"/>
                    <w:lock w:val="sdtLocked"/>
                    <w:richText/>
                  </w:sdtPr>
                  <w:sdtContent>
                    <w:p>
                      <w:pPr>
                        <w:widowControl w:val="0"/>
                        <w:suppressAutoHyphens/>
                        <w:ind w:firstLine="567"/>
                        <w:jc w:val="both"/>
                        <w:textAlignment w:val="baseline"/>
                        <w:rPr>
                          <w:szCs w:val="24"/>
                        </w:rPr>
                      </w:pPr>
                      <w:sdt>
                        <w:sdtPr>
                          <w:alias w:val="Numeris"/>
                          <w:tag w:val="nr_05e6de6bbfc945f09c3200e3d44949c7"/>
                          <w:lock w:val="sdtLocked"/>
                          <w:richText/>
                        </w:sdtPr>
                        <w:sdtContent>
                          <w:r>
                            <w:rPr>
                              <w:szCs w:val="24"/>
                            </w:rPr>
                            <w:t>16.15</w:t>
                          </w:r>
                        </w:sdtContent>
                      </w:sdt>
                      <w:r>
                        <w:rPr>
                          <w:szCs w:val="24"/>
                        </w:rPr>
                        <w:t>. Valstybinė miškų tarnyba – pagal Tvarkos aprašą.</w:t>
                      </w:r>
                    </w:p>
                  </w:sdtContent>
                </w:sdt>
              </w:sdtContent>
            </w:sdt>
            <w:sdt>
              <w:sdtPr>
                <w:alias w:val="17 p."/>
                <w:tag w:val="part_36ac50ad499e409ea0a3e8088b6967b2"/>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36ac50ad499e409ea0a3e8088b6967b2"/>
                      <w:lock w:val="sdtLocked"/>
                      <w:richText/>
                    </w:sdtPr>
                    <w:sdtContent>
                      <w:r>
                        <w:rPr>
                          <w:szCs w:val="24"/>
                        </w:rPr>
                        <w:t>17</w:t>
                      </w:r>
                    </w:sdtContent>
                  </w:sdt>
                  <w:r>
                    <w:rPr>
                      <w:szCs w:val="24"/>
                    </w:rPr>
                    <w:t>. Planavimo sąlygos išduodamos,</w:t>
                  </w:r>
                  <w:r>
                    <w:t xml:space="preserve"> </w:t>
                  </w:r>
                  <w:r>
                    <w:rPr>
                      <w:szCs w:val="24"/>
                    </w:rPr>
                    <w:t xml:space="preserve">keičiamos ir jų galiojimo terminai pratęsiami </w:t>
                  </w:r>
                  <w:r>
                    <w:rPr>
                      <w:szCs w:val="24"/>
                      <w:lang w:eastAsia="lt-LT"/>
                    </w:rPr>
                    <w:t>Teritorijos planavimo sąlygų išdavimo tvarkos apraše</w:t>
                  </w:r>
                  <w:r>
                    <w:rPr>
                      <w:szCs w:val="24"/>
                    </w:rPr>
                    <w:t xml:space="preserve"> nustatyta tvarka.</w:t>
                  </w:r>
                </w:p>
              </w:sdtContent>
            </w:sdt>
            <w:sdt>
              <w:sdtPr>
                <w:alias w:val="18 p."/>
                <w:tag w:val="part_ef8e9e9669aa4a249b89867bdb955839"/>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f8e9e9669aa4a249b89867bdb955839"/>
                      <w:lock w:val="sdtLocked"/>
                      <w:richText/>
                    </w:sdtPr>
                    <w:sdtContent>
                      <w:r>
                        <w:rPr>
                          <w:szCs w:val="24"/>
                          <w:lang w:eastAsia="lt-LT"/>
                        </w:rPr>
                        <w:t>18</w:t>
                      </w:r>
                    </w:sdtContent>
                  </w:sdt>
                  <w:r>
                    <w:rPr>
                      <w:szCs w:val="24"/>
                      <w:lang w:eastAsia="lt-LT"/>
                    </w:rPr>
                    <w:t xml:space="preserve">. Planavimo organizatorius skelbia konkursą plano rengėjui parinkti Lietuvos Respublikos viešųjų pirkimų įstatymo nustatyta tvarka. Planavimo organizatorius sudaro sutartį su plano rengėju ir pateikia jam sprendimą dėl plano rengimo, planavimo darbų programą, planavimo sąlygas, planuojamos teritorijos schemą, išrašą iš Lietuvos Respublikos teritorijų planavimo dokumentų registro apie numatomoje planuoti teritorijoje galiojančius ir rengiamus teritorijų planavimo dokumentus, mokslinių tyrimų ataskaitas ir kitus reikiamus duomenis. Kiekvienu konkrečiu atveju teikiamų dokumentų ir duomenų sąrašas priklauso nuo planavimo tikslų ir plano uždavinių, jų gavimas gali būti numatytas viešųjų pirkimų konkurso sąlygose arba plano rengimo sutartyje. </w:t>
                  </w:r>
                </w:p>
              </w:sdtContent>
            </w:sdt>
            <w:sdt>
              <w:sdtPr>
                <w:alias w:val="19 p."/>
                <w:tag w:val="part_49f1ad8f056d4191bc4c03135338c6ee"/>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49f1ad8f056d4191bc4c03135338c6ee"/>
                      <w:lock w:val="sdtLocked"/>
                      <w:richText/>
                    </w:sdtPr>
                    <w:sdtContent>
                      <w:r>
                        <w:rPr>
                          <w:szCs w:val="24"/>
                          <w:lang w:eastAsia="lt-LT"/>
                        </w:rPr>
                        <w:t>19</w:t>
                      </w:r>
                    </w:sdtContent>
                  </w:sdt>
                  <w:r>
                    <w:rPr>
                      <w:szCs w:val="24"/>
                      <w:lang w:eastAsia="lt-LT"/>
                    </w:rPr>
                    <w:t xml:space="preserve">. </w:t>
                  </w:r>
                  <w:r>
                    <w:rPr>
                      <w:color w:val="000000"/>
                    </w:rPr>
                    <w:t>Teritorijų planavimo dokumento atranka atliekama teritorijų planavimo proceso parengiamajame etape, kai teritorijų planavimo dokumentas tikslinamas, – rengiant pasiūlymą patikslinti teritorijų planavimo dokumentą, prieš organizatoriui patvirtinant patikslintą teritorijų planavimo dokumentą.</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lt-LT"/>
                    </w:rPr>
                  </w:pPr>
                </w:p>
              </w:sdtContent>
            </w:sdt>
          </w:sdtContent>
        </w:sdt>
        <w:sdt>
          <w:sdtPr>
            <w:alias w:val="skyrius"/>
            <w:tag w:val="part_1fc52ea941d5454c822366b353ed6307"/>
            <w:lock w:val="sdtLocked"/>
            <w:richText/>
          </w:sdtPr>
          <w:sdtContent>
            <w:p>
              <w:pPr>
                <w:keepNext/>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1fc52ea941d5454c822366b353ed6307"/>
                  <w:lock w:val="sdtLocked"/>
                  <w:richText/>
                </w:sdtPr>
                <w:sdtContent>
                  <w:r>
                    <w:rPr>
                      <w:b/>
                      <w:szCs w:val="24"/>
                      <w:lang w:eastAsia="lt-LT"/>
                    </w:rPr>
                    <w:t>VI</w:t>
                  </w:r>
                </w:sdtContent>
              </w:sdt>
              <w:r>
                <w:rPr>
                  <w:b/>
                  <w:szCs w:val="24"/>
                  <w:lang w:eastAsia="lt-LT"/>
                </w:rPr>
                <w:t xml:space="preserve"> SKYRIUS</w:t>
              </w:r>
            </w:p>
            <w:p>
              <w:pPr>
                <w:keepNext/>
                <w:tabs>
                  <w:tab w:val="left" w:pos="10992"/>
                  <w:tab w:val="left" w:pos="11908"/>
                  <w:tab w:val="left" w:pos="12824"/>
                  <w:tab w:val="left" w:pos="13740"/>
                  <w:tab w:val="left" w:pos="14656"/>
                </w:tabs>
                <w:jc w:val="center"/>
                <w:rPr>
                  <w:b/>
                  <w:szCs w:val="24"/>
                  <w:lang w:eastAsia="lt-LT"/>
                </w:rPr>
              </w:pPr>
              <w:sdt>
                <w:sdtPr>
                  <w:alias w:val="Pavadinimas"/>
                  <w:tag w:val="title_1fc52ea941d5454c822366b353ed6307"/>
                  <w:lock w:val="sdtLocked"/>
                  <w:richText/>
                </w:sdtPr>
                <w:sdtContent>
                  <w:r>
                    <w:rPr>
                      <w:b/>
                      <w:szCs w:val="24"/>
                      <w:lang w:eastAsia="lt-LT"/>
                    </w:rPr>
                    <w:t>RENGIMO ETAPAS</w:t>
                  </w:r>
                </w:sdtContent>
              </w:sdt>
            </w:p>
            <w:p>
              <w:pPr>
                <w:keepNext/>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20 p."/>
                <w:tag w:val="part_c7cf270b1c914c08ac4df6cf1e7e39b1"/>
                <w:lock w:val="sdtLocked"/>
                <w:richText/>
              </w:sdtPr>
              <w:sdtContent>
                <w:p>
                  <w:pPr>
                    <w:keepNext/>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7cf270b1c914c08ac4df6cf1e7e39b1"/>
                      <w:lock w:val="sdtLocked"/>
                      <w:richText/>
                    </w:sdtPr>
                    <w:sdtContent>
                      <w:r>
                        <w:rPr>
                          <w:szCs w:val="24"/>
                          <w:lang w:eastAsia="lt-LT"/>
                        </w:rPr>
                        <w:t>20</w:t>
                      </w:r>
                    </w:sdtContent>
                  </w:sdt>
                  <w:r>
                    <w:rPr>
                      <w:szCs w:val="24"/>
                      <w:lang w:eastAsia="lt-LT"/>
                    </w:rPr>
                    <w:t>. Plano rengimo etapą sudaro šios stadijos: esamos būklės įvertinimas, bendrųjų sprendinių formavimas, sprendinių konkretizavimas.</w:t>
                  </w:r>
                </w:p>
              </w:sdtContent>
            </w:sdt>
            <w:sdt>
              <w:sdtPr>
                <w:alias w:val="21 p."/>
                <w:tag w:val="part_e45b820efa19448890c4a83c724524db"/>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5b820efa19448890c4a83c724524db"/>
                      <w:lock w:val="sdtLocked"/>
                      <w:richText/>
                    </w:sdtPr>
                    <w:sdtContent>
                      <w:r>
                        <w:rPr>
                          <w:szCs w:val="24"/>
                          <w:lang w:eastAsia="lt-LT"/>
                        </w:rPr>
                        <w:t>21</w:t>
                      </w:r>
                    </w:sdtContent>
                  </w:sdt>
                  <w:r>
                    <w:rPr>
                      <w:szCs w:val="24"/>
                      <w:lang w:eastAsia="lt-LT"/>
                    </w:rPr>
                    <w:t>. Esamos būklės įvertinimo stadijoje, atsižvelgiant į planavimo tikslą ir planavimo darbų programą:</w:t>
                  </w:r>
                </w:p>
                <w:sdt>
                  <w:sdtPr>
                    <w:alias w:val="21.1 pp."/>
                    <w:tag w:val="part_d19d61e3723348edabf2bac587e02b1b"/>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19d61e3723348edabf2bac587e02b1b"/>
                          <w:lock w:val="sdtLocked"/>
                          <w:richText/>
                        </w:sdtPr>
                        <w:sdtContent>
                          <w:r>
                            <w:rPr>
                              <w:szCs w:val="24"/>
                              <w:lang w:eastAsia="lt-LT"/>
                            </w:rPr>
                            <w:t>21.1</w:t>
                          </w:r>
                        </w:sdtContent>
                      </w:sdt>
                      <w:r>
                        <w:rPr>
                          <w:szCs w:val="24"/>
                          <w:lang w:eastAsia="lt-LT"/>
                        </w:rPr>
                        <w:t>. atliekama planuojamoje teritorijoje esančios geriamojo vandens tiekimo ir nuotekų tvarkymo, paviršinių nuotekų tvarkymo infrastruktūros būklės analizė, šios infrastruktūros objektų išdėstymo ir jų plėtros galimybių vertinimas, parengiamos prognozės ir įvertinamos problemos, esamų individualaus geriamojo vandens išgavimo ir (ar) individualaus nuotekų tvarkymo objektų išdėstymas,</w:t>
                      </w:r>
                      <w:r>
                        <w:rPr>
                          <w:szCs w:val="24"/>
                        </w:rPr>
                        <w:t xml:space="preserve"> </w:t>
                      </w:r>
                      <w:r>
                        <w:rPr>
                          <w:szCs w:val="24"/>
                          <w:lang w:eastAsia="lt-LT"/>
                        </w:rPr>
                        <w:t>klimato kaitos poveikis urbanizuotų teritorijų hidrologiniam režimui, paviršiaus nuotėkio reguliavimo rizikos (pavyzdžiui, nuotakyno užsikimšimas arba gedimas), kai yra padidėjęs ar ekstremalus kritulių kiekis;</w:t>
                      </w:r>
                    </w:p>
                  </w:sdtContent>
                </w:sdt>
                <w:sdt>
                  <w:sdtPr>
                    <w:alias w:val="21.2 pp."/>
                    <w:tag w:val="part_c7431596098244bd86517843a2dc9597"/>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7431596098244bd86517843a2dc9597"/>
                          <w:lock w:val="sdtLocked"/>
                          <w:richText/>
                        </w:sdtPr>
                        <w:sdtContent>
                          <w:r>
                            <w:rPr>
                              <w:szCs w:val="24"/>
                              <w:lang w:eastAsia="lt-LT"/>
                            </w:rPr>
                            <w:t>21.2</w:t>
                          </w:r>
                        </w:sdtContent>
                      </w:sdt>
                      <w:r>
                        <w:rPr>
                          <w:szCs w:val="24"/>
                          <w:lang w:eastAsia="lt-LT"/>
                        </w:rPr>
                        <w:t>. atliekama geriamojo vandens ir nuotekų tvarkymo paslaugų poreikio analizė ir įvertinimas;</w:t>
                      </w:r>
                    </w:p>
                  </w:sdtContent>
                </w:sdt>
                <w:sdt>
                  <w:sdtPr>
                    <w:alias w:val="21.3 pp."/>
                    <w:tag w:val="part_3cd22f60ec124a61b97aae768b0433d0"/>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cd22f60ec124a61b97aae768b0433d0"/>
                          <w:lock w:val="sdtLocked"/>
                          <w:richText/>
                        </w:sdtPr>
                        <w:sdtContent>
                          <w:r>
                            <w:rPr>
                              <w:szCs w:val="24"/>
                              <w:lang w:eastAsia="lt-LT"/>
                            </w:rPr>
                            <w:t>21.3</w:t>
                          </w:r>
                        </w:sdtContent>
                      </w:sdt>
                      <w:r>
                        <w:rPr>
                          <w:szCs w:val="24"/>
                          <w:lang w:eastAsia="lt-LT"/>
                        </w:rPr>
                        <w:t>. įvertinama lauko gaisrinio vandentiekio tinklų ir statinių, skirtų pastatams ir statiniams gesinti, būklė (debitai, vamzdyno pralaidumas, slėgio lauko vandentiekyje ir vandenvietės (požeminio vandens gręžinio) pajėgumai);</w:t>
                      </w:r>
                    </w:p>
                  </w:sdtContent>
                </w:sdt>
                <w:sdt>
                  <w:sdtPr>
                    <w:alias w:val="21.4 pp."/>
                    <w:tag w:val="part_01214803725d44ef8dbaeb0f9e1a2722"/>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1214803725d44ef8dbaeb0f9e1a2722"/>
                          <w:lock w:val="sdtLocked"/>
                          <w:richText/>
                        </w:sdtPr>
                        <w:sdtContent>
                          <w:r>
                            <w:rPr>
                              <w:szCs w:val="24"/>
                              <w:lang w:eastAsia="lt-LT"/>
                            </w:rPr>
                            <w:t>21.4</w:t>
                          </w:r>
                        </w:sdtContent>
                      </w:sdt>
                      <w:r>
                        <w:rPr>
                          <w:szCs w:val="24"/>
                          <w:lang w:eastAsia="lt-LT"/>
                        </w:rPr>
                        <w:t xml:space="preserve">. </w:t>
                      </w:r>
                      <w:r>
                        <w:rPr>
                          <w:szCs w:val="24"/>
                        </w:rPr>
                        <w:t>išnagrinėjami savivaldybės lygmens bendrojo plano, planuojamoje teritorijoje galiojančių vietovės lygmens bendrojo plano (kai jis parengtas) ir specialiojo teritorijų planavimo dokumentų sprendiniai</w:t>
                      </w:r>
                      <w:r>
                        <w:rPr>
                          <w:szCs w:val="24"/>
                          <w:lang w:eastAsia="lt-LT"/>
                        </w:rPr>
                        <w:t>:</w:t>
                      </w:r>
                    </w:p>
                    <w:sdt>
                      <w:sdtPr>
                        <w:alias w:val="21.4.1 pp."/>
                        <w:tag w:val="part_e02550eee4764d3dae370fd04fe71826"/>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02550eee4764d3dae370fd04fe71826"/>
                              <w:lock w:val="sdtLocked"/>
                              <w:richText/>
                            </w:sdtPr>
                            <w:sdtContent>
                              <w:r>
                                <w:rPr>
                                  <w:szCs w:val="24"/>
                                  <w:lang w:eastAsia="lt-LT"/>
                                </w:rPr>
                                <w:t>21.4.1</w:t>
                              </w:r>
                            </w:sdtContent>
                          </w:sdt>
                          <w:r>
                            <w:rPr>
                              <w:szCs w:val="24"/>
                              <w:lang w:eastAsia="lt-LT"/>
                            </w:rPr>
                            <w:t>. naujų teritorijų plėtros, esamų teritorijų atnaujinimo galimybės;</w:t>
                          </w:r>
                        </w:p>
                      </w:sdtContent>
                    </w:sdt>
                    <w:sdt>
                      <w:sdtPr>
                        <w:alias w:val="21.4.2 pp."/>
                        <w:tag w:val="part_c0b5061491934d178231d9e5bb6ae89c"/>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0b5061491934d178231d9e5bb6ae89c"/>
                              <w:lock w:val="sdtLocked"/>
                              <w:richText/>
                            </w:sdtPr>
                            <w:sdtContent>
                              <w:r>
                                <w:rPr>
                                  <w:szCs w:val="24"/>
                                  <w:lang w:eastAsia="lt-LT"/>
                                </w:rPr>
                                <w:t>21.4.2</w:t>
                              </w:r>
                            </w:sdtContent>
                          </w:sdt>
                          <w:r>
                            <w:rPr>
                              <w:szCs w:val="24"/>
                              <w:lang w:eastAsia="lt-LT"/>
                            </w:rPr>
                            <w:t xml:space="preserve">. esamos ir planuojamos susisiekimo komunikacijos, gamtinis karkasas, želdynų sistema (miestų savivaldybių teritorijose), probleminės situacijos ir arealai; </w:t>
                          </w:r>
                        </w:p>
                      </w:sdtContent>
                    </w:sdt>
                  </w:sdtContent>
                </w:sdt>
                <w:sdt>
                  <w:sdtPr>
                    <w:alias w:val="21.5 pp."/>
                    <w:tag w:val="part_6320f7d283dc4c3c94369727e308d48b"/>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320f7d283dc4c3c94369727e308d48b"/>
                          <w:lock w:val="sdtLocked"/>
                          <w:richText/>
                        </w:sdtPr>
                        <w:sdtContent>
                          <w:r>
                            <w:rPr>
                              <w:szCs w:val="24"/>
                              <w:lang w:eastAsia="lt-LT"/>
                            </w:rPr>
                            <w:t>21.5</w:t>
                          </w:r>
                        </w:sdtContent>
                      </w:sdt>
                      <w:r>
                        <w:rPr>
                          <w:szCs w:val="24"/>
                          <w:lang w:eastAsia="lt-LT"/>
                        </w:rPr>
                        <w:t>. vadovaujantis Planų ir programų strateginio pasekmių aplinkai vertinimo tvarkos aprašo nuostatomis, atliekamas SPAV, jei parengiamajame etape nuspręsta šį vertinimą atlikti.</w:t>
                      </w:r>
                    </w:p>
                  </w:sdtContent>
                </w:sdt>
              </w:sdtContent>
            </w:sdt>
            <w:sdt>
              <w:sdtPr>
                <w:alias w:val="22 p."/>
                <w:tag w:val="part_d958185ecfb247dc90037e07eec006d0"/>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958185ecfb247dc90037e07eec006d0"/>
                      <w:lock w:val="sdtLocked"/>
                      <w:richText/>
                    </w:sdtPr>
                    <w:sdtContent>
                      <w:r>
                        <w:rPr>
                          <w:szCs w:val="24"/>
                          <w:lang w:eastAsia="lt-LT"/>
                        </w:rPr>
                        <w:t>22</w:t>
                      </w:r>
                    </w:sdtContent>
                  </w:sdt>
                  <w:r>
                    <w:rPr>
                      <w:szCs w:val="24"/>
                      <w:lang w:eastAsia="lt-LT"/>
                    </w:rPr>
                    <w:t>. Esamos būklės vertinimo stadijoje parengiamas brėžinys, kuriame, atsižvelgiant į atitinkamo lygmens bendrojo plano sprendinius planuojamoje teritorijoje, pažymima esama geriamojo vandens tiekimo ir nuotekų tvarkymo infrastruktūra ir jos apsaugos zonos (jeigu nustatytos), požeminio vandens vandenvietės ir jų apsaugos zonos (jeigu nustatytos), nuotekų valymo įrenginiai ir jų apsaugos zonos (jeigu nustatytos), komunalinių objektų, kuriuose tvarkomos nuotekos, sanitarinės apsaugos zonų ribos, teritorijos, kuriose taikomas individualus geriamojo vandens išgavimas ir individualus nuotekų tvarkymas, susisiekimo komunikacijos, valstybiniai miškai, saugomos teritorijos ir jų apsaugos zonos,</w:t>
                  </w:r>
                  <w:r>
                    <w:rPr>
                      <w:szCs w:val="24"/>
                    </w:rPr>
                    <w:t xml:space="preserve"> </w:t>
                  </w:r>
                  <w:r>
                    <w:rPr>
                      <w:szCs w:val="24"/>
                      <w:lang w:eastAsia="lt-LT"/>
                    </w:rPr>
                    <w:t>į gamtinį karkasą patenkančios teritorijos, kultūros paveldo</w:t>
                  </w:r>
                  <w:r>
                    <w:rPr>
                      <w:szCs w:val="24"/>
                    </w:rPr>
                    <w:t xml:space="preserve"> </w:t>
                  </w:r>
                  <w:r>
                    <w:rPr>
                      <w:szCs w:val="24"/>
                      <w:lang w:eastAsia="lt-LT"/>
                    </w:rPr>
                    <w:t>objektai,</w:t>
                  </w:r>
                  <w:r>
                    <w:t xml:space="preserve"> </w:t>
                  </w:r>
                  <w:r>
                    <w:rPr>
                      <w:szCs w:val="24"/>
                      <w:lang w:eastAsia="lt-LT"/>
                    </w:rPr>
                    <w:t>jų teritorijos ir apsaugos zonos, kultūros paveldo vietovės, ir jų apsaugos zonos, probleminės teritorijos (urbanizuotos teritorijos, kuriose dėl padidėjusio kritulių kiekio yra poplūdžių rizika), probleminių teritorijų pertvarkymo kryptys.</w:t>
                  </w:r>
                </w:p>
              </w:sdtContent>
            </w:sdt>
            <w:sdt>
              <w:sdtPr>
                <w:alias w:val="23 p."/>
                <w:tag w:val="part_a2d0add2ccdc4eb8b956b0e348c97d5a"/>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2d0add2ccdc4eb8b956b0e348c97d5a"/>
                      <w:lock w:val="sdtLocked"/>
                      <w:richText/>
                    </w:sdtPr>
                    <w:sdtContent>
                      <w:r>
                        <w:rPr>
                          <w:szCs w:val="24"/>
                          <w:lang w:eastAsia="lt-LT"/>
                        </w:rPr>
                        <w:t>23</w:t>
                      </w:r>
                    </w:sdtContent>
                  </w:sdt>
                  <w:r>
                    <w:rPr>
                      <w:szCs w:val="24"/>
                      <w:lang w:eastAsia="lt-LT"/>
                    </w:rPr>
                    <w:t>. Bendrųjų sprendinių formavimo stadijoje:</w:t>
                  </w:r>
                </w:p>
                <w:sdt>
                  <w:sdtPr>
                    <w:alias w:val="23.1 pp."/>
                    <w:tag w:val="part_8544229db03e4c72b33797ef3db8cc35"/>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544229db03e4c72b33797ef3db8cc35"/>
                          <w:lock w:val="sdtLocked"/>
                          <w:richText/>
                        </w:sdtPr>
                        <w:sdtContent>
                          <w:r>
                            <w:rPr>
                              <w:szCs w:val="24"/>
                              <w:lang w:eastAsia="lt-LT"/>
                            </w:rPr>
                            <w:t>23.1</w:t>
                          </w:r>
                        </w:sdtContent>
                      </w:sdt>
                      <w:r>
                        <w:rPr>
                          <w:szCs w:val="24"/>
                          <w:lang w:eastAsia="lt-LT"/>
                        </w:rPr>
                        <w:t>. parengiama koncepcija, jei planavimo darbų programoje numatyta ją rengti, kuriai raštu turi pritarti planavimo organizatorius;</w:t>
                      </w:r>
                    </w:p>
                  </w:sdtContent>
                </w:sdt>
                <w:sdt>
                  <w:sdtPr>
                    <w:alias w:val="23.2 pp."/>
                    <w:tag w:val="part_14ed0d8ab0a84a41b3adf69e4d7f3d2b"/>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14ed0d8ab0a84a41b3adf69e4d7f3d2b"/>
                          <w:lock w:val="sdtLocked"/>
                          <w:richText/>
                        </w:sdtPr>
                        <w:sdtContent>
                          <w:r>
                            <w:rPr>
                              <w:szCs w:val="24"/>
                              <w:lang w:eastAsia="lt-LT"/>
                            </w:rPr>
                            <w:t>23.2</w:t>
                          </w:r>
                        </w:sdtContent>
                      </w:sdt>
                      <w:r>
                        <w:rPr>
                          <w:szCs w:val="24"/>
                          <w:lang w:eastAsia="lt-LT"/>
                        </w:rPr>
                        <w:t>. nustatomos teritorijos, kurios bus įtrauktos į viešojo geriamojo vandens tiekimo ir nuotekų tvarkymo teritorijas;</w:t>
                      </w:r>
                    </w:p>
                  </w:sdtContent>
                </w:sdt>
                <w:sdt>
                  <w:sdtPr>
                    <w:alias w:val="23.3 pp."/>
                    <w:tag w:val="part_cd70d7f7061b4a6faacde5032664983f"/>
                    <w:lock w:val="sdtLocked"/>
                    <w:richText/>
                  </w:sdtPr>
                  <w:sdtContent>
                    <w:p>
                      <w:pPr>
                        <w:suppressAutoHyphens/>
                        <w:ind w:firstLine="567"/>
                        <w:jc w:val="both"/>
                        <w:rPr>
                          <w:szCs w:val="24"/>
                          <w:lang w:eastAsia="lt-LT"/>
                        </w:rPr>
                      </w:pPr>
                      <w:sdt>
                        <w:sdtPr>
                          <w:alias w:val="Numeris"/>
                          <w:tag w:val="nr_cd70d7f7061b4a6faacde5032664983f"/>
                          <w:lock w:val="sdtLocked"/>
                          <w:richText/>
                        </w:sdtPr>
                        <w:sdtContent>
                          <w:r>
                            <w:rPr>
                              <w:szCs w:val="24"/>
                              <w:lang w:val="en-US" w:eastAsia="lt-LT"/>
                            </w:rPr>
                            <w:t>23.</w:t>
                          </w:r>
                          <w:r>
                            <w:rPr>
                              <w:szCs w:val="24"/>
                              <w:lang w:val="en-GB" w:eastAsia="lt-LT"/>
                            </w:rPr>
                            <w:t>3</w:t>
                          </w:r>
                        </w:sdtContent>
                      </w:sdt>
                      <w:r>
                        <w:rPr>
                          <w:szCs w:val="24"/>
                          <w:lang w:val="en-US" w:eastAsia="lt-LT"/>
                        </w:rPr>
                        <w:t xml:space="preserve">. </w:t>
                      </w:r>
                      <w:r>
                        <w:rPr>
                          <w:szCs w:val="24"/>
                          <w:lang w:eastAsia="lt-LT"/>
                        </w:rPr>
                        <w:t>vadovaujantis gyventojų tankio ir planuojamos miesto, miestelio plėtros kriterijais, nurodytais Taisyklių 2 priede pateiktoje metodikoje, nustatomos aglomeracijų ribos;</w:t>
                      </w:r>
                    </w:p>
                  </w:sdtContent>
                </w:sdt>
                <w:sdt>
                  <w:sdtPr>
                    <w:alias w:val="23.4 pp."/>
                    <w:tag w:val="part_e5d5b883741047078f5b0ef5c91ae83c"/>
                    <w:lock w:val="sdtLocked"/>
                    <w:richText/>
                  </w:sdtPr>
                  <w:sdtContent>
                    <w:p>
                      <w:pPr>
                        <w:suppressAutoHyphens/>
                        <w:ind w:firstLine="567"/>
                        <w:jc w:val="both"/>
                        <w:rPr>
                          <w:szCs w:val="24"/>
                        </w:rPr>
                      </w:pPr>
                      <w:sdt>
                        <w:sdtPr>
                          <w:alias w:val="Numeris"/>
                          <w:tag w:val="nr_e5d5b883741047078f5b0ef5c91ae83c"/>
                          <w:lock w:val="sdtLocked"/>
                          <w:richText/>
                        </w:sdtPr>
                        <w:sdtContent>
                          <w:r>
                            <w:rPr>
                              <w:szCs w:val="24"/>
                            </w:rPr>
                            <w:t>23.4</w:t>
                          </w:r>
                        </w:sdtContent>
                      </w:sdt>
                      <w:r>
                        <w:rPr>
                          <w:szCs w:val="24"/>
                        </w:rPr>
                        <w:t xml:space="preserve">. nurodomos aglomeracijų ribose planuojamos centralizuotosios geriamojo vandens tiekimo sistemos ir centralizuotosios nuotekų surinkimo sistemos, išskyrus atvejus, kai aglomeracijoje centralizuotųjų nuotekų surinkimo sistemų įrengimas neduos naudos aplinkai arba kai centralizuotųjų geriamojo vandens tiekimo sistemų ir (arba) centralizuotųjų nuotekų surinkimo sistemų įrengimo nepateisina argumentuotai pagrįsta didelė tokios sistemos įrengimo kaina ir kai tai ekonomiškai pagrįsta plane, tokiose plane išskirtose teritorijose numatomas individualus apsirūpinimas geriamuoju vandeniu ir (arba) nuotekų tvarkymas nuotekų valymo ar kaupimo įrenginiais, kurie leidžia užtikrinti nuotekų išvalymą iki toje aglomeracijoje, viešojo geriamojo vandens tiekėjo ir nuotekų tvarkytojo taršos leidime arba taršos integruotos prevencijos ir kontrolės leidime nustatytų keliamų reikalavimų; </w:t>
                      </w:r>
                    </w:p>
                  </w:sdtContent>
                </w:sdt>
                <w:sdt>
                  <w:sdtPr>
                    <w:alias w:val="23.5 pp."/>
                    <w:tag w:val="part_b44d3be1c8f74a709234eaf24d31288e"/>
                    <w:lock w:val="sdtLocked"/>
                    <w:richText/>
                  </w:sdtPr>
                  <w:sdtContent>
                    <w:p>
                      <w:pPr>
                        <w:suppressAutoHyphens/>
                        <w:ind w:firstLine="567"/>
                        <w:jc w:val="both"/>
                        <w:rPr>
                          <w:szCs w:val="24"/>
                        </w:rPr>
                      </w:pPr>
                      <w:sdt>
                        <w:sdtPr>
                          <w:alias w:val="Numeris"/>
                          <w:tag w:val="nr_b44d3be1c8f74a709234eaf24d31288e"/>
                          <w:lock w:val="sdtLocked"/>
                          <w:richText/>
                        </w:sdtPr>
                        <w:sdtContent>
                          <w:r>
                            <w:rPr>
                              <w:szCs w:val="24"/>
                              <w:lang w:eastAsia="lt-LT"/>
                            </w:rPr>
                            <w:t>23.5</w:t>
                          </w:r>
                        </w:sdtContent>
                      </w:sdt>
                      <w:r>
                        <w:rPr>
                          <w:szCs w:val="24"/>
                          <w:lang w:eastAsia="lt-LT"/>
                        </w:rPr>
                        <w:t>. nustatomos geriamojo vandens tiekimo ir nuotekų tvarkymo infrastruktūros plėtros</w:t>
                      </w:r>
                      <w:r>
                        <w:rPr>
                          <w:szCs w:val="24"/>
                        </w:rPr>
                        <w:t xml:space="preserve"> </w:t>
                      </w:r>
                      <w:r>
                        <w:rPr>
                          <w:szCs w:val="24"/>
                          <w:lang w:eastAsia="lt-LT"/>
                        </w:rPr>
                        <w:t>ir probleminių teritorijų pertvarkymo kryptys, numatoma, kuriose teritorijose bus plėtojama geriamojo vandens tiekimo ir (arba) nuotekų tvarkymo infrastruktūra, kuriose viešasis geriamojo vandens tiekimas ir (arba) nuotekų tvarkymas bus vykdomas kitomis priemonėmis. Nustatomos teritorijos, kuriose taikomas individualus</w:t>
                      </w:r>
                      <w:r>
                        <w:rPr>
                          <w:b/>
                          <w:bCs/>
                          <w:color w:val="000000"/>
                          <w:szCs w:val="24"/>
                        </w:rPr>
                        <w:t xml:space="preserve"> </w:t>
                      </w:r>
                      <w:r>
                        <w:rPr>
                          <w:color w:val="000000"/>
                          <w:szCs w:val="24"/>
                        </w:rPr>
                        <w:t>apsirūpinimas geriamuoju vandeniu</w:t>
                      </w:r>
                      <w:r>
                        <w:rPr>
                          <w:szCs w:val="24"/>
                          <w:lang w:eastAsia="lt-LT"/>
                        </w:rPr>
                        <w:t xml:space="preserve"> ir (ar) individualus nuotekų tvarkymas, parengiami perspektyviniai infrastruktūros planuojamoje teritorijoje modeliai;</w:t>
                      </w:r>
                      <w:r>
                        <w:rPr>
                          <w:szCs w:val="24"/>
                        </w:rPr>
                        <w:t xml:space="preserve"> </w:t>
                      </w:r>
                    </w:p>
                  </w:sdtContent>
                </w:sdt>
                <w:sdt>
                  <w:sdtPr>
                    <w:alias w:val="23.6 pp."/>
                    <w:tag w:val="part_69bf4476e57e4fbba32b53829a98de99"/>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9bf4476e57e4fbba32b53829a98de99"/>
                          <w:lock w:val="sdtLocked"/>
                          <w:richText/>
                        </w:sdtPr>
                        <w:sdtContent>
                          <w:r>
                            <w:rPr>
                              <w:szCs w:val="24"/>
                              <w:lang w:eastAsia="lt-LT"/>
                            </w:rPr>
                            <w:t>23.6</w:t>
                          </w:r>
                        </w:sdtContent>
                      </w:sdt>
                      <w:r>
                        <w:rPr>
                          <w:szCs w:val="24"/>
                          <w:lang w:eastAsia="lt-LT"/>
                        </w:rPr>
                        <w:t>. vadovaujantis Taisyklių 1 priedu, išnagrinėjamos geriamojo vandens tiekimo ir nuotekų tvarkymo infrastruktūros plėtros alternatyvos. Atliekamas šių alternatyvų ekonominio skaičiavimo ir aplinkosaugos vertinimas – parengiama ekonominio skaičiavimo ir aplinkosaugos vertinimo ataskaita:</w:t>
                      </w:r>
                    </w:p>
                    <w:sdt>
                      <w:sdtPr>
                        <w:alias w:val="23.6.1 pp."/>
                        <w:tag w:val="part_b7c14a8045174cc089f35bced4b0b5f3"/>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7c14a8045174cc089f35bced4b0b5f3"/>
                              <w:lock w:val="sdtLocked"/>
                              <w:richText/>
                            </w:sdtPr>
                            <w:sdtContent>
                              <w:r>
                                <w:rPr>
                                  <w:szCs w:val="24"/>
                                  <w:lang w:eastAsia="lt-LT"/>
                                </w:rPr>
                                <w:t>23.6.1</w:t>
                              </w:r>
                            </w:sdtContent>
                          </w:sdt>
                          <w:r>
                            <w:rPr>
                              <w:szCs w:val="24"/>
                              <w:lang w:eastAsia="lt-LT"/>
                            </w:rPr>
                            <w:t xml:space="preserve">. alternatyvos pagrindžiamos ekonominiais skaičiavimais ir poveikiu aplinkai. Finansinė ir ekonominė alternatyvų analizė atliekama pagal viešosios įstaigos Centrinės projektų valdymo agentūros direktoriaus tvirtinamą Investicijų projektų rengimo metodiką, </w:t>
                          </w:r>
                          <w:r>
                            <w:rPr>
                              <w:bCs/>
                              <w:szCs w:val="24"/>
                              <w:lang w:eastAsia="lt-LT"/>
                            </w:rPr>
                            <w:t>finansavimo poreikis pateikiamas pagal Taisyklių 4 priedo formą.</w:t>
                          </w:r>
                          <w:r>
                            <w:rPr>
                              <w:szCs w:val="24"/>
                              <w:lang w:eastAsia="lt-LT"/>
                            </w:rPr>
                            <w:t xml:space="preserve"> Sprendimai dėl geriamojo vandens tiekimo ir nuotekų tvarkymo paslaugų teikimo būdo (geriamojo vandens tiekimo ir nuotekų tvarkymo paslaugų teikimo vamzdynais, individualių geriamojo vandens požeminio vandens gręžinių ir nuotekų valymo įrenginių įrengimo ar statymo, ar eksploatavimo) priimami išnagrinėjus alternatyvas. Parenkamas ekonomiškai tinkamiausias ir aplinkosaugos požiūriu saugiausias būdas. Parenkant būdą, reikia įvertinti gyventojų skaičių, jų pokytį ir tendenciją, sprendimo poveikį geriamojo vandens ir nuotekų tvarkymo paslaugų kainų didėjimui ar mažėjimui;</w:t>
                          </w:r>
                        </w:p>
                      </w:sdtContent>
                    </w:sdt>
                    <w:sdt>
                      <w:sdtPr>
                        <w:alias w:val="23.6.2 pp."/>
                        <w:tag w:val="part_733fec198a434670bd3cdf67a73d23b0"/>
                        <w:lock w:val="sdtLocked"/>
                        <w:richText/>
                      </w:sdtPr>
                      <w:sdtContent>
                        <w:p>
                          <w:pPr>
                            <w:suppressAutoHyphens/>
                            <w:ind w:firstLine="567"/>
                            <w:jc w:val="both"/>
                            <w:rPr>
                              <w:szCs w:val="24"/>
                            </w:rPr>
                          </w:pPr>
                          <w:sdt>
                            <w:sdtPr>
                              <w:alias w:val="Numeris"/>
                              <w:tag w:val="nr_733fec198a434670bd3cdf67a73d23b0"/>
                              <w:lock w:val="sdtLocked"/>
                              <w:richText/>
                            </w:sdtPr>
                            <w:sdtContent>
                              <w:r>
                                <w:rPr>
                                  <w:szCs w:val="24"/>
                                </w:rPr>
                                <w:t>23.6.2</w:t>
                              </w:r>
                            </w:sdtContent>
                          </w:sdt>
                          <w:r>
                            <w:rPr>
                              <w:szCs w:val="24"/>
                            </w:rPr>
                            <w:t xml:space="preserve">. parengiami konkretūs geriamojo vandens tiekimo ir (arba) nuotekų tvarkymo infrastruktūros plėtros sprendiniai, nustatant priemones, reikalingas Geriamojo vandens tiekimo ir nuotekų tvarkymo įstatymui, Geriamojo vandens įstatymui, Savivaldybių infrastruktūros plėtros įstatymui, Teritorijų planavimo įstatymui, Specialiųjų žemės naudojimo sąlygų įstatymo nuostatoms įgyvendinti, Nacionalinio pažangos plano, patvirtinto Lietuvos Respublikos Vyriausybės  2020 m. rugsėjo 9 d. nutarimu Nr. 998 „Dėl 2021–2030 metų nacionalinio pažangos plano patvirtinimo“,</w:t>
                          </w:r>
                          <w:r>
                            <w:t xml:space="preserve"> </w:t>
                          </w:r>
                          <w:r>
                            <w:rPr>
                              <w:szCs w:val="24"/>
                            </w:rPr>
                            <w:t xml:space="preserve">1 priede nurodyto 6 tikslo „Užtikrinti gerą aplinkos kokybę ir gamtos išteklių naudojimo darną, saugoti biologinę įvairovę, švelninti Lietuvos poveikį klimato kaitai ir didinti atsparumą jos poveikiui“ 6.7 uždavinio „Gerinti vandens telkinių būklę bei didinti vandens tiekimo ir nuotekų tvarkymo paslaugų prieinamumą ir efektyvumą“ 6.7.2, 6.7.3 rodikliams pasiekti, prisitaikymo prie klimato kaitos poveikio priemones, klimato kaitos švelninimo priemones, paviršinių nuotekų reglamentavimo ir tvarkymo priemones, pavojingų ir prioritetinių medžiagų valymo priemones, žiedinės ekonomikos skatinimo priemones, atsinaujinančių energijos išteklių naudojimo priemones, energijos vartojimo efektyvumo didinimo priemones, šiuolaikinių efektyvių ir inovatyvių (skaitmeninių) priemones; </w:t>
                          </w:r>
                        </w:p>
                      </w:sdtContent>
                    </w:sdt>
                    <w:sdt>
                      <w:sdtPr>
                        <w:alias w:val="23.6.3 pp."/>
                        <w:tag w:val="part_7d67b8e7c69743c0ad089642f0b60ba0"/>
                        <w:lock w:val="sdtLocked"/>
                        <w:richText/>
                      </w:sdtPr>
                      <w:sdtContent>
                        <w:p>
                          <w:pPr>
                            <w:suppressAutoHyphens/>
                            <w:ind w:firstLine="567"/>
                            <w:jc w:val="both"/>
                            <w:rPr>
                              <w:szCs w:val="24"/>
                            </w:rPr>
                          </w:pPr>
                          <w:sdt>
                            <w:sdtPr>
                              <w:alias w:val="Numeris"/>
                              <w:tag w:val="nr_7d67b8e7c69743c0ad089642f0b60ba0"/>
                              <w:lock w:val="sdtLocked"/>
                              <w:richText/>
                            </w:sdtPr>
                            <w:sdtContent>
                              <w:r>
                                <w:rPr>
                                  <w:szCs w:val="24"/>
                                </w:rPr>
                                <w:t>23.6.3</w:t>
                              </w:r>
                            </w:sdtContent>
                          </w:sdt>
                          <w:r>
                            <w:rPr>
                              <w:szCs w:val="24"/>
                            </w:rPr>
                            <w:t>. nuotekų tvarkymas turi būti organizuojamas taip, kad atitiktų aplinkosaugos reikalavimus, nustatytus Nuotekų tvarkymo reglamente, patvirtintame Lietuvos Respublikos aplinkos ministro 2006 m. gegužės 17 d. įsakymu Nr. D1-236 „Dėl Nuotekų tvarkymo reglamento patvirtinimo“, Paviršinių nuotekų tvarkymo reglamente, patvirtintame Lietuvos Respublikos aplinkos ministro 2007 m. balandžio 2 d. įsakymu Nr. D1-193 „Dėl Paviršinių nuotekų tvarkymo reglamento patvirtinimo“, ir Nuotekų kaupimo rezervuarų ir septikų įrengimo, eksploatavimo ir kontrolės tvarkos apraše, patvirtintame Lietuvos Respublikos aplinkos ministro 2015 m. sausio 9 d. įsakymu Nr. D1-18 „Dėl Nuotekų kaupimo rezervuarų ir septikų įrengimo, eksploatavimo ir kontrolės tvarkos aprašo patvirtinimo“;</w:t>
                          </w:r>
                        </w:p>
                      </w:sdtContent>
                    </w:sdt>
                    <w:sdt>
                      <w:sdtPr>
                        <w:alias w:val="23.6.4 pp."/>
                        <w:tag w:val="part_be66d541301e43168c5d36c1455d7cff"/>
                        <w:lock w:val="sdtLocked"/>
                        <w:richText/>
                      </w:sdtPr>
                      <w:sdtContent>
                        <w:p>
                          <w:pPr>
                            <w:ind w:firstLine="567"/>
                            <w:jc w:val="both"/>
                            <w:rPr>
                              <w:bCs/>
                              <w:color w:val="000000"/>
                              <w:szCs w:val="24"/>
                            </w:rPr>
                          </w:pPr>
                          <w:sdt>
                            <w:sdtPr>
                              <w:alias w:val="Numeris"/>
                              <w:tag w:val="nr_be66d541301e43168c5d36c1455d7cff"/>
                              <w:lock w:val="sdtLocked"/>
                              <w:richText/>
                            </w:sdtPr>
                            <w:sdtContent>
                              <w:r>
                                <w:rPr>
                                  <w:bCs/>
                                  <w:color w:val="000000"/>
                                  <w:szCs w:val="24"/>
                                </w:rPr>
                                <w:t>23.6.4</w:t>
                              </w:r>
                            </w:sdtContent>
                          </w:sdt>
                          <w:r>
                            <w:rPr>
                              <w:bCs/>
                              <w:color w:val="000000"/>
                              <w:szCs w:val="24"/>
                            </w:rPr>
                            <w:t>. nustatomi geriamojo vandens tiekimo ir nuotekų tvarkymo infrastruktūros plėtros ir probleminių teritorijų pertvarkymo įgyvendinimo etapai (eiga, eiliškumas) ir finansavimo šaltiniai, prioritetiniai savivaldybės geriamojo vandens tiekimo ir nuotekų tvarkymo infrastruktūros plėtros principai ir etapai;</w:t>
                          </w:r>
                        </w:p>
                      </w:sdtContent>
                    </w:sdt>
                  </w:sdtContent>
                </w:sdt>
                <w:sdt>
                  <w:sdtPr>
                    <w:alias w:val="23.7 pp."/>
                    <w:tag w:val="part_ab0b138187244c638d26f194668f30ff"/>
                    <w:lock w:val="sdtLocked"/>
                    <w:richText/>
                  </w:sdtPr>
                  <w:sdtContent>
                    <w:p>
                      <w:pPr>
                        <w:ind w:firstLine="567"/>
                        <w:jc w:val="both"/>
                        <w:rPr>
                          <w:szCs w:val="24"/>
                          <w:lang w:eastAsia="lt-LT"/>
                        </w:rPr>
                      </w:pPr>
                      <w:sdt>
                        <w:sdtPr>
                          <w:alias w:val="Numeris"/>
                          <w:tag w:val="nr_ab0b138187244c638d26f194668f30ff"/>
                          <w:lock w:val="sdtLocked"/>
                          <w:richText/>
                        </w:sdtPr>
                        <w:sdtContent>
                          <w:r>
                            <w:rPr>
                              <w:szCs w:val="24"/>
                              <w:lang w:eastAsia="lt-LT"/>
                            </w:rPr>
                            <w:t>23.7</w:t>
                          </w:r>
                        </w:sdtContent>
                      </w:sdt>
                      <w:r>
                        <w:rPr>
                          <w:szCs w:val="24"/>
                          <w:lang w:eastAsia="lt-LT"/>
                        </w:rPr>
                        <w:t>. Ekonominio skaičiavimo ir aplinkosaugos vertinimo ataskaita ir aglomeracijų ribos, nustatytos vadovaujantis Taisyklių 2 priede pateikta metodika, teikiamos Lietuvos Respublikos aplinkos ministerijos Aplinkos projektų valdymo agentūrai (toliau – APVA). APVA per 20 darbo dienų nuo šios ataskaitos ir aglomeracijų ribų gavimo dienos pateikia išvadas. Ekonominio skaičiavimo ir aplinkosaugos vertinimo ataskaita ir aglomeracijų ribos koreguojamos pagal APVA pateiktas pastabas ir pasiūlymus. Pagal APVA pateiktas pastabas ir pasiūlymus patikslinta (jei reikia) ataskaita teikiama Valstybinei energetikos reguliavimo tarybai (toliau – VERT). VERT per 20 darbo dienų nuo ataskaitos gavimo dienos pateikia nuomonę apie priimtų sprendimų (dėl geriamojo vandens tiekimo ir nuotekų tvarkymo paslaugų teikimo būdo) poveikį geriamojo vandens ir nuotekų tvarkymo paslaugų kainoms;</w:t>
                      </w:r>
                    </w:p>
                  </w:sdtContent>
                </w:sdt>
                <w:sdt>
                  <w:sdtPr>
                    <w:alias w:val="23.8 pp."/>
                    <w:tag w:val="part_409bdcf1bf0d4e09b4ef4161359c26c2"/>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09bdcf1bf0d4e09b4ef4161359c26c2"/>
                          <w:lock w:val="sdtLocked"/>
                          <w:richText/>
                        </w:sdtPr>
                        <w:sdtContent>
                          <w:r>
                            <w:rPr>
                              <w:szCs w:val="24"/>
                              <w:lang w:eastAsia="lt-LT"/>
                            </w:rPr>
                            <w:t>23.8</w:t>
                          </w:r>
                        </w:sdtContent>
                      </w:sdt>
                      <w:r>
                        <w:rPr>
                          <w:szCs w:val="24"/>
                          <w:lang w:eastAsia="lt-LT"/>
                        </w:rPr>
                        <w:t>. nustatomos geriamojo vandens tiekimo ir nuotekų tvarkymo infrastruktūros plėtrai reikalingos teritorijos;</w:t>
                      </w:r>
                    </w:p>
                  </w:sdtContent>
                </w:sdt>
                <w:sdt>
                  <w:sdtPr>
                    <w:alias w:val="23.9 pp."/>
                    <w:tag w:val="part_4627c90eda1f4a3e8b2ab9d24f053e4a"/>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627c90eda1f4a3e8b2ab9d24f053e4a"/>
                          <w:lock w:val="sdtLocked"/>
                          <w:richText/>
                        </w:sdtPr>
                        <w:sdtContent>
                          <w:r>
                            <w:rPr>
                              <w:szCs w:val="24"/>
                              <w:lang w:eastAsia="lt-LT"/>
                            </w:rPr>
                            <w:t>23.9</w:t>
                          </w:r>
                        </w:sdtContent>
                      </w:sdt>
                      <w:r>
                        <w:rPr>
                          <w:szCs w:val="24"/>
                          <w:lang w:eastAsia="lt-LT"/>
                        </w:rPr>
                        <w:t>. vadovaujantis Gaisrinės saugos normomis teritorijų planavimo dokumentams rengti, patvirtintomis Lietuvos Respublikos aplinkos ministro ir Priešgaisrinės apsaugos ir gelbėjimo departamento prie Vidaus reikalų ministerijos direktoriaus 2013 m. gruodžio 31 d. įsakymu Nr. D1-995/1-312 „Dėl Gaisrinės saugos normų teritorijų planavimo dokumentams rengti patvirtinimo“, nustatomi lauko gaisrinio vandentiekio tinklų ir statinių, skirtų pastatams ir statiniams gesinti, sprendiniai.</w:t>
                      </w:r>
                    </w:p>
                  </w:sdtContent>
                </w:sdt>
              </w:sdtContent>
            </w:sdt>
            <w:sdt>
              <w:sdtPr>
                <w:alias w:val="24 p."/>
                <w:tag w:val="part_468f66cee35e47d8868815c0b6c29d5b"/>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68f66cee35e47d8868815c0b6c29d5b"/>
                      <w:lock w:val="sdtLocked"/>
                      <w:richText/>
                    </w:sdtPr>
                    <w:sdtContent>
                      <w:r>
                        <w:rPr>
                          <w:szCs w:val="24"/>
                          <w:lang w:eastAsia="lt-LT"/>
                        </w:rPr>
                        <w:t>24</w:t>
                      </w:r>
                    </w:sdtContent>
                  </w:sdt>
                  <w:r>
                    <w:rPr>
                      <w:szCs w:val="24"/>
                      <w:lang w:eastAsia="lt-LT"/>
                    </w:rPr>
                    <w:t>. Sprendinių konkretizavimo stadijoje parengiami konkretūs geriamojo vandens tiekimo ir nuotekų tvarkymo infrastruktūros plėtros sprendiniai, numatomi probleminių teritorijų tvarkymo reikalavimai, poplūdžių rizikos mažinimo priemonės.</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Content>
            </w:sdt>
          </w:sdtContent>
        </w:sdt>
        <w:sdt>
          <w:sdtPr>
            <w:alias w:val="skyrius"/>
            <w:tag w:val="part_417d4b30b2fc40dfbd01d92ec43c76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lang w:eastAsia="lt-LT"/>
                </w:rPr>
              </w:pPr>
              <w:sdt>
                <w:sdtPr>
                  <w:alias w:val="Numeris"/>
                  <w:tag w:val="nr_417d4b30b2fc40dfbd01d92ec43c76aa"/>
                  <w:lock w:val="sdtLocked"/>
                  <w:richText/>
                </w:sdtPr>
                <w:sdtContent>
                  <w:r>
                    <w:rPr>
                      <w:b/>
                      <w:szCs w:val="24"/>
                      <w:lang w:eastAsia="lt-LT"/>
                    </w:rPr>
                    <w:t>VII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lang w:eastAsia="lt-LT"/>
                </w:rPr>
              </w:pPr>
              <w:sdt>
                <w:sdtPr>
                  <w:alias w:val="Pavadinimas"/>
                  <w:tag w:val="title_417d4b30b2fc40dfbd01d92ec43c76aa"/>
                  <w:lock w:val="sdtLocked"/>
                  <w:richText/>
                </w:sdtPr>
                <w:sdtContent>
                  <w:r>
                    <w:rPr>
                      <w:b/>
                      <w:szCs w:val="24"/>
                      <w:lang w:eastAsia="lt-LT"/>
                    </w:rPr>
                    <w:t>PLANO SUDĖTIS IR TURINYS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szCs w:val="24"/>
                  <w:lang w:eastAsia="lt-LT"/>
                </w:rPr>
              </w:pPr>
            </w:p>
            <w:sdt>
              <w:sdtPr>
                <w:alias w:val="25 p."/>
                <w:tag w:val="part_e1e444babd5b4ff2a6c5fa29a0edf0c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1e444babd5b4ff2a6c5fa29a0edf0ce"/>
                      <w:lock w:val="sdtLocked"/>
                      <w:richText/>
                    </w:sdtPr>
                    <w:sdtContent>
                      <w:r>
                        <w:rPr>
                          <w:szCs w:val="24"/>
                          <w:lang w:eastAsia="lt-LT"/>
                        </w:rPr>
                        <w:t>25</w:t>
                      </w:r>
                    </w:sdtContent>
                  </w:sdt>
                  <w:r>
                    <w:rPr>
                      <w:szCs w:val="24"/>
                      <w:lang w:eastAsia="lt-LT"/>
                    </w:rPr>
                    <w:t>. Planą sudaro aiškinamasis raštas (tekstinė dalis), brėžiniai (grafinė dalis) ir planavimo procedūrų dokumentai. Erdvinius duomenis dokumento rengėjas ruošia ir pateikia planavimo organizatoriui skaitmeniniu formatu, tinkančiu atviram duomenų apsikeitimui (shp formatu), taip pat kitais su planavimo organizatoriumi suderintais formatais.</w:t>
                  </w:r>
                </w:p>
              </w:sdtContent>
            </w:sdt>
            <w:sdt>
              <w:sdtPr>
                <w:alias w:val="26 p."/>
                <w:tag w:val="part_734fc91aeae644b39fa86b4ae56d9c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34fc91aeae644b39fa86b4ae56d9c86"/>
                      <w:lock w:val="sdtLocked"/>
                      <w:richText/>
                    </w:sdtPr>
                    <w:sdtContent>
                      <w:r>
                        <w:rPr>
                          <w:szCs w:val="24"/>
                          <w:lang w:eastAsia="lt-LT"/>
                        </w:rPr>
                        <w:t>26</w:t>
                      </w:r>
                    </w:sdtContent>
                  </w:sdt>
                  <w:r>
                    <w:rPr>
                      <w:szCs w:val="24"/>
                      <w:lang w:eastAsia="lt-LT"/>
                    </w:rPr>
                    <w:t xml:space="preserve">. Aiškinamajame rašte nurodoma informacija apie planuojamos teritorijos geriamojo vandens tiekimo ir nuotekų tvarkymo infrastruktūros būklę, plėtros galimybių ir probleminių situacijų analizę, įvertintos kompleksiniuose planuose numatytos urbanizuotos ir urbanizuojamos teritorijos, pagrindžiami teritorijų, skirtų geriamojo vandens tiekimo ir nuotekų tvarkymo infrastruktūros plėtrai, poreikiai nurodant gyventojų skaičiaus pokytį, pateikiami duomenys ir ekonominiai skaičiavimai, gauti rengiant koncepciją, vertinant geriamojo vandens tiekimo ir nuotekų tvarkymo infrastruktūros plėtros alternatyvas ir konkretizuojant sprendinius, pagrindžiami brėžiniuose pateikti sprendiniai, naudota plano rengimo metodika ir kiti susiję paaiškinimai, jeigu planuojama prioritetinė infrastruktūra – nurodomi jos plėtros etapai, aprašomos žalos aplinkai prevencinės priemonės ir kitos priemonės neigiamam klimato kaitos poveikiui mažinti, aprašoma ir pagrindžiama iš kritulių vandens susidarančioms paviršinėms nuotekoms sulaikyti ir jų absorbcijai skirtų infrastruktūrų, atvirųjų kritulių vandens kaupyklų (akumuliacinių tvenkinių) nauda. </w:t>
                  </w:r>
                </w:p>
              </w:sdtContent>
            </w:sdt>
            <w:sdt>
              <w:sdtPr>
                <w:alias w:val="27 p."/>
                <w:tag w:val="part_e6504ada808545a0a524a1fc2248771c"/>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e6504ada808545a0a524a1fc2248771c"/>
                      <w:lock w:val="sdtLocked"/>
                      <w:richText/>
                    </w:sdtPr>
                    <w:sdtContent>
                      <w:r>
                        <w:rPr>
                          <w:szCs w:val="24"/>
                          <w:lang w:eastAsia="lt-LT"/>
                        </w:rPr>
                        <w:t>27</w:t>
                      </w:r>
                    </w:sdtContent>
                  </w:sdt>
                  <w:r>
                    <w:rPr>
                      <w:szCs w:val="24"/>
                      <w:lang w:eastAsia="lt-LT"/>
                    </w:rPr>
                    <w:t>. Plano brėžiniai pagal teritorijų planavimo lygmenį ir uždavinius rengiami 1994 metų Lietuvos koordinačių sistemoje, patvirtintoje Lietuvos Respublikos Vyriausybės 1994 m. rugsėjo 30 d. nutarimu Nr. 936 „Dėl Lietuvos geodezinių koordinačių sistemos įvedimo“. Savivaldybės lygmens</w:t>
                  </w:r>
                  <w:r>
                    <w:rPr>
                      <w:szCs w:val="24"/>
                    </w:rPr>
                    <w:t xml:space="preserve"> </w:t>
                  </w:r>
                  <w:r>
                    <w:rPr>
                      <w:szCs w:val="24"/>
                      <w:lang w:eastAsia="lt-LT"/>
                    </w:rPr>
                    <w:t>planų (planuojamos teritorijos, išsiskiriančios administraciniu (savivaldybės) bendrumu)</w:t>
                  </w:r>
                  <w:r>
                    <w:rPr>
                      <w:szCs w:val="24"/>
                    </w:rPr>
                    <w:t xml:space="preserve"> </w:t>
                  </w:r>
                  <w:r>
                    <w:rPr>
                      <w:szCs w:val="24"/>
                      <w:lang w:eastAsia="lt-LT"/>
                    </w:rPr>
                    <w:t>brėžiniai rengiami masteliu M1:20 000–M1:50 000 naudojant Georeferencinio pagrindo kadastro duomenis ir informaciją, vietovės lygmens planų (planuojamos savivaldybės teritorijos dalys) – masteliu M 1:2 000–M 1:10 000 naudojant Georeferencinio pagrindo kadastro duomenis ir informaciją. Planų brėžiniai rengiami masteliu M 1:500–M 1:2 000 naudojant Topografijos ir inžinerinės infrastruktūros informacinės sistemos duomenis arba, jeigu reikiamų duomenų nėra, ant atitinkamo mastelio naujo topografinio plano. Topografinis planas gali būti tikslinamas (jeigu reikia) plano rengimo metu.</w:t>
                  </w:r>
                </w:p>
              </w:sdtContent>
            </w:sdt>
            <w:sdt>
              <w:sdtPr>
                <w:alias w:val="28 p."/>
                <w:tag w:val="part_c55916c821e2451d89cba9a5816ffa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55916c821e2451d89cba9a5816ffa18"/>
                      <w:lock w:val="sdtLocked"/>
                      <w:richText/>
                    </w:sdtPr>
                    <w:sdtContent>
                      <w:r>
                        <w:rPr>
                          <w:szCs w:val="24"/>
                          <w:lang w:eastAsia="lt-LT"/>
                        </w:rPr>
                        <w:t>28</w:t>
                      </w:r>
                    </w:sdtContent>
                  </w:sdt>
                  <w:r>
                    <w:rPr>
                      <w:szCs w:val="24"/>
                      <w:lang w:eastAsia="lt-LT"/>
                    </w:rPr>
                    <w:t>. Pagrindiniame brėžinyje pažymima:</w:t>
                  </w:r>
                </w:p>
                <w:sdt>
                  <w:sdtPr>
                    <w:alias w:val="28.1 pp."/>
                    <w:tag w:val="part_daacc58f0f294888aa96bccbd0cc6184"/>
                    <w:lock w:val="sdtLocked"/>
                    <w:richText/>
                  </w:sdtPr>
                  <w:sdtContent>
                    <w:p>
                      <w:pPr>
                        <w:tabs>
                          <w:tab w:val="left" w:pos="0"/>
                          <w:tab w:val="left" w:pos="567"/>
                        </w:tabs>
                        <w:suppressAutoHyphens/>
                        <w:ind w:firstLine="567"/>
                        <w:jc w:val="both"/>
                        <w:rPr>
                          <w:szCs w:val="24"/>
                          <w:lang w:eastAsia="lt-LT"/>
                        </w:rPr>
                      </w:pPr>
                      <w:sdt>
                        <w:sdtPr>
                          <w:alias w:val="Numeris"/>
                          <w:tag w:val="nr_daacc58f0f294888aa96bccbd0cc6184"/>
                          <w:lock w:val="sdtLocked"/>
                          <w:richText/>
                        </w:sdtPr>
                        <w:sdtContent>
                          <w:r>
                            <w:rPr>
                              <w:rFonts w:eastAsia="Lucida Sans Unicode"/>
                              <w:color w:val="000000"/>
                              <w:szCs w:val="24"/>
                              <w:lang w:eastAsia="lt-LT"/>
                            </w:rPr>
                            <w:t>28.1</w:t>
                          </w:r>
                        </w:sdtContent>
                      </w:sdt>
                      <w:r>
                        <w:rPr>
                          <w:rFonts w:eastAsia="Lucida Sans Unicode"/>
                          <w:color w:val="000000"/>
                          <w:szCs w:val="24"/>
                          <w:lang w:eastAsia="lt-LT"/>
                        </w:rPr>
                        <w:t>. pagal prioritetines plėtros kryptis nustatytos aglomeracijos, viešojo geriamojo vandens tiekimo ir nuotekų tvarkymo teritorijos, valstybinės, savivaldybės ir privačios žemės sklypai, administracinių vienetų ribos;</w:t>
                      </w:r>
                      <w:r>
                        <w:rPr>
                          <w:szCs w:val="24"/>
                        </w:rPr>
                        <w:t xml:space="preserve"> </w:t>
                      </w:r>
                    </w:p>
                  </w:sdtContent>
                </w:sdt>
                <w:sdt>
                  <w:sdtPr>
                    <w:alias w:val="28.2 pp."/>
                    <w:tag w:val="part_ac6fcd290bc6493bb68490777c15a5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c6fcd290bc6493bb68490777c15a593"/>
                          <w:lock w:val="sdtLocked"/>
                          <w:richText/>
                        </w:sdtPr>
                        <w:sdtContent>
                          <w:r>
                            <w:rPr>
                              <w:szCs w:val="24"/>
                              <w:lang w:eastAsia="lt-LT"/>
                            </w:rPr>
                            <w:t>28.2</w:t>
                          </w:r>
                        </w:sdtContent>
                      </w:sdt>
                      <w:r>
                        <w:rPr>
                          <w:szCs w:val="24"/>
                          <w:lang w:eastAsia="lt-LT"/>
                        </w:rPr>
                        <w:t xml:space="preserve">. esama ir planuojama geriamojo vandens tiekimo ir nuotekų tvarkymo, paviršinių nuotekų tvarkymo infrastruktūra (požeminio vandens vandenvietės, vandentiekio siurblinės, vandens talpyklos, vandentakiai, gaisrinis vandentiekis, magistraliniai ir skirstomieji </w:t>
                      </w:r>
                      <w:r>
                        <w:rPr>
                          <w:color w:val="000000"/>
                          <w:szCs w:val="24"/>
                          <w:lang w:eastAsia="lt-LT"/>
                        </w:rPr>
                        <w:t>vandentiekio tinklai, lauko nuotakynai, nuotekų siurblinės, nuotekų valyklos ir kiti šios infrastruktūros objektai)</w:t>
                      </w:r>
                      <w:r>
                        <w:rPr>
                          <w:color w:val="000000"/>
                          <w:szCs w:val="24"/>
                        </w:rPr>
                        <w:t xml:space="preserve"> </w:t>
                      </w:r>
                      <w:r>
                        <w:rPr>
                          <w:color w:val="000000"/>
                          <w:szCs w:val="24"/>
                          <w:lang w:eastAsia="lt-LT"/>
                        </w:rPr>
                        <w:t>ir jos apsaugos zonos, komunalinių objektų, kuriuose tvarkomos nuotekos, sanitarinės apsaugos zonų ribos, numatyti servitutai ir teritorijos, suplanuotos paimti visuomenės poreikiams;</w:t>
                      </w:r>
                    </w:p>
                  </w:sdtContent>
                </w:sdt>
                <w:sdt>
                  <w:sdtPr>
                    <w:alias w:val="28.3 pp."/>
                    <w:tag w:val="part_8a623ee65ae6462885a9078b8fd54b3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a623ee65ae6462885a9078b8fd54b3b"/>
                          <w:lock w:val="sdtLocked"/>
                          <w:richText/>
                        </w:sdtPr>
                        <w:sdtContent>
                          <w:r>
                            <w:rPr>
                              <w:szCs w:val="24"/>
                              <w:lang w:eastAsia="lt-LT"/>
                            </w:rPr>
                            <w:t>28.3</w:t>
                          </w:r>
                        </w:sdtContent>
                      </w:sdt>
                      <w:r>
                        <w:rPr>
                          <w:szCs w:val="24"/>
                          <w:lang w:eastAsia="lt-LT"/>
                        </w:rPr>
                        <w:t>. teritorijos, kuriose taikomas ir numatomas taikyti individualus apsirūpinimas geriamuoju vandeniu, geriamojo vandens išgavimas ir (ar) individualusis nuotekų tvarkymas;</w:t>
                      </w:r>
                    </w:p>
                  </w:sdtContent>
                </w:sdt>
                <w:sdt>
                  <w:sdtPr>
                    <w:alias w:val="28.4 pp."/>
                    <w:tag w:val="part_c166ee11a58b48dfb4185aac03c506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166ee11a58b48dfb4185aac03c5068e"/>
                          <w:lock w:val="sdtLocked"/>
                          <w:richText/>
                        </w:sdtPr>
                        <w:sdtContent>
                          <w:r>
                            <w:rPr>
                              <w:szCs w:val="24"/>
                              <w:lang w:eastAsia="lt-LT"/>
                            </w:rPr>
                            <w:t>28.4</w:t>
                          </w:r>
                        </w:sdtContent>
                      </w:sdt>
                      <w:r>
                        <w:rPr>
                          <w:szCs w:val="24"/>
                          <w:lang w:eastAsia="lt-LT"/>
                        </w:rPr>
                        <w:t>. esami ir planuojami inžinerinių komunikacijų koridoriai, gatvių raudonosios linijos;</w:t>
                      </w:r>
                    </w:p>
                  </w:sdtContent>
                </w:sdt>
                <w:sdt>
                  <w:sdtPr>
                    <w:alias w:val="28.5 pp."/>
                    <w:tag w:val="part_1690e4a922ca43bca9dec991d7e8ea4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690e4a922ca43bca9dec991d7e8ea49"/>
                          <w:lock w:val="sdtLocked"/>
                          <w:richText/>
                        </w:sdtPr>
                        <w:sdtContent>
                          <w:r>
                            <w:rPr>
                              <w:szCs w:val="24"/>
                              <w:lang w:eastAsia="lt-LT"/>
                            </w:rPr>
                            <w:t>28.5</w:t>
                          </w:r>
                        </w:sdtContent>
                      </w:sdt>
                      <w:r>
                        <w:rPr>
                          <w:szCs w:val="24"/>
                          <w:lang w:eastAsia="lt-LT"/>
                        </w:rPr>
                        <w:t>. požeminio vandens vandenviečių, nuotekų valymo įrenginių apsaugos zonos, esamos ir planuojamos susisiekimo komunikacijos, į planuojamą teritoriją patenkantys valstybiniai miškai, saugomos teritorijos ir kultūros paveldo objektai, jų teritorijos ir apsaugos zonos, kultūros paveldo vietovės ir jų apsaugos zonos, gamtinis karkasas;</w:t>
                      </w:r>
                    </w:p>
                  </w:sdtContent>
                </w:sdt>
                <w:sdt>
                  <w:sdtPr>
                    <w:alias w:val="28.6 pp."/>
                    <w:tag w:val="part_5110998058a64a23b8f395de3cb949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10998058a64a23b8f395de3cb94964"/>
                          <w:lock w:val="sdtLocked"/>
                          <w:richText/>
                        </w:sdtPr>
                        <w:sdtContent>
                          <w:r>
                            <w:rPr>
                              <w:szCs w:val="24"/>
                              <w:lang w:eastAsia="lt-LT"/>
                            </w:rPr>
                            <w:t>28.6</w:t>
                          </w:r>
                        </w:sdtContent>
                      </w:sdt>
                      <w:r>
                        <w:rPr>
                          <w:szCs w:val="24"/>
                          <w:lang w:eastAsia="lt-LT"/>
                        </w:rPr>
                        <w:t xml:space="preserve">. teritorijos, kuriose būtina taikyti ir (ar) diegti atsparumo ekstremaliems klimato reiškiniams stiprinimo, užtvindymo mažinimo  priemones;</w:t>
                      </w:r>
                    </w:p>
                  </w:sdtContent>
                </w:sdt>
                <w:sdt>
                  <w:sdtPr>
                    <w:alias w:val="28.7 pp."/>
                    <w:tag w:val="part_560c74e2d2844910a355f762bb60f4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60c74e2d2844910a355f762bb60f47c"/>
                          <w:lock w:val="sdtLocked"/>
                          <w:richText/>
                        </w:sdtPr>
                        <w:sdtContent>
                          <w:r>
                            <w:rPr>
                              <w:szCs w:val="24"/>
                              <w:lang w:eastAsia="lt-LT"/>
                            </w:rPr>
                            <w:t>28.7</w:t>
                          </w:r>
                        </w:sdtContent>
                      </w:sdt>
                      <w:r>
                        <w:rPr>
                          <w:szCs w:val="24"/>
                          <w:lang w:eastAsia="lt-LT"/>
                        </w:rPr>
                        <w:t>. teritorijos, kuriose bus numatomos iš kritulių vandens susidarančioms paviršinėms nuotekoms sulaikyti ir jų absorbcijai skirtos infrastruktūros, atviros kritulių vandens kaupyklos (akumuliaciniai tvenkiniai).</w:t>
                      </w:r>
                    </w:p>
                  </w:sdtContent>
                </w:sdt>
              </w:sdtContent>
            </w:sdt>
            <w:sdt>
              <w:sdtPr>
                <w:alias w:val="29 p."/>
                <w:tag w:val="part_166abe856d4c4fe99770f342e717608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66abe856d4c4fe99770f342e7176089"/>
                      <w:lock w:val="sdtLocked"/>
                      <w:richText/>
                    </w:sdtPr>
                    <w:sdtContent>
                      <w:r>
                        <w:rPr>
                          <w:szCs w:val="24"/>
                          <w:lang w:eastAsia="lt-LT"/>
                        </w:rPr>
                        <w:t>29</w:t>
                      </w:r>
                    </w:sdtContent>
                  </w:sdt>
                  <w:r>
                    <w:rPr>
                      <w:szCs w:val="24"/>
                      <w:lang w:eastAsia="lt-LT"/>
                    </w:rPr>
                    <w:t>. Sprendiniai turi būti parengti pagal Teritorijų planavimo erdvinių duomenų specifikaciją, patvirtintą Lietuvos Respublikos aplinkos ministro 2013 m. gruodžio 31 d įsakymu Nr. D1-1009 „Dėl Teritorijų planavimo erdvinių duomenų specifikacijos patvirtinimo“ (toliau – Teritorijų planavimo erdvinių duomenų specifikacija). Jeigu viename brėžinyje neįmanoma pažymėti visų sprendinių, rengiami papildomi brėžiniai. Brėžinių grafiniai ir spalviniai žymėjimai turi atitikti Teritorijų planavimo erdvinių duomenų specifikacijoje, Lietuvos standarte LST 1569 „Statinio projektas. Lauko inžinerinių tinklų grafiniai ženklai“ nurodytus žymėjimus. Sprendiniai ir kita informacija žymima brėžiniuose, jų reikšmės nurodomos sutartinių ženklų aprašomosiose lentelėse.</w:t>
                  </w:r>
                  <w:r>
                    <w:rPr>
                      <w:szCs w:val="24"/>
                    </w:rPr>
                    <w:t xml:space="preserve"> </w:t>
                  </w:r>
                  <w:r>
                    <w:rPr>
                      <w:szCs w:val="24"/>
                      <w:lang w:eastAsia="lt-LT"/>
                    </w:rPr>
                    <w:t>Jeigu plane nustatomos geriamojo vandens tiekimo ir nuotekų, paviršinių nuotekų tvarkymo infrastruktūros apsaugos zonos, šių teritorijų erdviniai duomenys sudaromi vadovaujantis Teritorijų, kuriose taikomos specialiosios žemės naudojimo sąlygos, erdvinių duomenų rinkinio specifikacija, patvirtinta Lietuvos Respublikos žemės ūkio ministro 2019 m. gruodžio 16 d. įsakymu Nr. 3D-700 „Dėl Teritorijų, kuriose taikomos specialiosios žemės naudojimo sąlygos, erdvinių duomenų rinkinio specifikacijos patvirtinimo“.</w:t>
                  </w:r>
                </w:p>
              </w:sdtContent>
            </w:sdt>
            <w:sdt>
              <w:sdtPr>
                <w:alias w:val="30 p."/>
                <w:tag w:val="part_a4d6a83baad348e5bee1a2e1593f3f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4d6a83baad348e5bee1a2e1593f3fd7"/>
                      <w:lock w:val="sdtLocked"/>
                      <w:richText/>
                    </w:sdtPr>
                    <w:sdtContent>
                      <w:r>
                        <w:rPr>
                          <w:szCs w:val="24"/>
                          <w:lang w:eastAsia="lt-LT"/>
                        </w:rPr>
                        <w:t>30</w:t>
                      </w:r>
                    </w:sdtContent>
                  </w:sdt>
                  <w:r>
                    <w:rPr>
                      <w:szCs w:val="24"/>
                      <w:lang w:eastAsia="lt-LT"/>
                    </w:rPr>
                    <w:t>. Planavimo procedūrų dokumentai:</w:t>
                  </w:r>
                </w:p>
                <w:sdt>
                  <w:sdtPr>
                    <w:alias w:val="30.1 pp."/>
                    <w:tag w:val="part_70955d00a0a1443690c8698def0cc1e7"/>
                    <w:lock w:val="sdtLocked"/>
                    <w:richText/>
                  </w:sdtPr>
                  <w:sdtContent>
                    <w:p>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0955d00a0a1443690c8698def0cc1e7"/>
                          <w:lock w:val="sdtLocked"/>
                          <w:richText/>
                        </w:sdtPr>
                        <w:sdtContent>
                          <w:r>
                            <w:rPr>
                              <w:szCs w:val="24"/>
                              <w:lang w:eastAsia="lt-LT"/>
                            </w:rPr>
                            <w:t>30.1</w:t>
                          </w:r>
                        </w:sdtContent>
                      </w:sdt>
                      <w:r>
                        <w:rPr>
                          <w:szCs w:val="24"/>
                          <w:lang w:eastAsia="lt-LT"/>
                        </w:rPr>
                        <w:t>. savivaldybės tarybos sprendimas dėl plano rengimo pradžios ir planavimo tikslų;</w:t>
                      </w:r>
                    </w:p>
                  </w:sdtContent>
                </w:sdt>
                <w:sdt>
                  <w:sdtPr>
                    <w:alias w:val="30.2 pp."/>
                    <w:tag w:val="part_8af8b8b5f6fb4278bf46f0e1fb3d1b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af8b8b5f6fb4278bf46f0e1fb3d1bac"/>
                          <w:lock w:val="sdtLocked"/>
                          <w:richText/>
                        </w:sdtPr>
                        <w:sdtContent>
                          <w:r>
                            <w:rPr>
                              <w:szCs w:val="24"/>
                              <w:lang w:eastAsia="lt-LT"/>
                            </w:rPr>
                            <w:t>30.2</w:t>
                          </w:r>
                        </w:sdtContent>
                      </w:sdt>
                      <w:r>
                        <w:rPr>
                          <w:szCs w:val="24"/>
                          <w:lang w:eastAsia="lt-LT"/>
                        </w:rPr>
                        <w:t>. planavimo darbų programa;</w:t>
                      </w:r>
                    </w:p>
                  </w:sdtContent>
                </w:sdt>
                <w:sdt>
                  <w:sdtPr>
                    <w:alias w:val="30.3 pp."/>
                    <w:tag w:val="part_d4ca5d39279f4a9184aff3519e0c06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4ca5d39279f4a9184aff3519e0c0618"/>
                          <w:lock w:val="sdtLocked"/>
                          <w:richText/>
                        </w:sdtPr>
                        <w:sdtContent>
                          <w:r>
                            <w:rPr>
                              <w:szCs w:val="24"/>
                              <w:lang w:eastAsia="lt-LT"/>
                            </w:rPr>
                            <w:t>30.3</w:t>
                          </w:r>
                        </w:sdtContent>
                      </w:sdt>
                      <w:r>
                        <w:rPr>
                          <w:szCs w:val="24"/>
                          <w:lang w:eastAsia="lt-LT"/>
                        </w:rPr>
                        <w:t>. planavimo sąlygos;</w:t>
                      </w:r>
                    </w:p>
                  </w:sdtContent>
                </w:sdt>
                <w:sdt>
                  <w:sdtPr>
                    <w:alias w:val="30.4 pp."/>
                    <w:tag w:val="part_e7e555d963534012a417bbae2651a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7e555d963534012a417bbae2651ac23"/>
                          <w:lock w:val="sdtLocked"/>
                          <w:richText/>
                        </w:sdtPr>
                        <w:sdtContent>
                          <w:r>
                            <w:rPr>
                              <w:szCs w:val="24"/>
                              <w:lang w:eastAsia="lt-LT"/>
                            </w:rPr>
                            <w:t>30.4</w:t>
                          </w:r>
                        </w:sdtContent>
                      </w:sdt>
                      <w:r>
                        <w:rPr>
                          <w:szCs w:val="24"/>
                          <w:lang w:eastAsia="lt-LT"/>
                        </w:rPr>
                        <w:t>. visuomenės dalyvavimo ataskaita;</w:t>
                      </w:r>
                    </w:p>
                  </w:sdtContent>
                </w:sdt>
                <w:sdt>
                  <w:sdtPr>
                    <w:alias w:val="30.5 pp."/>
                    <w:tag w:val="part_e4af79fd25c14c998848d171a7d971b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af79fd25c14c998848d171a7d971b5"/>
                          <w:lock w:val="sdtLocked"/>
                          <w:richText/>
                        </w:sdtPr>
                        <w:sdtContent>
                          <w:r>
                            <w:rPr>
                              <w:szCs w:val="24"/>
                              <w:lang w:eastAsia="lt-LT"/>
                            </w:rPr>
                            <w:t>30.5</w:t>
                          </w:r>
                        </w:sdtContent>
                      </w:sdt>
                      <w:r>
                        <w:rPr>
                          <w:szCs w:val="24"/>
                          <w:lang w:eastAsia="lt-LT"/>
                        </w:rPr>
                        <w:t>. planavimo organizatoriaus pritarimas koncepcijai ir koncepcija, jei ji rengta;</w:t>
                      </w:r>
                    </w:p>
                  </w:sdtContent>
                </w:sdt>
                <w:sdt>
                  <w:sdtPr>
                    <w:alias w:val="30.6 pp."/>
                    <w:tag w:val="part_f63acd3eb9184ad59da63db606971a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63acd3eb9184ad59da63db606971a61"/>
                          <w:lock w:val="sdtLocked"/>
                          <w:richText/>
                        </w:sdtPr>
                        <w:sdtContent>
                          <w:r>
                            <w:rPr>
                              <w:szCs w:val="24"/>
                              <w:lang w:eastAsia="lt-LT"/>
                            </w:rPr>
                            <w:t>30.6</w:t>
                          </w:r>
                        </w:sdtContent>
                      </w:sdt>
                      <w:r>
                        <w:rPr>
                          <w:szCs w:val="24"/>
                          <w:lang w:eastAsia="lt-LT"/>
                        </w:rPr>
                        <w:t>. koncepcijos nepriklausomo profesinio vertinimo išvada, jei planavimo darbų programoje numatyta minėtą vertinimą atlikti;</w:t>
                      </w:r>
                    </w:p>
                  </w:sdtContent>
                </w:sdt>
                <w:sdt>
                  <w:sdtPr>
                    <w:alias w:val="30.7 pp."/>
                    <w:tag w:val="part_9408251460ac4425a5b765ba9289c8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08251460ac4425a5b765ba9289c8f0"/>
                          <w:lock w:val="sdtLocked"/>
                          <w:richText/>
                        </w:sdtPr>
                        <w:sdtContent>
                          <w:r>
                            <w:rPr>
                              <w:szCs w:val="24"/>
                              <w:lang w:eastAsia="lt-LT"/>
                            </w:rPr>
                            <w:t>30.7</w:t>
                          </w:r>
                        </w:sdtContent>
                      </w:sdt>
                      <w:r>
                        <w:rPr>
                          <w:szCs w:val="24"/>
                          <w:lang w:eastAsia="lt-LT"/>
                        </w:rPr>
                        <w:t>. SPAV ataskaita (jeigu planavimo darbų programoje numatyta vertinimą atlikti);</w:t>
                      </w:r>
                    </w:p>
                  </w:sdtContent>
                </w:sdt>
                <w:sdt>
                  <w:sdtPr>
                    <w:alias w:val="30.8 pp."/>
                    <w:tag w:val="part_6053bba68c004edfacb3ad30a2bb6a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053bba68c004edfacb3ad30a2bb6a66"/>
                          <w:lock w:val="sdtLocked"/>
                          <w:richText/>
                        </w:sdtPr>
                        <w:sdtContent>
                          <w:r>
                            <w:rPr>
                              <w:szCs w:val="24"/>
                              <w:lang w:eastAsia="lt-LT"/>
                            </w:rPr>
                            <w:t>30.8</w:t>
                          </w:r>
                        </w:sdtContent>
                      </w:sdt>
                      <w:r>
                        <w:rPr>
                          <w:szCs w:val="24"/>
                          <w:lang w:eastAsia="lt-LT"/>
                        </w:rPr>
                        <w:t>. Teritorijų planavimo komisijos posėdžio protokolas;</w:t>
                      </w:r>
                    </w:p>
                  </w:sdtContent>
                </w:sdt>
                <w:sdt>
                  <w:sdtPr>
                    <w:alias w:val="30.9 pp."/>
                    <w:tag w:val="part_0c8beb23099e4040bc88a81e07782c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c8beb23099e4040bc88a81e07782c76"/>
                          <w:lock w:val="sdtLocked"/>
                          <w:richText/>
                        </w:sdtPr>
                        <w:sdtContent>
                          <w:r>
                            <w:rPr>
                              <w:szCs w:val="24"/>
                              <w:lang w:eastAsia="lt-LT"/>
                            </w:rPr>
                            <w:t>30.9</w:t>
                          </w:r>
                        </w:sdtContent>
                      </w:sdt>
                      <w:r>
                        <w:rPr>
                          <w:szCs w:val="24"/>
                          <w:lang w:eastAsia="lt-LT"/>
                        </w:rPr>
                        <w:t>. Valstybinės teritorijų planavimo ir statybos inspekcijos prie Aplinkos ministerijos patikrinimo aktas;</w:t>
                      </w:r>
                    </w:p>
                  </w:sdtContent>
                </w:sdt>
                <w:sdt>
                  <w:sdtPr>
                    <w:alias w:val="30.10 pp."/>
                    <w:tag w:val="part_165468bca6374e438ecab723e388f9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65468bca6374e438ecab723e388f976"/>
                          <w:lock w:val="sdtLocked"/>
                          <w:richText/>
                        </w:sdtPr>
                        <w:sdtContent>
                          <w:r>
                            <w:rPr>
                              <w:szCs w:val="24"/>
                              <w:lang w:eastAsia="lt-LT"/>
                            </w:rPr>
                            <w:t>30.10</w:t>
                          </w:r>
                        </w:sdtContent>
                      </w:sdt>
                      <w:r>
                        <w:rPr>
                          <w:szCs w:val="24"/>
                          <w:lang w:eastAsia="lt-LT"/>
                        </w:rPr>
                        <w:t>. ekonominio vertinimo ir aplinkosaugos vertinimo ataskaita.</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Content>
                </w:sdt>
              </w:sdtContent>
            </w:sdt>
          </w:sdtContent>
        </w:sdt>
        <w:sdt>
          <w:sdtPr>
            <w:alias w:val="skyrius"/>
            <w:tag w:val="part_e9a8241f62924e6b88c10cc74ae60886"/>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e9a8241f62924e6b88c10cc74ae60886"/>
                  <w:lock w:val="sdtLocked"/>
                  <w:richText/>
                </w:sdtPr>
                <w:sdtContent>
                  <w:r>
                    <w:rPr>
                      <w:b/>
                      <w:szCs w:val="24"/>
                      <w:lang w:eastAsia="lt-LT"/>
                    </w:rPr>
                    <w:t>VIII</w:t>
                  </w:r>
                </w:sdtContent>
              </w:sdt>
              <w:r>
                <w:rPr>
                  <w:b/>
                  <w:szCs w:val="24"/>
                  <w:lang w:eastAsia="lt-LT"/>
                </w:rPr>
                <w:t xml:space="preserve"> SKYRIUS</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e9a8241f62924e6b88c10cc74ae60886"/>
                  <w:lock w:val="sdtLocked"/>
                  <w:richText/>
                </w:sdtPr>
                <w:sdtContent>
                  <w:r>
                    <w:rPr>
                      <w:b/>
                      <w:szCs w:val="24"/>
                      <w:lang w:eastAsia="lt-LT"/>
                    </w:rPr>
                    <w:t>BAIGIAMASIS ETAPAS</w:t>
                  </w:r>
                </w:sdtContent>
              </w:sdt>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31 p."/>
                <w:tag w:val="part_253866cf6086460dac5c6cf6f3b9f68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53866cf6086460dac5c6cf6f3b9f68f"/>
                      <w:lock w:val="sdtLocked"/>
                      <w:richText/>
                    </w:sdtPr>
                    <w:sdtContent>
                      <w:r>
                        <w:rPr>
                          <w:szCs w:val="24"/>
                          <w:lang w:eastAsia="lt-LT"/>
                        </w:rPr>
                        <w:t>31</w:t>
                      </w:r>
                    </w:sdtContent>
                  </w:sdt>
                  <w:r>
                    <w:rPr>
                      <w:szCs w:val="24"/>
                      <w:lang w:eastAsia="lt-LT"/>
                    </w:rPr>
                    <w:t>. Baigiamąjį etapą sudaro:</w:t>
                  </w:r>
                </w:p>
                <w:sdt>
                  <w:sdtPr>
                    <w:alias w:val="31.1 pp."/>
                    <w:tag w:val="part_ed1b0af61c424d8885ad09ea9d2822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d1b0af61c424d8885ad09ea9d282232"/>
                          <w:lock w:val="sdtLocked"/>
                          <w:richText/>
                        </w:sdtPr>
                        <w:sdtContent>
                          <w:r>
                            <w:rPr>
                              <w:szCs w:val="24"/>
                              <w:lang w:eastAsia="lt-LT"/>
                            </w:rPr>
                            <w:t>31.1</w:t>
                          </w:r>
                        </w:sdtContent>
                      </w:sdt>
                      <w:r>
                        <w:rPr>
                          <w:szCs w:val="24"/>
                          <w:lang w:eastAsia="lt-LT"/>
                        </w:rPr>
                        <w:t>. plano sprendinių viešinimas;</w:t>
                      </w:r>
                    </w:p>
                  </w:sdtContent>
                </w:sdt>
                <w:sdt>
                  <w:sdtPr>
                    <w:alias w:val="31.2 pp."/>
                    <w:tag w:val="part_0c6d2a49a53d4e1e86908c66bab4aa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c6d2a49a53d4e1e86908c66bab4aa72"/>
                          <w:lock w:val="sdtLocked"/>
                          <w:richText/>
                        </w:sdtPr>
                        <w:sdtContent>
                          <w:r>
                            <w:rPr>
                              <w:szCs w:val="24"/>
                              <w:lang w:eastAsia="lt-LT"/>
                            </w:rPr>
                            <w:t>31.2</w:t>
                          </w:r>
                        </w:sdtContent>
                      </w:sdt>
                      <w:r>
                        <w:rPr>
                          <w:szCs w:val="24"/>
                          <w:lang w:eastAsia="lt-LT"/>
                        </w:rPr>
                        <w:t xml:space="preserve">. plano derinimas Teritorijų planavimo komisijoje; </w:t>
                      </w:r>
                    </w:p>
                  </w:sdtContent>
                </w:sdt>
                <w:sdt>
                  <w:sdtPr>
                    <w:alias w:val="31.3 pp."/>
                    <w:tag w:val="part_cf5ca585567542309ad7b5fc004b291e"/>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f5ca585567542309ad7b5fc004b291e"/>
                          <w:lock w:val="sdtLocked"/>
                          <w:richText/>
                        </w:sdtPr>
                        <w:sdtContent>
                          <w:r>
                            <w:rPr>
                              <w:szCs w:val="24"/>
                              <w:lang w:eastAsia="lt-LT"/>
                            </w:rPr>
                            <w:t>31.3</w:t>
                          </w:r>
                        </w:sdtContent>
                      </w:sdt>
                      <w:r>
                        <w:rPr>
                          <w:szCs w:val="24"/>
                          <w:lang w:eastAsia="lt-LT"/>
                        </w:rPr>
                        <w:t>. plano tikrinimas teritorijų planavimo valstybinę priežiūrą atliekančioje institucijoje;</w:t>
                      </w:r>
                    </w:p>
                  </w:sdtContent>
                </w:sdt>
                <w:sdt>
                  <w:sdtPr>
                    <w:alias w:val="31.4 pp."/>
                    <w:tag w:val="part_a9e81184295f4d8896cd165a578275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9e81184295f4d8896cd165a578275ba"/>
                          <w:lock w:val="sdtLocked"/>
                          <w:richText/>
                        </w:sdtPr>
                        <w:sdtContent>
                          <w:r>
                            <w:rPr>
                              <w:szCs w:val="24"/>
                              <w:lang w:eastAsia="lt-LT"/>
                            </w:rPr>
                            <w:t>31.4</w:t>
                          </w:r>
                        </w:sdtContent>
                      </w:sdt>
                      <w:r>
                        <w:rPr>
                          <w:szCs w:val="24"/>
                          <w:lang w:eastAsia="lt-LT"/>
                        </w:rPr>
                        <w:t>. plano tvirtinimas ir registravimas Lietuvos Respublikos teritorijų planavimo dokumentų registre.</w:t>
                      </w:r>
                    </w:p>
                  </w:sdtContent>
                </w:sdt>
              </w:sdtContent>
            </w:sdt>
            <w:sdt>
              <w:sdtPr>
                <w:alias w:val="32 p."/>
                <w:tag w:val="part_e25930ec632a4c8c82466420f02b83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25930ec632a4c8c82466420f02b8378"/>
                      <w:lock w:val="sdtLocked"/>
                      <w:richText/>
                    </w:sdtPr>
                    <w:sdtContent>
                      <w:r>
                        <w:rPr>
                          <w:szCs w:val="24"/>
                          <w:lang w:eastAsia="lt-LT"/>
                        </w:rPr>
                        <w:t>32</w:t>
                      </w:r>
                    </w:sdtContent>
                  </w:sdt>
                  <w:r>
                    <w:rPr>
                      <w:szCs w:val="24"/>
                      <w:lang w:eastAsia="lt-LT"/>
                    </w:rPr>
                    <w:t>. Rengiant naują arba keičiant planą, viešinimo procedūros atliekamos Visuomenės informavimo nuostatuose nustatyta bendrąja teritorijų planavimo dokumentų viešinimo procedūrų tvarka. Koreguojant planą, viešinimo procedūros atliekamos Visuomenės informavimo nuostatuose nustatyta supaprastinta teritorijų planavimo dokumentų viešinimo procedūrų tvarka (išskyrus taisant plano technines klaidas). Teritorijų planavimo viešinimą užtikrina planavimo organizatorius vadovaudamasis Teritorijų planavimo įstatymu ir Visuomenės informavimo nuostatais.</w:t>
                  </w:r>
                </w:p>
              </w:sdtContent>
            </w:sdt>
            <w:sdt>
              <w:sdtPr>
                <w:alias w:val="33 p."/>
                <w:tag w:val="part_74707706bc6f4a43bb786039c19c6fa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4707706bc6f4a43bb786039c19c6fae"/>
                      <w:lock w:val="sdtLocked"/>
                      <w:richText/>
                    </w:sdtPr>
                    <w:sdtContent>
                      <w:r>
                        <w:rPr>
                          <w:szCs w:val="24"/>
                          <w:lang w:eastAsia="lt-LT"/>
                        </w:rPr>
                        <w:t>33</w:t>
                      </w:r>
                    </w:sdtContent>
                  </w:sdt>
                  <w:r>
                    <w:rPr>
                      <w:szCs w:val="24"/>
                      <w:lang w:eastAsia="lt-LT"/>
                    </w:rPr>
                    <w:t>. Prieš teikiant planą derinti Teritorijų planavimo komisijai, reikia gauti planavimo organizatoriaus pritarimą. Planas teikiamas derinti kartu su visuomenės dalyvavimo ataskaita.</w:t>
                  </w:r>
                </w:p>
              </w:sdtContent>
            </w:sdt>
            <w:sdt>
              <w:sdtPr>
                <w:alias w:val="34 p."/>
                <w:tag w:val="part_519f686c2fe74dd49c7b17fc6b01b3f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9f686c2fe74dd49c7b17fc6b01b3fc"/>
                      <w:lock w:val="sdtLocked"/>
                      <w:richText/>
                    </w:sdtPr>
                    <w:sdtContent>
                      <w:r>
                        <w:rPr>
                          <w:szCs w:val="24"/>
                          <w:lang w:eastAsia="lt-LT"/>
                        </w:rPr>
                        <w:t>34</w:t>
                      </w:r>
                    </w:sdtContent>
                  </w:sdt>
                  <w:r>
                    <w:rPr>
                      <w:szCs w:val="24"/>
                      <w:lang w:eastAsia="lt-LT"/>
                    </w:rPr>
                    <w:t>. Suderintas planas teikiamas tikrinti Valstybinei teritorijų planavimo ir statybos inspekcijai prie Aplinkos ministerijos. Planas tikrinamas</w:t>
                  </w:r>
                  <w:r>
                    <w:t xml:space="preserve"> </w:t>
                  </w:r>
                  <w:r>
                    <w:rPr>
                      <w:szCs w:val="24"/>
                      <w:lang w:eastAsia="lt-LT"/>
                    </w:rPr>
                    <w:t>Planavimo sąlygų išdavimo teisėtumo, teritorijų planavimo dokumentų atitikties teritorijų planavimą reglamentuojantiems teisės aktams tikrinimo tvarkos aprašo, patvirtinto Valstybinės teritorijų planavimo ir statybos inspekcijos prie Aplinkos ministerijos viršininko 2023 m. gruodžio 28 d. įsakymu Nr. 1V-185 „Dėl Planavimo sąlygų išdavimo teisėtumo, teritorijų planavimo dokumentų atitikties teritorijų planavimą reglamentuojantiems teisės aktams tikrinimo tvarkos aprašo patvirtinimo“, nustatyta tvarka.</w:t>
                  </w:r>
                </w:p>
              </w:sdtContent>
            </w:sdt>
            <w:sdt>
              <w:sdtPr>
                <w:alias w:val="35 p."/>
                <w:tag w:val="part_6b7f455a1a4f4af4a99c20b8513f4704"/>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b7f455a1a4f4af4a99c20b8513f4704"/>
                      <w:lock w:val="sdtLocked"/>
                      <w:richText/>
                    </w:sdtPr>
                    <w:sdtContent>
                      <w:r>
                        <w:rPr>
                          <w:szCs w:val="24"/>
                          <w:lang w:eastAsia="lt-LT"/>
                        </w:rPr>
                        <w:t>35</w:t>
                      </w:r>
                    </w:sdtContent>
                  </w:sdt>
                  <w:r>
                    <w:rPr>
                      <w:szCs w:val="24"/>
                      <w:lang w:eastAsia="lt-LT"/>
                    </w:rPr>
                    <w:t>. Kai teritorijų planavimo valstybinę priežiūrą atliekanti institucija pritaria, kad planas būtų teikiamas tvirtinti, planavimo organizatorius šį planą teikia tvirtinti savivaldybės tarybai.</w:t>
                  </w:r>
                </w:p>
              </w:sdtContent>
            </w:sdt>
            <w:sdt>
              <w:sdtPr>
                <w:alias w:val="36 p."/>
                <w:tag w:val="part_47bcc38117b5430180b224e578afe6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lt-LT"/>
                    </w:rPr>
                  </w:pPr>
                  <w:sdt>
                    <w:sdtPr>
                      <w:alias w:val="Numeris"/>
                      <w:tag w:val="nr_47bcc38117b5430180b224e578afe6f0"/>
                      <w:lock w:val="sdtLocked"/>
                      <w:richText/>
                    </w:sdtPr>
                    <w:sdtContent>
                      <w:r>
                        <w:rPr>
                          <w:szCs w:val="24"/>
                          <w:lang w:eastAsia="lt-LT"/>
                        </w:rPr>
                        <w:t>36</w:t>
                      </w:r>
                    </w:sdtContent>
                  </w:sdt>
                  <w:r>
                    <w:rPr>
                      <w:szCs w:val="24"/>
                      <w:lang w:eastAsia="lt-LT"/>
                    </w:rPr>
                    <w:t>. Patvirtintas planas ir teisės aktas, kuriuo patvirtintas planas, registruojami vadovaujantis Lietuvos Respublikos teritorijų planavimo dokumentų registro nuostatais, patvirtintais Lietuvos Respublikos Vyriausybės 1996 m. birželio 19 d. nutarimu Nr. 721 „Dėl Lietuvos Respublikos teritorijų planavimo dokumentų registro nuostatų ir Lietuvos Respublikos teritorijų planavimo duomenų banko nuostatų patvirtinimo“.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center"/>
                    <w:rPr>
                      <w:b/>
                      <w:szCs w:val="24"/>
                      <w:lang w:eastAsia="lt-LT"/>
                    </w:rPr>
                  </w:pPr>
                </w:p>
              </w:sdtContent>
            </w:sdt>
          </w:sdtContent>
        </w:sdt>
        <w:sdt>
          <w:sdtPr>
            <w:alias w:val="skyrius"/>
            <w:tag w:val="part_1c9389b274fc4ffbbfdadfeb350745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lang w:eastAsia="lt-LT"/>
                </w:rPr>
              </w:pPr>
              <w:sdt>
                <w:sdtPr>
                  <w:alias w:val="Numeris"/>
                  <w:tag w:val="nr_1c9389b274fc4ffbbfdadfeb350745ef"/>
                  <w:lock w:val="sdtLocked"/>
                  <w:richText/>
                </w:sdtPr>
                <w:sdtContent>
                  <w:r>
                    <w:rPr>
                      <w:b/>
                      <w:szCs w:val="24"/>
                      <w:lang w:eastAsia="lt-LT"/>
                    </w:rPr>
                    <w:t>IX</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lang w:eastAsia="lt-LT"/>
                </w:rPr>
              </w:pPr>
              <w:sdt>
                <w:sdtPr>
                  <w:alias w:val="Pavadinimas"/>
                  <w:tag w:val="title_1c9389b274fc4ffbbfdadfeb350745ef"/>
                  <w:lock w:val="sdtLocked"/>
                  <w:richText/>
                </w:sdtPr>
                <w:sdtContent>
                  <w:r>
                    <w:rPr>
                      <w:b/>
                      <w:szCs w:val="24"/>
                      <w:lang w:eastAsia="lt-LT"/>
                    </w:rPr>
                    <w:t>PLANO GALIOJIMAS, KEITIMAS, KOREGAVIMAS IR ĮGYVENDINIMAS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
              <w:sdtPr>
                <w:alias w:val="37 p."/>
                <w:tag w:val="part_826416105759483fadfbfdb1e88569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26416105759483fadfbfdb1e8856904"/>
                      <w:lock w:val="sdtLocked"/>
                      <w:richText/>
                    </w:sdtPr>
                    <w:sdtContent>
                      <w:r>
                        <w:rPr>
                          <w:szCs w:val="24"/>
                          <w:lang w:eastAsia="lt-LT"/>
                        </w:rPr>
                        <w:t>37</w:t>
                      </w:r>
                    </w:sdtContent>
                  </w:sdt>
                  <w:r>
                    <w:rPr>
                      <w:szCs w:val="24"/>
                      <w:lang w:eastAsia="lt-LT"/>
                    </w:rPr>
                    <w:t>. Savivaldybės tarybos sprendimas,</w:t>
                  </w:r>
                  <w:r>
                    <w:rPr>
                      <w:szCs w:val="24"/>
                    </w:rPr>
                    <w:t xml:space="preserve"> </w:t>
                  </w:r>
                  <w:r>
                    <w:rPr>
                      <w:szCs w:val="24"/>
                      <w:lang w:eastAsia="lt-LT"/>
                    </w:rPr>
                    <w:t>kuriuo patvirtintas planas, su nuoroda į šį planą skelbiamas Teisės aktų registre. Oficialus informacinis pranešimas apie plano patvirtinimą skelbiamas savivaldybės interneto svetainėje ir Lietuvos Respublikos teritorijų planavimo dokumentų rengimo ir teritorijų planavimo proceso valstybinės priežiūros informacinėje sistemoje.</w:t>
                  </w:r>
                </w:p>
              </w:sdtContent>
            </w:sdt>
            <w:sdt>
              <w:sdtPr>
                <w:alias w:val="38 p."/>
                <w:tag w:val="part_4184df97cebc4600ad0e9a1dd5df10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184df97cebc4600ad0e9a1dd5df1078"/>
                      <w:lock w:val="sdtLocked"/>
                      <w:richText/>
                    </w:sdtPr>
                    <w:sdtContent>
                      <w:r>
                        <w:rPr>
                          <w:szCs w:val="24"/>
                          <w:lang w:eastAsia="lt-LT"/>
                        </w:rPr>
                        <w:t>38</w:t>
                      </w:r>
                    </w:sdtContent>
                  </w:sdt>
                  <w:r>
                    <w:rPr>
                      <w:szCs w:val="24"/>
                      <w:lang w:eastAsia="lt-LT"/>
                    </w:rPr>
                    <w:t>. Planas įsigalioja kitą dieną jį įregistravus Lietuvos Respublikos teritorijų planavimo dokumentų registre, išskyrus atvejus, kai savivaldybės tarybos sprendime dėl plano patvirtinimo nustatyta vėlesnė plano įsigaliojimo data. Patvirtinto plano sprendiniai galioja neterminuotai arba tol, kol savivaldybės tarybos sprendimu savivaldybės planas pripažįstamas savivaldybės bendrojo plano sudedamąja dalimi ar parengiamas ir patvirtinamas jį keičiantis to paties lygmens teritorijų planavimo dokumentas.</w:t>
                  </w:r>
                </w:p>
              </w:sdtContent>
            </w:sdt>
            <w:sdt>
              <w:sdtPr>
                <w:alias w:val="39 p."/>
                <w:tag w:val="part_035a84419121447886c11143a34c8e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35a84419121447886c11143a34c8e6d"/>
                      <w:lock w:val="sdtLocked"/>
                      <w:richText/>
                    </w:sdtPr>
                    <w:sdtContent>
                      <w:r>
                        <w:rPr>
                          <w:szCs w:val="24"/>
                          <w:lang w:eastAsia="lt-LT"/>
                        </w:rPr>
                        <w:t>39</w:t>
                      </w:r>
                    </w:sdtContent>
                  </w:sdt>
                  <w:r>
                    <w:rPr>
                      <w:szCs w:val="24"/>
                      <w:lang w:eastAsia="lt-LT"/>
                    </w:rPr>
                    <w:t>. Planas gali būti keičiamas ar koreguojamas vadovaujantis Teritorijų planavimo įstatymo 4 straipsnio 4 dalies ir 50 straipsnio nuostatomis.</w:t>
                  </w:r>
                </w:p>
              </w:sdtContent>
            </w:sdt>
            <w:sdt>
              <w:sdtPr>
                <w:alias w:val="40 p."/>
                <w:tag w:val="part_985781ec5d4d4019aa29923eb2c2c8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85781ec5d4d4019aa29923eb2c2c887"/>
                      <w:lock w:val="sdtLocked"/>
                      <w:richText/>
                    </w:sdtPr>
                    <w:sdtContent>
                      <w:r>
                        <w:rPr>
                          <w:szCs w:val="24"/>
                          <w:lang w:eastAsia="lt-LT"/>
                        </w:rPr>
                        <w:t>40</w:t>
                      </w:r>
                    </w:sdtContent>
                  </w:sdt>
                  <w:r>
                    <w:rPr>
                      <w:szCs w:val="24"/>
                      <w:lang w:eastAsia="lt-LT"/>
                    </w:rPr>
                    <w:t xml:space="preserve">. </w:t>
                  </w:r>
                  <w:r>
                    <w:rPr>
                      <w:color w:val="000000"/>
                      <w:szCs w:val="24"/>
                    </w:rPr>
                    <w:t>Specialiojo teritorijų planavimo dokumentai keičiami sprendimą rengti tą teritorijų planavimo dokumentą priėmusios institucijos sprendimu dėl dokumento keitimo laikantis Teritorijų planavimo įstatymo 30 straipsnio 8 dalyje nustatytų specialiojo teritorijų planavimo proceso reikalavimų ir taikant tą pačią dokumento tvirtinimo procedūrą. Sprendimą dėl specialiojo teritorijų planavimo dokumento koregavimo pradžios ir planavimo tikslų priima planavimo organizatorius.</w:t>
                  </w:r>
                  <w:r>
                    <w:rPr>
                      <w:szCs w:val="24"/>
                    </w:rPr>
                    <w:t xml:space="preserve"> </w:t>
                  </w:r>
                  <w:r>
                    <w:rPr>
                      <w:color w:val="000000"/>
                      <w:szCs w:val="24"/>
                    </w:rPr>
                    <w:t>Planas keičiamas, kai sprendimą rengti planą priėmusi institucija nusprendžia rengti naują (jį keičiantį) to paties lygmens planą anksčiau suplanuotai arba didesnei teritorijai, į kurią patenka anksčiau suplanuota teritorija. Planas turi būti keičiamas, kai numatoma keisti visus jo sprendinius.</w:t>
                  </w:r>
                </w:p>
              </w:sdtContent>
            </w:sdt>
            <w:sdt>
              <w:sdtPr>
                <w:alias w:val="41 p."/>
                <w:tag w:val="part_12c082a70f8a44c59c9badc75e9c18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2c082a70f8a44c59c9badc75e9c1891"/>
                      <w:lock w:val="sdtLocked"/>
                      <w:richText/>
                    </w:sdtPr>
                    <w:sdtContent>
                      <w:r>
                        <w:rPr>
                          <w:szCs w:val="24"/>
                          <w:lang w:eastAsia="lt-LT"/>
                        </w:rPr>
                        <w:t>41</w:t>
                      </w:r>
                    </w:sdtContent>
                  </w:sdt>
                  <w:r>
                    <w:rPr>
                      <w:szCs w:val="24"/>
                      <w:lang w:eastAsia="lt-LT"/>
                    </w:rPr>
                    <w:t>. Planas keičiamas laikantis Teritorijų planavimo įstatymo,</w:t>
                  </w:r>
                  <w:r>
                    <w:rPr>
                      <w:szCs w:val="24"/>
                    </w:rPr>
                    <w:t xml:space="preserve"> Geriamojo vandens tiekimo ir nuotekų tvarkymo įstatymo </w:t>
                  </w:r>
                  <w:r>
                    <w:rPr>
                      <w:szCs w:val="24"/>
                      <w:lang w:eastAsia="lt-LT"/>
                    </w:rPr>
                    <w:t>ir Taisyklių nuostatų. Sprendimą dėl plano keitimo būtinumo planavimo organizatoriaus motyvuotu siūlymu priima savivaldybės taryba.</w:t>
                  </w:r>
                </w:p>
              </w:sdtContent>
            </w:sdt>
            <w:sdt>
              <w:sdtPr>
                <w:alias w:val="42 p."/>
                <w:tag w:val="part_9d1a9c68d55d469b9fdb11b82da253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d1a9c68d55d469b9fdb11b82da25372"/>
                      <w:lock w:val="sdtLocked"/>
                      <w:richText/>
                    </w:sdtPr>
                    <w:sdtContent>
                      <w:r>
                        <w:rPr>
                          <w:szCs w:val="24"/>
                          <w:lang w:eastAsia="lt-LT"/>
                        </w:rPr>
                        <w:t>42</w:t>
                      </w:r>
                    </w:sdtContent>
                  </w:sdt>
                  <w:r>
                    <w:rPr>
                      <w:szCs w:val="24"/>
                      <w:lang w:eastAsia="lt-LT"/>
                    </w:rPr>
                    <w:t>. Jeigu planas pripažintas savivaldybės bendrojo plano dalimi, jo sprendiniai keičiami ir (ar) papildomai nustatomi koreguojant savivaldybės bendrąjį planą. Jeigu</w:t>
                  </w:r>
                  <w:r>
                    <w:rPr>
                      <w:szCs w:val="24"/>
                    </w:rPr>
                    <w:t xml:space="preserve"> </w:t>
                  </w:r>
                  <w:r>
                    <w:rPr>
                      <w:szCs w:val="24"/>
                      <w:lang w:eastAsia="lt-LT"/>
                    </w:rPr>
                    <w:t>planas nepripažintas savivaldybės bendrojo plano dalimi ir nepriimtas sprendimas jį keisti, šis planas turi būti koreguojamas:</w:t>
                  </w:r>
                </w:p>
                <w:sdt>
                  <w:sdtPr>
                    <w:alias w:val="42.1 pp."/>
                    <w:tag w:val="part_6c8e7c3f55c245b08ffbd55a6f75b11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c8e7c3f55c245b08ffbd55a6f75b119"/>
                          <w:lock w:val="sdtLocked"/>
                          <w:richText/>
                        </w:sdtPr>
                        <w:sdtContent>
                          <w:r>
                            <w:rPr>
                              <w:szCs w:val="24"/>
                              <w:lang w:eastAsia="lt-LT"/>
                            </w:rPr>
                            <w:t>42.1</w:t>
                          </w:r>
                        </w:sdtContent>
                      </w:sdt>
                      <w:r>
                        <w:rPr>
                          <w:szCs w:val="24"/>
                          <w:lang w:eastAsia="lt-LT"/>
                        </w:rPr>
                        <w:t>. kai numatomi keisti ir (ar) papildomai nustatomi plano sprendiniai neprieštarauja nustatytiems planavimo tikslams ir plano uždaviniams;</w:t>
                      </w:r>
                    </w:p>
                  </w:sdtContent>
                </w:sdt>
                <w:sdt>
                  <w:sdtPr>
                    <w:alias w:val="42.2 pp."/>
                    <w:tag w:val="part_654bf14d7aac4805a9a14b81d2129c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54bf14d7aac4805a9a14b81d2129c59"/>
                          <w:lock w:val="sdtLocked"/>
                          <w:richText/>
                        </w:sdtPr>
                        <w:sdtContent>
                          <w:r>
                            <w:rPr>
                              <w:szCs w:val="24"/>
                              <w:lang w:eastAsia="lt-LT"/>
                            </w:rPr>
                            <w:t>42.2</w:t>
                          </w:r>
                        </w:sdtContent>
                      </w:sdt>
                      <w:r>
                        <w:rPr>
                          <w:szCs w:val="24"/>
                          <w:lang w:eastAsia="lt-LT"/>
                        </w:rPr>
                        <w:t>. kai ištaisomos techninės klaidos tekste ir (ar) brėžiniuose;</w:t>
                      </w:r>
                    </w:p>
                  </w:sdtContent>
                </w:sdt>
                <w:sdt>
                  <w:sdtPr>
                    <w:alias w:val="42.3 pp."/>
                    <w:tag w:val="part_4ef66e7198094237a2b7c6c61e9609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ef66e7198094237a2b7c6c61e9609af"/>
                          <w:lock w:val="sdtLocked"/>
                          <w:richText/>
                        </w:sdtPr>
                        <w:sdtContent>
                          <w:r>
                            <w:rPr>
                              <w:szCs w:val="24"/>
                              <w:lang w:eastAsia="lt-LT"/>
                            </w:rPr>
                            <w:t>42.3</w:t>
                          </w:r>
                        </w:sdtContent>
                      </w:sdt>
                      <w:r>
                        <w:rPr>
                          <w:szCs w:val="24"/>
                          <w:lang w:eastAsia="lt-LT"/>
                        </w:rPr>
                        <w:t>. kai panaikinami plano sprendinių prieštaravimai įstatymų ir kitų teisės aktų reikalavimams, Teritorijų planavimo įstatymo 4 straipsnio 4 dalyje nurodytų teritorijų planavimo dokumentų sprendiniams;</w:t>
                      </w:r>
                    </w:p>
                  </w:sdtContent>
                </w:sdt>
                <w:sdt>
                  <w:sdtPr>
                    <w:alias w:val="42.4 pp."/>
                    <w:tag w:val="part_8ef7a1ff82674b098c961ca2f077042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ef7a1ff82674b098c961ca2f0770422"/>
                          <w:lock w:val="sdtLocked"/>
                          <w:richText/>
                        </w:sdtPr>
                        <w:sdtContent>
                          <w:r>
                            <w:rPr>
                              <w:szCs w:val="24"/>
                              <w:lang w:eastAsia="lt-LT"/>
                            </w:rPr>
                            <w:t>42.4</w:t>
                          </w:r>
                        </w:sdtContent>
                      </w:sdt>
                      <w:r>
                        <w:rPr>
                          <w:szCs w:val="24"/>
                          <w:lang w:eastAsia="lt-LT"/>
                        </w:rPr>
                        <w:t>. kai yra priimtas teismo sprendimas, kad plano sprendinys (sprendiniai) neteisėtas (neteisėti), jeigu dėl teismo sprendimo neatsiranda pagrindas naikinti arba keisti planą.</w:t>
                      </w:r>
                    </w:p>
                  </w:sdtContent>
                </w:sdt>
              </w:sdtContent>
            </w:sdt>
            <w:sdt>
              <w:sdtPr>
                <w:alias w:val="43 p."/>
                <w:tag w:val="part_284041ca376a4806857cc8d120328b0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284041ca376a4806857cc8d120328b03"/>
                      <w:lock w:val="sdtLocked"/>
                      <w:richText/>
                    </w:sdtPr>
                    <w:sdtContent>
                      <w:r>
                        <w:rPr>
                          <w:szCs w:val="24"/>
                          <w:lang w:eastAsia="lt-LT"/>
                        </w:rPr>
                        <w:t>43</w:t>
                      </w:r>
                    </w:sdtContent>
                  </w:sdt>
                  <w:r>
                    <w:rPr>
                      <w:szCs w:val="24"/>
                      <w:lang w:eastAsia="lt-LT"/>
                    </w:rPr>
                    <w:t xml:space="preserve">. Taisyklių 42.2 papunktyje nurodytais atvejais planas koreguojamas savivaldybės tarybos sprendimu (pateikus techninės klaidos taisymo aiškinamąjį raštą ir šio dokumento grafinę dalį, jeigu techninė klaida padaryta grafinėje dalyje), jis nederinamas ir netikrinamas. Kitais koregavimo atvejais planavimo organizatorius nusprendžia, ar reikia </w:t>
                  </w:r>
                  <w:r>
                    <w:rPr>
                      <w:color w:val="000000"/>
                      <w:szCs w:val="24"/>
                    </w:rPr>
                    <w:t xml:space="preserve">Tvarkos apraše </w:t>
                  </w:r>
                  <w:r>
                    <w:rPr>
                      <w:szCs w:val="24"/>
                    </w:rPr>
                    <w:t>nustatyta tvarka kreiptis į Taisyklių 16 punkte nurodytas institucijas ir asmenis dėl naujų planavimo sąlygų</w:t>
                  </w:r>
                  <w:r>
                    <w:rPr>
                      <w:szCs w:val="24"/>
                      <w:lang w:eastAsia="lt-LT"/>
                    </w:rPr>
                    <w:t xml:space="preserve">, ar bus atliekamas SPAV, rengiama koncepcija. Koreguojant planą, viešinimo procedūros atliekamos Visuomenės informavimo nuostatuose nustatyta supaprastinta teritorijų planavimo dokumentų viešinimo procedūrų tvarka (išskyrus taisant plano technines klaidas, kai informacija apie priimtą sprendimą ištaisyti plano klaidą skelbiama savivaldybės interneto svetainėje ir Lietuvos Respublikos teritorijų planavimo dokumentų rengimo ir teritorijų planavimo proceso valstybinės priežiūros informacinėje sistemoje). Koreguotas planas (išskyrus taisant plano technines klaidas) derinamas, tikrinamas, tvirtinamas ir registruojamas </w:t>
                  </w:r>
                  <w:r>
                    <w:rPr>
                      <w:szCs w:val="24"/>
                    </w:rPr>
                    <w:t>ta pačia tvarka, kaip ir planas.</w:t>
                  </w:r>
                </w:p>
              </w:sdtContent>
            </w:sdt>
            <w:sdt>
              <w:sdtPr>
                <w:alias w:val="44 p."/>
                <w:tag w:val="part_9e30e60a6831464fa765688dd1cc4b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9e30e60a6831464fa765688dd1cc4bf7"/>
                      <w:lock w:val="sdtLocked"/>
                      <w:richText/>
                    </w:sdtPr>
                    <w:sdtContent>
                      <w:r>
                        <w:rPr>
                          <w:szCs w:val="24"/>
                          <w:lang w:eastAsia="lt-LT"/>
                        </w:rPr>
                        <w:t>44</w:t>
                      </w:r>
                    </w:sdtContent>
                  </w:sdt>
                  <w:r>
                    <w:rPr>
                      <w:szCs w:val="24"/>
                      <w:lang w:eastAsia="lt-LT"/>
                    </w:rPr>
                    <w:t>. Rengiant, keičiant ir (ar) koreguojant planą, atsižvelgiama į Nacionalinio vandenų srities 2022–2027 metų plano, patvirtinto Lietuvos Respublikos Vyriausybės 2022 m. gruodžio 21 d. nutarimu Nr. 1292 „Dėl Nacionalinio vandenų srities 2022–2027 metų plano patvirtinimo“, nuostatas ir šio plano</w:t>
                  </w:r>
                  <w:r>
                    <w:t xml:space="preserve"> įgyvendinimo priemonių sąrašą</w:t>
                  </w:r>
                  <w:r>
                    <w:rPr>
                      <w:szCs w:val="24"/>
                      <w:lang w:eastAsia="lt-LT"/>
                    </w:rPr>
                    <w:t>, vadovaujamasi Teritorijų planavimo įstatymo 4 straipsnio 3 ir 4 dalies nuostatomis.</w:t>
                  </w:r>
                  <w:r>
                    <w:rPr>
                      <w:szCs w:val="24"/>
                    </w:rPr>
                    <w:t xml:space="preserve"> </w:t>
                  </w:r>
                </w:p>
              </w:sdtContent>
            </w:sdt>
            <w:sdt>
              <w:sdtPr>
                <w:alias w:val="45 p."/>
                <w:tag w:val="part_dd2b107de75c4df3a7267db0655442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d2b107de75c4df3a7267db065544238"/>
                      <w:lock w:val="sdtLocked"/>
                      <w:richText/>
                    </w:sdtPr>
                    <w:sdtContent>
                      <w:r>
                        <w:rPr>
                          <w:szCs w:val="24"/>
                          <w:lang w:eastAsia="lt-LT"/>
                        </w:rPr>
                        <w:t>45</w:t>
                      </w:r>
                    </w:sdtContent>
                  </w:sdt>
                  <w:r>
                    <w:rPr>
                      <w:szCs w:val="24"/>
                      <w:lang w:eastAsia="lt-LT"/>
                    </w:rPr>
                    <w:t>. Patvirtinus planą, planavimo organizatorius arba jo įgaliotas asmuo, atlikdamas sprendinių įgyvendinimo stebėseną, nuolat kaupia ir analizuoja informaciją, kuriose gyvenamosiose vietovėse renovuota ar pastatyta geriamojo vandens tiekimo ir (ar) nuotekų tvarkymo infrastruktūra, ir kiek yra šių sistemų, prisijungusių gyventojų ir gyventojų, kuriems sudaryta galimybė prisijungti prie naujai įrengtos geriamojo vandens tiekimo ir (ar) nuotekų tvarkymo infrastruktūros, apie finansavimo poreikį, teritorijos raidos tendencijas ir jų įtaką įgyvendinant plano sprendinius, iki kitų metų kovo 31 dienos parengia stebėsenos ataskaitą. Ši ataskaita rengiama už kiekvienus metus. Parengta ataskaita skelbiama savivaldybės interneto svetainėje.</w:t>
                  </w:r>
                </w:p>
              </w:sdtContent>
            </w:sdt>
            <w:sdt>
              <w:sdtPr>
                <w:alias w:val="46 p."/>
                <w:tag w:val="part_2d314f5d20274dc4b2d37a96d081bd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d314f5d20274dc4b2d37a96d081bd08"/>
                      <w:lock w:val="sdtLocked"/>
                      <w:richText/>
                    </w:sdtPr>
                    <w:sdtContent>
                      <w:r>
                        <w:rPr>
                          <w:szCs w:val="24"/>
                          <w:lang w:eastAsia="lt-LT"/>
                        </w:rPr>
                        <w:t>46</w:t>
                      </w:r>
                    </w:sdtContent>
                  </w:sdt>
                  <w:r>
                    <w:rPr>
                      <w:szCs w:val="24"/>
                      <w:lang w:eastAsia="lt-LT"/>
                    </w:rPr>
                    <w:t>. Plano sprendinių įgyvendinimo programas rengia planavimo organizatorius.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lang w:eastAsia="lt-LT"/>
                    </w:rPr>
                  </w:pPr>
                </w:p>
              </w:sdtContent>
            </w:sdt>
          </w:sdtContent>
        </w:sdt>
        <w:sdt>
          <w:sdtPr>
            <w:alias w:val="skyrius"/>
            <w:tag w:val="part_e28f002ae87b47edb79044400e9ab1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szCs w:val="24"/>
                  <w:lang w:eastAsia="lt-LT"/>
                </w:rPr>
              </w:pPr>
              <w:sdt>
                <w:sdtPr>
                  <w:alias w:val="Numeris"/>
                  <w:tag w:val="nr_e28f002ae87b47edb79044400e9ab109"/>
                  <w:lock w:val="sdtLocked"/>
                  <w:richText/>
                </w:sdtPr>
                <w:sdtContent>
                  <w:r>
                    <w:rPr>
                      <w:b/>
                      <w:szCs w:val="24"/>
                      <w:lang w:eastAsia="lt-LT"/>
                    </w:rPr>
                    <w:t>X</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lang w:eastAsia="lt-LT"/>
                </w:rPr>
              </w:pPr>
              <w:sdt>
                <w:sdtPr>
                  <w:alias w:val="Pavadinimas"/>
                  <w:tag w:val="title_e28f002ae87b47edb79044400e9ab109"/>
                  <w:lock w:val="sdtLocked"/>
                  <w:richText/>
                </w:sdtPr>
                <w:sdtContent>
                  <w:r>
                    <w:rPr>
                      <w:b/>
                      <w:szCs w:val="24"/>
                      <w:lang w:eastAsia="lt-LT"/>
                    </w:rPr>
                    <w:t>BAIGIAMOSIOS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lang w:eastAsia="lt-LT"/>
                </w:rPr>
              </w:pPr>
            </w:p>
            <w:sdt>
              <w:sdtPr>
                <w:alias w:val="47 p."/>
                <w:tag w:val="part_06eeb255585a4d939fcc97db93ba16e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6eeb255585a4d939fcc97db93ba16e9"/>
                      <w:lock w:val="sdtLocked"/>
                      <w:richText/>
                    </w:sdtPr>
                    <w:sdtContent>
                      <w:r>
                        <w:rPr>
                          <w:szCs w:val="24"/>
                          <w:lang w:eastAsia="lt-LT"/>
                        </w:rPr>
                        <w:t>47</w:t>
                      </w:r>
                    </w:sdtContent>
                  </w:sdt>
                  <w:r>
                    <w:rPr>
                      <w:szCs w:val="24"/>
                      <w:lang w:eastAsia="lt-LT"/>
                    </w:rPr>
                    <w:t>. Plano rengėjas turi teisę Lietuvos Respublikos administracinių bylų teisenos įstatymo nustatyta tvarka apskųsti planą nagrinėjusių įstaigų, institucijų ir pareigūnų sprendimus.</w:t>
                  </w:r>
                </w:p>
              </w:sdtContent>
            </w:sdt>
            <w:sdt>
              <w:sdtPr>
                <w:alias w:val="48 p."/>
                <w:tag w:val="part_8e07211fe1de4bfab6c481bfb0305f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e07211fe1de4bfab6c481bfb0305fe2"/>
                      <w:lock w:val="sdtLocked"/>
                      <w:richText/>
                    </w:sdtPr>
                    <w:sdtContent>
                      <w:r>
                        <w:rPr>
                          <w:szCs w:val="24"/>
                          <w:lang w:eastAsia="lt-LT"/>
                        </w:rPr>
                        <w:t>48</w:t>
                      </w:r>
                    </w:sdtContent>
                  </w:sdt>
                  <w:r>
                    <w:rPr>
                      <w:szCs w:val="24"/>
                      <w:lang w:eastAsia="lt-LT"/>
                    </w:rPr>
                    <w:t>. Planavimo organizatorius arba jo įgaliotas asmuo ne vėliau kaip per 1 mėnesį nuo plano patvirtinimo dienos privalo raštu arba elektroniniu paštu informuoti Lietuvos Respublikos aplinkos ministeriją ir Valstybinę energetikos reguliavimo tarybą apie plano patvirtinimą ir įsigaliojimo datą.</w:t>
                  </w:r>
                </w:p>
              </w:sdtContent>
            </w:sdt>
            <w:sdt>
              <w:sdtPr>
                <w:alias w:val="49 p."/>
                <w:tag w:val="part_0354cdf043424d48856b521a1b07d4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0354cdf043424d48856b521a1b07d445"/>
                      <w:lock w:val="sdtLocked"/>
                      <w:richText/>
                    </w:sdtPr>
                    <w:sdtContent>
                      <w:r>
                        <w:rPr>
                          <w:rFonts w:eastAsia="Lucida Sans Unicode"/>
                          <w:color w:val="000000"/>
                          <w:szCs w:val="24"/>
                          <w:lang w:eastAsia="lt-LT"/>
                        </w:rPr>
                        <w:t>4</w:t>
                      </w:r>
                      <w:r>
                        <w:rPr>
                          <w:rFonts w:eastAsia="Lucida Sans Unicode"/>
                          <w:color w:val="000000"/>
                          <w:szCs w:val="24"/>
                          <w:lang w:val="en-GB" w:eastAsia="lt-LT"/>
                        </w:rPr>
                        <w:t>9</w:t>
                      </w:r>
                    </w:sdtContent>
                  </w:sdt>
                  <w:r>
                    <w:rPr>
                      <w:rFonts w:eastAsia="Lucida Sans Unicode"/>
                      <w:color w:val="000000"/>
                      <w:szCs w:val="24"/>
                      <w:lang w:eastAsia="lt-LT"/>
                    </w:rPr>
                    <w:t xml:space="preserve">. </w:t>
                  </w:r>
                  <w:r>
                    <w:rPr>
                      <w:szCs w:val="24"/>
                      <w:lang w:eastAsia="lt-LT"/>
                    </w:rPr>
                    <w:t xml:space="preserve">Planavimo organizatorius arba jo įgaliotas asmuo ne vėliau kaip per 1 mėnesį nuo patvirtintų aglomeracijų ribų nustatymo privalo pateikti Aplinkos ministerijai erdvinių duomenų rinkinius, atitinkančius Teritorijų planavimo erdvinių duomenų specifikacijoje ir Taisyklių </w:t>
                  </w:r>
                  <w:r>
                    <w:rPr>
                      <w:szCs w:val="24"/>
                      <w:lang w:val="en-GB" w:eastAsia="lt-LT"/>
                    </w:rPr>
                    <w:t xml:space="preserve">3 </w:t>
                  </w:r>
                  <w:r>
                    <w:rPr>
                      <w:szCs w:val="24"/>
                      <w:lang w:eastAsia="lt-LT"/>
                    </w:rPr>
                    <w:t>priede nustatytus reikalavimus.</w:t>
                  </w:r>
                  <w:r>
                    <w:rPr>
                      <w:szCs w:val="24"/>
                    </w:rPr>
                    <w:t xml:space="preserve"> </w:t>
                  </w:r>
                </w:p>
              </w:sdtContent>
            </w:sdt>
          </w:sdtContent>
        </w:sdt>
        <w:sdt>
          <w:sdtPr>
            <w:alias w:val="pabaiga"/>
            <w:tag w:val="part_51d393eb825f4f9fa8735d319a11ef0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_____________</w:t>
              </w:r>
            </w:p>
            <w:p>
              <w:pPr>
                <w:tabs>
                  <w:tab w:val="center" w:pos="4680"/>
                  <w:tab w:val="right" w:pos="9360"/>
                </w:tabs>
              </w:pPr>
            </w:p>
          </w:sdtContent>
        </w:sdt>
      </w:sdtContent>
    </w:sdt>
    <w:sdt>
      <w:sdtPr>
        <w:alias w:val="1 pr."/>
        <w:tag w:val="part_654bebb8d7c54871bb728ffb15f9d060"/>
        <w:lock w:val="sdtLocked"/>
        <w:richText/>
      </w:sdtPr>
      <w:sdtContent>
        <w:p>
          <w:pPr>
            <w:ind w:left="5529" w:firstLine="425"/>
            <w:sectPr>
              <w:headerReference w:type="even" r:id="rId15"/>
              <w:headerReference w:type="default" r:id="rId16"/>
              <w:footerReference w:type="even" r:id="rId17"/>
              <w:footerReference w:type="default" r:id="rId18"/>
              <w:headerReference w:type="first" r:id="rId19"/>
              <w:footerReference w:type="first" r:id="rId20"/>
              <w:footnotePr>
                <w:pos w:val="beneathText"/>
              </w:footnotePr>
              <w:pgSz w:w="11905" w:h="16837"/>
              <w:pgMar w:top="1134" w:right="567" w:bottom="1134" w:left="1701" w:header="851" w:footer="919" w:gutter="0"/>
              <w:pgNumType w:start="1"/>
              <w:cols w:space="1296"/>
              <w:formProt w:val="0"/>
              <w:titlePg/>
              <w:docGrid w:linePitch="360"/>
            </w:sectPr>
          </w:pPr>
        </w:p>
        <w:p>
          <w:pPr>
            <w:ind w:firstLine="5160"/>
            <w:rPr>
              <w:szCs w:val="24"/>
            </w:rPr>
          </w:pPr>
          <w:r>
            <w:rPr>
              <w:szCs w:val="24"/>
            </w:rPr>
            <w:t>Geriamojo vandens tiekimo ir</w:t>
          </w:r>
        </w:p>
        <w:p>
          <w:pPr>
            <w:ind w:firstLine="5160"/>
            <w:rPr>
              <w:szCs w:val="24"/>
            </w:rPr>
          </w:pPr>
          <w:r>
            <w:rPr>
              <w:szCs w:val="24"/>
            </w:rPr>
            <w:t>nuotekų tvarkymo</w:t>
          </w:r>
        </w:p>
        <w:p>
          <w:pPr>
            <w:ind w:firstLine="5160"/>
            <w:rPr>
              <w:szCs w:val="24"/>
            </w:rPr>
          </w:pPr>
          <w:r>
            <w:rPr>
              <w:szCs w:val="24"/>
            </w:rPr>
            <w:t>infrastruktūros plėtros planų</w:t>
          </w:r>
        </w:p>
        <w:p>
          <w:pPr>
            <w:ind w:firstLine="5160"/>
            <w:rPr>
              <w:szCs w:val="24"/>
            </w:rPr>
          </w:pPr>
          <w:r>
            <w:rPr>
              <w:szCs w:val="24"/>
            </w:rPr>
            <w:t>rengimo taisyklių</w:t>
          </w:r>
        </w:p>
        <w:p>
          <w:pPr>
            <w:ind w:firstLine="5160"/>
            <w:rPr>
              <w:szCs w:val="24"/>
            </w:rPr>
          </w:pPr>
          <w:sdt>
            <w:sdtPr>
              <w:alias w:val="Numeris"/>
              <w:tag w:val="nr_654bebb8d7c54871bb728ffb15f9d060"/>
              <w:lock w:val="sdtLocked"/>
              <w:richText/>
            </w:sdtPr>
            <w:sdtContent>
              <w:r>
                <w:rPr>
                  <w:szCs w:val="24"/>
                </w:rPr>
                <w:t>1</w:t>
              </w:r>
            </w:sdtContent>
          </w:sdt>
          <w:r>
            <w:rPr>
              <w:szCs w:val="24"/>
            </w:rPr>
            <w:t xml:space="preserve"> priedas </w:t>
          </w:r>
        </w:p>
        <w:p>
          <w:pPr>
            <w:jc w:val="center"/>
            <w:rPr>
              <w:b/>
              <w:szCs w:val="24"/>
            </w:rPr>
          </w:pPr>
        </w:p>
        <w:p>
          <w:pPr>
            <w:rPr>
              <w:szCs w:val="24"/>
            </w:rPr>
          </w:pPr>
        </w:p>
        <w:p>
          <w:pPr>
            <w:jc w:val="center"/>
            <w:rPr>
              <w:b/>
              <w:caps/>
              <w:szCs w:val="24"/>
            </w:rPr>
          </w:pPr>
          <w:sdt>
            <w:sdtPr>
              <w:alias w:val="Pavadinimas"/>
              <w:tag w:val="title_654bebb8d7c54871bb728ffb15f9d060"/>
              <w:lock w:val="sdtLocked"/>
              <w:richText/>
            </w:sdtPr>
            <w:sdtContent>
              <w:r>
                <w:rPr>
                  <w:b/>
                  <w:caps/>
                  <w:szCs w:val="24"/>
                </w:rPr>
                <w:t>GERIAMOJO Vandens tiekimo ir nuotekų tvarkymo infrastruktūros plėtros alternatyvos</w:t>
              </w:r>
            </w:sdtContent>
          </w:sdt>
        </w:p>
        <w:p>
          <w:pPr>
            <w:jc w:val="center"/>
            <w:rPr>
              <w:b/>
              <w:caps/>
              <w:szCs w:val="24"/>
            </w:rPr>
          </w:pPr>
        </w:p>
        <w:sdt>
          <w:sdtPr>
            <w:alias w:val="skyrius"/>
            <w:tag w:val="part_e9e21acd09cf4191be69c71a6d494072"/>
            <w:lock w:val="sdtLocked"/>
            <w:richText/>
          </w:sdtPr>
          <w:sdtContent>
            <w:p>
              <w:pPr>
                <w:jc w:val="center"/>
                <w:rPr>
                  <w:b/>
                  <w:caps/>
                  <w:szCs w:val="24"/>
                </w:rPr>
              </w:pPr>
              <w:sdt>
                <w:sdtPr>
                  <w:alias w:val="Numeris"/>
                  <w:tag w:val="nr_e9e21acd09cf4191be69c71a6d494072"/>
                  <w:lock w:val="sdtLocked"/>
                  <w:richText/>
                </w:sdtPr>
                <w:sdtContent>
                  <w:r>
                    <w:rPr>
                      <w:b/>
                      <w:caps/>
                      <w:szCs w:val="24"/>
                    </w:rPr>
                    <w:t>i</w:t>
                  </w:r>
                </w:sdtContent>
              </w:sdt>
              <w:r>
                <w:rPr>
                  <w:b/>
                  <w:caps/>
                  <w:szCs w:val="24"/>
                </w:rPr>
                <w:t xml:space="preserve"> skyrius</w:t>
              </w:r>
            </w:p>
            <w:p>
              <w:pPr>
                <w:jc w:val="center"/>
                <w:rPr>
                  <w:b/>
                  <w:caps/>
                  <w:szCs w:val="24"/>
                </w:rPr>
              </w:pPr>
              <w:sdt>
                <w:sdtPr>
                  <w:alias w:val="Pavadinimas"/>
                  <w:tag w:val="title_e9e21acd09cf4191be69c71a6d494072"/>
                  <w:lock w:val="sdtLocked"/>
                  <w:richText/>
                </w:sdtPr>
                <w:sdtContent>
                  <w:r>
                    <w:rPr>
                      <w:b/>
                      <w:caps/>
                      <w:szCs w:val="24"/>
                    </w:rPr>
                    <w:t>Geriamojo vandens tiekimo infrastruktūros plėtra</w:t>
                  </w:r>
                </w:sdtContent>
              </w:sdt>
            </w:p>
            <w:p>
              <w:pPr>
                <w:jc w:val="center"/>
                <w:rPr>
                  <w:b/>
                  <w:caps/>
                  <w:szCs w:val="24"/>
                </w:rPr>
              </w:pPr>
            </w:p>
            <w:sdt>
              <w:sdtPr>
                <w:alias w:val="1 pr. 1 p."/>
                <w:tag w:val="part_6d58173778c4420e9bcb5507b45a9cd6"/>
                <w:lock w:val="sdtLocked"/>
                <w:richText/>
              </w:sdtPr>
              <w:sdtContent>
                <w:p>
                  <w:pPr>
                    <w:ind w:firstLine="720"/>
                    <w:jc w:val="both"/>
                    <w:rPr>
                      <w:szCs w:val="24"/>
                    </w:rPr>
                  </w:pPr>
                  <w:sdt>
                    <w:sdtPr>
                      <w:alias w:val="Numeris"/>
                      <w:tag w:val="nr_6d58173778c4420e9bcb5507b45a9cd6"/>
                      <w:lock w:val="sdtLocked"/>
                      <w:richText/>
                    </w:sdtPr>
                    <w:sdtContent>
                      <w:r>
                        <w:rPr>
                          <w:szCs w:val="24"/>
                        </w:rPr>
                        <w:t>1</w:t>
                      </w:r>
                    </w:sdtContent>
                  </w:sdt>
                  <w:r>
                    <w:rPr>
                      <w:szCs w:val="24"/>
                    </w:rPr>
                    <w:t xml:space="preserve">. Planuojant geriamojo vandens tiekimo infrastruktūros plėtrą savivaldybės teritorijoje, turi būti išnagrinėtos ir palygintos šios alternatyvos: </w:t>
                  </w:r>
                </w:p>
                <w:sdt>
                  <w:sdtPr>
                    <w:alias w:val="1 pr. 1.1 pp."/>
                    <w:tag w:val="part_9e6dc306d73943e385ea861d11dea833"/>
                    <w:lock w:val="sdtLocked"/>
                    <w:richText/>
                  </w:sdtPr>
                  <w:sdtContent>
                    <w:p>
                      <w:pPr>
                        <w:ind w:firstLine="720"/>
                        <w:jc w:val="both"/>
                        <w:rPr>
                          <w:szCs w:val="24"/>
                        </w:rPr>
                      </w:pPr>
                      <w:sdt>
                        <w:sdtPr>
                          <w:alias w:val="Numeris"/>
                          <w:tag w:val="nr_9e6dc306d73943e385ea861d11dea833"/>
                          <w:lock w:val="sdtLocked"/>
                          <w:richText/>
                        </w:sdtPr>
                        <w:sdtContent>
                          <w:r>
                            <w:rPr>
                              <w:caps/>
                              <w:szCs w:val="24"/>
                            </w:rPr>
                            <w:t>1.1</w:t>
                          </w:r>
                        </w:sdtContent>
                      </w:sdt>
                      <w:r>
                        <w:rPr>
                          <w:caps/>
                          <w:szCs w:val="24"/>
                        </w:rPr>
                        <w:t xml:space="preserve">. </w:t>
                      </w:r>
                      <w:r>
                        <w:rPr>
                          <w:szCs w:val="24"/>
                        </w:rPr>
                        <w:t>alternatyva A – vandenvietės, požeminio vandens gręžinio įrengimas (numatoma gyvenamojoje vietovėje įrengti kelias vandenvietes ar požeminio vandens gręžinius, vandens gerinimo įrenginius);</w:t>
                      </w:r>
                    </w:p>
                  </w:sdtContent>
                </w:sdt>
                <w:sdt>
                  <w:sdtPr>
                    <w:alias w:val="1 pr. 1.2 pp."/>
                    <w:tag w:val="part_6eadd3e63d7c4b1391b30a780900ee2f"/>
                    <w:lock w:val="sdtLocked"/>
                    <w:richText/>
                  </w:sdtPr>
                  <w:sdtContent>
                    <w:p>
                      <w:pPr>
                        <w:ind w:firstLine="720"/>
                        <w:jc w:val="both"/>
                        <w:rPr>
                          <w:szCs w:val="24"/>
                        </w:rPr>
                      </w:pPr>
                      <w:sdt>
                        <w:sdtPr>
                          <w:alias w:val="Numeris"/>
                          <w:tag w:val="nr_6eadd3e63d7c4b1391b30a780900ee2f"/>
                          <w:lock w:val="sdtLocked"/>
                          <w:richText/>
                        </w:sdtPr>
                        <w:sdtContent>
                          <w:r>
                            <w:rPr>
                              <w:szCs w:val="24"/>
                            </w:rPr>
                            <w:t>1.2</w:t>
                          </w:r>
                        </w:sdtContent>
                      </w:sdt>
                      <w:r>
                        <w:rPr>
                          <w:szCs w:val="24"/>
                        </w:rPr>
                        <w:t xml:space="preserve">. alternatyva B – mažesnių gyvenamųjų vietovių prijungimas (geriamojo vandens tiekimo teritorijos formavimas numatant prie gyvenamosios vietovės geriamojo vandens tiekimo infrastruktūros prijungti vieną ar kelias gyvenamąsias vietoves, nutolusias ne didesniu atstumu kaip 5 km); Įvertinamas infrastruktūros, prie kurios jungiama, pajėgumas (vamzdynų pralaidumas, siurblinių, vandens gerinimo įrenginių ir vandenviečių pajėgumas). </w:t>
                      </w:r>
                    </w:p>
                  </w:sdtContent>
                </w:sdt>
                <w:sdt>
                  <w:sdtPr>
                    <w:alias w:val="1 pr. 1.3 pp."/>
                    <w:tag w:val="part_068a8e8f0a234daaa49c20fdd0b1129a"/>
                    <w:lock w:val="sdtLocked"/>
                    <w:richText/>
                  </w:sdtPr>
                  <w:sdtContent>
                    <w:p>
                      <w:pPr>
                        <w:ind w:firstLine="720"/>
                        <w:jc w:val="both"/>
                        <w:rPr>
                          <w:szCs w:val="24"/>
                        </w:rPr>
                      </w:pPr>
                      <w:sdt>
                        <w:sdtPr>
                          <w:alias w:val="Numeris"/>
                          <w:tag w:val="nr_068a8e8f0a234daaa49c20fdd0b1129a"/>
                          <w:lock w:val="sdtLocked"/>
                          <w:richText/>
                        </w:sdtPr>
                        <w:sdtContent>
                          <w:r>
                            <w:rPr>
                              <w:szCs w:val="24"/>
                            </w:rPr>
                            <w:t>1.3</w:t>
                          </w:r>
                        </w:sdtContent>
                      </w:sdt>
                      <w:r>
                        <w:rPr>
                          <w:szCs w:val="24"/>
                        </w:rPr>
                        <w:t>. alternatyva C – centralizuotas tiekimas (centralizuotas geriamojo vandens tiekimas gyvenamajai vietovei);</w:t>
                      </w:r>
                    </w:p>
                  </w:sdtContent>
                </w:sdt>
                <w:sdt>
                  <w:sdtPr>
                    <w:alias w:val="1 pr. 1.4 pp."/>
                    <w:tag w:val="part_3e8dbc69ffc247c58c0caed24a70dc84"/>
                    <w:lock w:val="sdtLocked"/>
                    <w:richText/>
                  </w:sdtPr>
                  <w:sdtContent>
                    <w:p>
                      <w:pPr>
                        <w:ind w:firstLine="720"/>
                        <w:jc w:val="both"/>
                        <w:rPr>
                          <w:szCs w:val="24"/>
                        </w:rPr>
                      </w:pPr>
                      <w:sdt>
                        <w:sdtPr>
                          <w:alias w:val="Numeris"/>
                          <w:tag w:val="nr_3e8dbc69ffc247c58c0caed24a70dc84"/>
                          <w:lock w:val="sdtLocked"/>
                          <w:richText/>
                        </w:sdtPr>
                        <w:sdtContent>
                          <w:r>
                            <w:rPr>
                              <w:szCs w:val="24"/>
                            </w:rPr>
                            <w:t>1.4</w:t>
                          </w:r>
                        </w:sdtContent>
                      </w:sdt>
                      <w:r>
                        <w:rPr>
                          <w:szCs w:val="24"/>
                        </w:rPr>
                        <w:t>. alternatyva D – vandenviečių, požeminio vandens gręžinių skaičiaus sumažinimas (kai gyvenamoji vietovė turi dvi ar kelias vandenvietes ir (ar) požeminio vandens gręžinius, įvertinamas vandenviečių, požeminio vandens gręžinių skaičiaus sumažinimas);</w:t>
                      </w:r>
                    </w:p>
                  </w:sdtContent>
                </w:sdt>
                <w:sdt>
                  <w:sdtPr>
                    <w:alias w:val="1 pr. 1.5 pp."/>
                    <w:tag w:val="part_2ce2f1198b6a4af7a1710762f3624d39"/>
                    <w:lock w:val="sdtLocked"/>
                    <w:richText/>
                  </w:sdtPr>
                  <w:sdtContent>
                    <w:p>
                      <w:pPr>
                        <w:ind w:firstLine="720"/>
                        <w:jc w:val="both"/>
                        <w:rPr>
                          <w:szCs w:val="24"/>
                        </w:rPr>
                      </w:pPr>
                      <w:sdt>
                        <w:sdtPr>
                          <w:alias w:val="Numeris"/>
                          <w:tag w:val="nr_2ce2f1198b6a4af7a1710762f3624d39"/>
                          <w:lock w:val="sdtLocked"/>
                          <w:richText/>
                        </w:sdtPr>
                        <w:sdtContent>
                          <w:r>
                            <w:rPr>
                              <w:szCs w:val="24"/>
                            </w:rPr>
                            <w:t>1.5</w:t>
                          </w:r>
                        </w:sdtContent>
                      </w:sdt>
                      <w:r>
                        <w:rPr>
                          <w:szCs w:val="24"/>
                        </w:rPr>
                        <w:t xml:space="preserve">. alternatyva E – prisijungimas prie didesnės gyvenamosios vietovės (geriamojo vandens tiekimo teritorijos formavimas numatant prijungti gyvenamąją vietovę prie didesnės gyvenamosios vietovės geriamojo vandens tiekimo infrastruktūros). Įvertinamas infrastruktūros, prie kurios jungiama, pajėgumas (vamzdynų pralaidumas, siurblinių, vandens gerinimo įrenginių ir vandenviečių pajėgumas). </w:t>
                      </w:r>
                    </w:p>
                  </w:sdtContent>
                </w:sdt>
              </w:sdtContent>
            </w:sdt>
            <w:sdt>
              <w:sdtPr>
                <w:alias w:val="1 pr. 2 p."/>
                <w:tag w:val="part_2125e18adf2c40a0a825d4bbb98982da"/>
                <w:lock w:val="sdtLocked"/>
                <w:richText/>
              </w:sdtPr>
              <w:sdtContent>
                <w:p>
                  <w:pPr>
                    <w:ind w:firstLine="720"/>
                    <w:jc w:val="both"/>
                    <w:rPr>
                      <w:szCs w:val="24"/>
                    </w:rPr>
                  </w:pPr>
                  <w:sdt>
                    <w:sdtPr>
                      <w:alias w:val="Numeris"/>
                      <w:tag w:val="nr_2125e18adf2c40a0a825d4bbb98982da"/>
                      <w:lock w:val="sdtLocked"/>
                      <w:richText/>
                    </w:sdtPr>
                    <w:sdtContent>
                      <w:r>
                        <w:rPr>
                          <w:szCs w:val="24"/>
                        </w:rPr>
                        <w:t>2</w:t>
                      </w:r>
                    </w:sdtContent>
                  </w:sdt>
                  <w:r>
                    <w:rPr>
                      <w:szCs w:val="24"/>
                    </w:rPr>
                    <w:t>. Kai gyvenamoje vietovėje nėra geriamojo vandens tiekimo infrastruktūros, numatoma šią infrastruktūrą statyti.</w:t>
                  </w:r>
                </w:p>
              </w:sdtContent>
            </w:sdt>
            <w:sdt>
              <w:sdtPr>
                <w:alias w:val="1 pr. 3 p."/>
                <w:tag w:val="part_30a126e5d1f249f09ed740b871fcc859"/>
                <w:lock w:val="sdtLocked"/>
                <w:richText/>
              </w:sdtPr>
              <w:sdtContent>
                <w:p>
                  <w:pPr>
                    <w:ind w:firstLine="720"/>
                    <w:jc w:val="both"/>
                    <w:rPr>
                      <w:szCs w:val="24"/>
                    </w:rPr>
                  </w:pPr>
                  <w:sdt>
                    <w:sdtPr>
                      <w:alias w:val="Numeris"/>
                      <w:tag w:val="nr_30a126e5d1f249f09ed740b871fcc859"/>
                      <w:lock w:val="sdtLocked"/>
                      <w:richText/>
                    </w:sdtPr>
                    <w:sdtContent>
                      <w:r>
                        <w:rPr>
                          <w:szCs w:val="24"/>
                        </w:rPr>
                        <w:t>3</w:t>
                      </w:r>
                    </w:sdtContent>
                  </w:sdt>
                  <w:r>
                    <w:rPr>
                      <w:szCs w:val="24"/>
                    </w:rPr>
                    <w:t>. Kai gyvenamojoje vietovėje esamos geriamojo vandens tiekimo infrastruktūros pajėgumas nepakankamas ir (arba) neužtikrinamas saugos ir kokybės reikalavimus atitinkantis geriamojo vandens tiekimas, numatoma rekonstruoti geriamojo vandens tiekimo infrastruktūrą ir (arba) įrengti geriamojo vandens gerinimo įrenginių.</w:t>
                  </w:r>
                </w:p>
                <w:p>
                  <w:pPr>
                    <w:rPr>
                      <w:b/>
                    </w:rPr>
                  </w:pPr>
                </w:p>
              </w:sdtContent>
            </w:sdt>
          </w:sdtContent>
        </w:sdt>
        <w:sdt>
          <w:sdtPr>
            <w:alias w:val="skyrius"/>
            <w:tag w:val="part_6c96f9aba2854ae9b58af50698b230c9"/>
            <w:lock w:val="sdtLocked"/>
            <w:richText/>
          </w:sdtPr>
          <w:sdtContent>
            <w:p>
              <w:pPr>
                <w:jc w:val="center"/>
                <w:rPr>
                  <w:b/>
                </w:rPr>
              </w:pPr>
              <w:sdt>
                <w:sdtPr>
                  <w:alias w:val="Numeris"/>
                  <w:tag w:val="nr_6c96f9aba2854ae9b58af50698b230c9"/>
                  <w:lock w:val="sdtLocked"/>
                  <w:richText/>
                </w:sdtPr>
                <w:sdtContent>
                  <w:r>
                    <w:rPr>
                      <w:b/>
                    </w:rPr>
                    <w:t>II</w:t>
                  </w:r>
                </w:sdtContent>
              </w:sdt>
              <w:r>
                <w:rPr>
                  <w:b/>
                </w:rPr>
                <w:t xml:space="preserve"> SKYRIUS</w:t>
              </w:r>
            </w:p>
            <w:p>
              <w:pPr>
                <w:jc w:val="center"/>
                <w:rPr>
                  <w:b/>
                </w:rPr>
              </w:pPr>
              <w:sdt>
                <w:sdtPr>
                  <w:alias w:val="Pavadinimas"/>
                  <w:tag w:val="title_6c96f9aba2854ae9b58af50698b230c9"/>
                  <w:lock w:val="sdtLocked"/>
                  <w:richText/>
                </w:sdtPr>
                <w:sdtContent>
                  <w:r>
                    <w:rPr>
                      <w:b/>
                    </w:rPr>
                    <w:t>GERIAMOJO VANDENS TIEKIMO INFRASTRUKTŪROS PLĖTROS ALTERNATYVŲ SCHEMOS</w:t>
                  </w:r>
                </w:sdtContent>
              </w:sdt>
            </w:p>
            <w:p>
              <w:pPr>
                <w:jc w:val="center"/>
                <w:rPr>
                  <w:b/>
                </w:rPr>
              </w:pPr>
            </w:p>
            <w:p>
              <w:pPr>
                <w:jc w:val="center"/>
              </w:pPr>
              <w:r>
                <w:rPr>
                  <w:lang w:eastAsia="lt-LT"/>
                </w:rPr>
                <w:drawing>
                  <wp:inline distT="0" distB="0" distL="0" distR="0">
                    <wp:extent cx="5762180" cy="216154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4311" cy="2162339"/>
                            </a:xfrm>
                            <a:prstGeom prst="rect">
                              <a:avLst/>
                            </a:prstGeom>
                            <a:noFill/>
                            <a:ln>
                              <a:noFill/>
                            </a:ln>
                          </pic:spPr>
                        </pic:pic>
                      </a:graphicData>
                    </a:graphic>
                  </wp:inline>
                </w:drawing>
              </w:r>
            </w:p>
            <w:p>
              <w:pPr>
                <w:jc w:val="center"/>
              </w:pPr>
              <w:r>
                <w:rPr>
                  <w:lang w:eastAsia="lt-LT"/>
                </w:rPr>
                <w:drawing>
                  <wp:inline distT="0" distB="0" distL="0" distR="0">
                    <wp:extent cx="4845050" cy="457835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45050" cy="4578350"/>
                            </a:xfrm>
                            <a:prstGeom prst="rect">
                              <a:avLst/>
                            </a:prstGeom>
                            <a:noFill/>
                            <a:ln>
                              <a:noFill/>
                            </a:ln>
                          </pic:spPr>
                        </pic:pic>
                      </a:graphicData>
                    </a:graphic>
                  </wp:inline>
                </w:drawing>
              </w:r>
            </w:p>
            <w:p>
              <w:pPr>
                <w:jc w:val="center"/>
                <w:rPr>
                  <w:b/>
                </w:rPr>
              </w:pPr>
            </w:p>
            <w:p>
              <w:pPr>
                <w:jc w:val="center"/>
                <w:rPr>
                  <w:b/>
                </w:rPr>
              </w:pPr>
              <w:r>
                <w:rPr>
                  <w:lang w:eastAsia="lt-LT"/>
                </w:rPr>
                <w:drawing>
                  <wp:inline distT="0" distB="0" distL="0" distR="0">
                    <wp:extent cx="5874385" cy="2484120"/>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03131" cy="2496276"/>
                            </a:xfrm>
                            <a:prstGeom prst="rect">
                              <a:avLst/>
                            </a:prstGeom>
                            <a:noFill/>
                            <a:ln>
                              <a:noFill/>
                            </a:ln>
                          </pic:spPr>
                        </pic:pic>
                      </a:graphicData>
                    </a:graphic>
                  </wp:inline>
                </w:drawing>
              </w:r>
            </w:p>
            <w:p>
              <w:pPr>
                <w:jc w:val="center"/>
                <w:rPr>
                  <w:b/>
                </w:rPr>
              </w:pPr>
            </w:p>
          </w:sdtContent>
        </w:sdt>
        <w:sdt>
          <w:sdtPr>
            <w:alias w:val="skyrius"/>
            <w:tag w:val="part_66b987147fae4585ab95df3b9d21dc3f"/>
            <w:lock w:val="sdtLocked"/>
            <w:richText/>
          </w:sdtPr>
          <w:sdtContent>
            <w:p>
              <w:pPr>
                <w:jc w:val="center"/>
                <w:rPr>
                  <w:b/>
                </w:rPr>
              </w:pPr>
              <w:sdt>
                <w:sdtPr>
                  <w:alias w:val="Numeris"/>
                  <w:tag w:val="nr_66b987147fae4585ab95df3b9d21dc3f"/>
                  <w:lock w:val="sdtLocked"/>
                  <w:richText/>
                </w:sdtPr>
                <w:sdtContent>
                  <w:r>
                    <w:rPr>
                      <w:b/>
                    </w:rPr>
                    <w:t>III</w:t>
                  </w:r>
                </w:sdtContent>
              </w:sdt>
              <w:r>
                <w:rPr>
                  <w:b/>
                </w:rPr>
                <w:t xml:space="preserve"> SKYRIUS</w:t>
              </w:r>
            </w:p>
            <w:p>
              <w:pPr>
                <w:jc w:val="center"/>
                <w:rPr>
                  <w:b/>
                  <w:caps/>
                  <w:sz w:val="22"/>
                  <w:szCs w:val="22"/>
                </w:rPr>
              </w:pPr>
              <w:sdt>
                <w:sdtPr>
                  <w:alias w:val="Pavadinimas"/>
                  <w:tag w:val="title_66b987147fae4585ab95df3b9d21dc3f"/>
                  <w:lock w:val="sdtLocked"/>
                  <w:richText/>
                </w:sdtPr>
                <w:sdtContent>
                  <w:r>
                    <w:rPr>
                      <w:b/>
                      <w:caps/>
                      <w:sz w:val="22"/>
                      <w:szCs w:val="22"/>
                    </w:rPr>
                    <w:t>Nuotekų tvarkymo infrastruktūros plėtra</w:t>
                  </w:r>
                </w:sdtContent>
              </w:sdt>
            </w:p>
            <w:p>
              <w:pPr>
                <w:jc w:val="both"/>
                <w:rPr>
                  <w:b/>
                  <w:caps/>
                  <w:sz w:val="22"/>
                  <w:szCs w:val="22"/>
                </w:rPr>
              </w:pPr>
            </w:p>
            <w:sdt>
              <w:sdtPr>
                <w:alias w:val="1 pr. 4 p."/>
                <w:tag w:val="part_20d56c4087e140788d81772d560bd076"/>
                <w:lock w:val="sdtLocked"/>
                <w:richText/>
              </w:sdtPr>
              <w:sdtContent>
                <w:p>
                  <w:pPr>
                    <w:ind w:firstLine="720"/>
                    <w:jc w:val="both"/>
                    <w:rPr>
                      <w:rFonts w:eastAsia="Calibri"/>
                      <w:szCs w:val="24"/>
                    </w:rPr>
                  </w:pPr>
                  <w:sdt>
                    <w:sdtPr>
                      <w:alias w:val="Numeris"/>
                      <w:tag w:val="nr_20d56c4087e140788d81772d560bd076"/>
                      <w:lock w:val="sdtLocked"/>
                      <w:richText/>
                    </w:sdtPr>
                    <w:sdtContent>
                      <w:r>
                        <w:rPr>
                          <w:rFonts w:eastAsia="Calibri"/>
                          <w:szCs w:val="24"/>
                        </w:rPr>
                        <w:t>4</w:t>
                      </w:r>
                    </w:sdtContent>
                  </w:sdt>
                  <w:r>
                    <w:rPr>
                      <w:rFonts w:eastAsia="Calibri"/>
                      <w:szCs w:val="24"/>
                    </w:rPr>
                    <w:t>. Planuojant nuotekų tvarkymo infrastruktūros plėtrą savivaldybės teritorijoje, turi būti išnagrinėtos ir palygintos šios alternatyvos:</w:t>
                  </w:r>
                </w:p>
                <w:sdt>
                  <w:sdtPr>
                    <w:alias w:val="1 pr. 4.1 pp."/>
                    <w:tag w:val="part_173f1612a08c404697a0aa2fb3c77265"/>
                    <w:lock w:val="sdtLocked"/>
                    <w:richText/>
                  </w:sdtPr>
                  <w:sdtContent>
                    <w:p>
                      <w:pPr>
                        <w:tabs>
                          <w:tab w:val="left" w:pos="426"/>
                        </w:tabs>
                        <w:ind w:firstLine="720"/>
                        <w:jc w:val="both"/>
                      </w:pPr>
                      <w:sdt>
                        <w:sdtPr>
                          <w:alias w:val="Numeris"/>
                          <w:tag w:val="nr_173f1612a08c404697a0aa2fb3c77265"/>
                          <w:lock w:val="sdtLocked"/>
                          <w:richText/>
                        </w:sdtPr>
                        <w:sdtContent>
                          <w:r>
                            <w:t>4.1</w:t>
                          </w:r>
                        </w:sdtContent>
                      </w:sdt>
                      <w:r>
                        <w:t>. alternatyva A – grupinė nuotekų tvarkymo sistema (nagrinėjant šią alternatyvą, numatoma, kad gyvenamosios vietovės nuotekos būtų tvarkomos dviejose ar keliose nuotekų valyklose);</w:t>
                      </w:r>
                    </w:p>
                  </w:sdtContent>
                </w:sdt>
                <w:sdt>
                  <w:sdtPr>
                    <w:alias w:val="1 pr. 4.2 pp."/>
                    <w:tag w:val="part_05a37be8f17347c9bcdf3d5962222ba1"/>
                    <w:lock w:val="sdtLocked"/>
                    <w:richText/>
                  </w:sdtPr>
                  <w:sdtContent>
                    <w:p>
                      <w:pPr>
                        <w:ind w:firstLine="720"/>
                        <w:jc w:val="both"/>
                        <w:rPr>
                          <w:szCs w:val="24"/>
                        </w:rPr>
                      </w:pPr>
                      <w:sdt>
                        <w:sdtPr>
                          <w:alias w:val="Numeris"/>
                          <w:tag w:val="nr_05a37be8f17347c9bcdf3d5962222ba1"/>
                          <w:lock w:val="sdtLocked"/>
                          <w:richText/>
                        </w:sdtPr>
                        <w:sdtContent>
                          <w:r>
                            <w:t>4.2</w:t>
                          </w:r>
                        </w:sdtContent>
                      </w:sdt>
                      <w:r>
                        <w:t xml:space="preserve">. alternatyva B – mažesnių gyvenamųjų vietovių prijungimas (suformuojama nuotekų tvarkymo teritorija numatant, kad į gyvenamosios vietovės nuotekų valyklą būtų transportuojamos vienos ar kelių aplinkinių mažesnių gyvenamųjų vietovių (esančių ne toliau kaip už 5 km) nuotekos); </w:t>
                      </w:r>
                      <w:r>
                        <w:rPr>
                          <w:szCs w:val="24"/>
                        </w:rPr>
                        <w:t xml:space="preserve">Įvertinamas infrastruktūros, prie kurios jungiama, pajėgumas (vamzdynų pralaidumas, siurblinių, nuotekų valyklos pajėgumas). </w:t>
                      </w:r>
                    </w:p>
                  </w:sdtContent>
                </w:sdt>
                <w:sdt>
                  <w:sdtPr>
                    <w:alias w:val="1 pr. 4.3 pp."/>
                    <w:tag w:val="part_75fd3e77ca9a42a5b9b6e34ef355028d"/>
                    <w:lock w:val="sdtLocked"/>
                    <w:richText/>
                  </w:sdtPr>
                  <w:sdtContent>
                    <w:p>
                      <w:pPr>
                        <w:ind w:firstLine="720"/>
                        <w:jc w:val="both"/>
                      </w:pPr>
                      <w:sdt>
                        <w:sdtPr>
                          <w:alias w:val="Numeris"/>
                          <w:tag w:val="nr_75fd3e77ca9a42a5b9b6e34ef355028d"/>
                          <w:lock w:val="sdtLocked"/>
                          <w:richText/>
                        </w:sdtPr>
                        <w:sdtContent>
                          <w:r>
                            <w:t>4.3</w:t>
                          </w:r>
                        </w:sdtContent>
                      </w:sdt>
                      <w:r>
                        <w:t>. alternatyva C – centralizuotas nuotakynas (numatoma gyvenamosios vietovės nuotekas tvarkyti vienoje nuotekų valykloje);</w:t>
                      </w:r>
                    </w:p>
                  </w:sdtContent>
                </w:sdt>
                <w:sdt>
                  <w:sdtPr>
                    <w:alias w:val="1 pr. 4.4 pp."/>
                    <w:tag w:val="part_b2f6dca224c14276bcada70173e731cf"/>
                    <w:lock w:val="sdtLocked"/>
                    <w:richText/>
                  </w:sdtPr>
                  <w:sdtContent>
                    <w:p>
                      <w:pPr>
                        <w:ind w:firstLine="720"/>
                        <w:jc w:val="both"/>
                        <w:rPr>
                          <w:szCs w:val="24"/>
                        </w:rPr>
                      </w:pPr>
                      <w:sdt>
                        <w:sdtPr>
                          <w:alias w:val="Numeris"/>
                          <w:tag w:val="nr_b2f6dca224c14276bcada70173e731cf"/>
                          <w:lock w:val="sdtLocked"/>
                          <w:richText/>
                        </w:sdtPr>
                        <w:sdtContent>
                          <w:r>
                            <w:t>4.4</w:t>
                          </w:r>
                        </w:sdtContent>
                      </w:sdt>
                      <w:r>
                        <w:t>. alternatyva D – prisijungimas prie didesnės gyvenamosios vietovės (suformuojama nuotekų tvarkymo teritorija numatant kelių gyvenamųjų vietovių nuotekas transportuoti į didesnės gyvenamosios vietovės nuotekų valyklą).</w:t>
                      </w:r>
                      <w:r>
                        <w:rPr>
                          <w:szCs w:val="24"/>
                        </w:rPr>
                        <w:t xml:space="preserve"> Įvertinamas infrastruktūros, prie kurios jungiama, pajėgumas (vamzdynų pralaidumas, siurblinių, nuotekų valyklos pajėgumas). </w:t>
                      </w:r>
                    </w:p>
                  </w:sdtContent>
                </w:sdt>
              </w:sdtContent>
            </w:sdt>
            <w:sdt>
              <w:sdtPr>
                <w:alias w:val="1 pr. 5 p."/>
                <w:tag w:val="part_ca225182f2d1489989c3e4caa5acb4aa"/>
                <w:lock w:val="sdtLocked"/>
                <w:richText/>
              </w:sdtPr>
              <w:sdtContent>
                <w:p>
                  <w:pPr>
                    <w:ind w:firstLine="720"/>
                    <w:jc w:val="both"/>
                  </w:pPr>
                  <w:sdt>
                    <w:sdtPr>
                      <w:alias w:val="Numeris"/>
                      <w:tag w:val="nr_ca225182f2d1489989c3e4caa5acb4aa"/>
                      <w:lock w:val="sdtLocked"/>
                      <w:richText/>
                    </w:sdtPr>
                    <w:sdtContent>
                      <w:r>
                        <w:t>5</w:t>
                      </w:r>
                    </w:sdtContent>
                  </w:sdt>
                  <w:r>
                    <w:t>. Kai gyvenamojoje vietovėje nėra nuotekų tvarkymo infrastruktūros, numatoma šią infrastruktūrą statyti.</w:t>
                  </w:r>
                </w:p>
              </w:sdtContent>
            </w:sdt>
            <w:sdt>
              <w:sdtPr>
                <w:alias w:val="1 pr. 6 p."/>
                <w:tag w:val="part_38ecee2f72cf47bab77f205bb4667898"/>
                <w:lock w:val="sdtLocked"/>
                <w:richText/>
              </w:sdtPr>
              <w:sdtContent>
                <w:p>
                  <w:pPr>
                    <w:ind w:firstLine="720"/>
                    <w:jc w:val="both"/>
                  </w:pPr>
                  <w:sdt>
                    <w:sdtPr>
                      <w:alias w:val="Numeris"/>
                      <w:tag w:val="nr_38ecee2f72cf47bab77f205bb4667898"/>
                      <w:lock w:val="sdtLocked"/>
                      <w:richText/>
                    </w:sdtPr>
                    <w:sdtContent>
                      <w:r>
                        <w:t>6</w:t>
                      </w:r>
                    </w:sdtContent>
                  </w:sdt>
                  <w:r>
                    <w:t>. Kai gyvenamojoje vietovėje esama nuotekų valykla yra visiškai susidėvėjusi ir netinkama rekonstruoti, numatoma ją nugriauti ir statyti nuotekų valyklas.</w:t>
                  </w:r>
                </w:p>
              </w:sdtContent>
            </w:sdt>
            <w:sdt>
              <w:sdtPr>
                <w:alias w:val="1 pr. 7 p."/>
                <w:tag w:val="part_1f0e2092b4d7486ab439d54c06f6bc5a"/>
                <w:lock w:val="sdtLocked"/>
                <w:richText/>
              </w:sdtPr>
              <w:sdtContent>
                <w:p>
                  <w:pPr>
                    <w:ind w:firstLine="720"/>
                    <w:jc w:val="both"/>
                    <w:rPr>
                      <w:caps/>
                    </w:rPr>
                  </w:pPr>
                  <w:sdt>
                    <w:sdtPr>
                      <w:alias w:val="Numeris"/>
                      <w:tag w:val="nr_1f0e2092b4d7486ab439d54c06f6bc5a"/>
                      <w:lock w:val="sdtLocked"/>
                      <w:richText/>
                    </w:sdtPr>
                    <w:sdtContent>
                      <w:r>
                        <w:rPr>
                          <w:caps/>
                        </w:rPr>
                        <w:t>7</w:t>
                      </w:r>
                    </w:sdtContent>
                  </w:sdt>
                  <w:r>
                    <w:rPr>
                      <w:caps/>
                    </w:rPr>
                    <w:t xml:space="preserve">. </w:t>
                  </w:r>
                  <w:r>
                    <w:t>Kai gyvenamojoje vietovėje esama nuotekų valykla yra nepakankamo pajėgumo, numatoma ją rekonstruoti.</w:t>
                  </w:r>
                </w:p>
                <w:p>
                  <w:pPr>
                    <w:jc w:val="center"/>
                    <w:rPr>
                      <w:b/>
                    </w:rPr>
                  </w:pPr>
                </w:p>
                <w:p>
                  <w:pPr>
                    <w:rPr>
                      <w:b/>
                    </w:rPr>
                  </w:pPr>
                </w:p>
              </w:sdtContent>
            </w:sdt>
          </w:sdtContent>
        </w:sdt>
        <w:sdt>
          <w:sdtPr>
            <w:alias w:val="skyrius"/>
            <w:tag w:val="part_6b71801b3e1c4eada5f376164cbb6354"/>
            <w:lock w:val="sdtLocked"/>
            <w:richText/>
          </w:sdtPr>
          <w:sdtContent>
            <w:p>
              <w:pPr>
                <w:jc w:val="center"/>
                <w:rPr>
                  <w:b/>
                </w:rPr>
              </w:pPr>
              <w:sdt>
                <w:sdtPr>
                  <w:alias w:val="Numeris"/>
                  <w:tag w:val="nr_6b71801b3e1c4eada5f376164cbb6354"/>
                  <w:lock w:val="sdtLocked"/>
                  <w:richText/>
                </w:sdtPr>
                <w:sdtContent>
                  <w:r>
                    <w:rPr>
                      <w:b/>
                    </w:rPr>
                    <w:t>IV</w:t>
                  </w:r>
                </w:sdtContent>
              </w:sdt>
              <w:r>
                <w:rPr>
                  <w:b/>
                </w:rPr>
                <w:t xml:space="preserve"> SKYRIUS</w:t>
              </w:r>
            </w:p>
            <w:p>
              <w:pPr>
                <w:jc w:val="center"/>
                <w:rPr>
                  <w:b/>
                </w:rPr>
              </w:pPr>
              <w:sdt>
                <w:sdtPr>
                  <w:alias w:val="Pavadinimas"/>
                  <w:tag w:val="title_6b71801b3e1c4eada5f376164cbb6354"/>
                  <w:lock w:val="sdtLocked"/>
                  <w:richText/>
                </w:sdtPr>
                <w:sdtContent>
                  <w:r>
                    <w:rPr>
                      <w:b/>
                    </w:rPr>
                    <w:t>NUOTEKŲ TVARKYMO INFRASTRUKTŪROS PLĖTROS ALTERNATYVŲ SCHEMOS</w:t>
                  </w:r>
                </w:sdtContent>
              </w:sdt>
            </w:p>
            <w:p/>
            <w:p>
              <w:pPr>
                <w:jc w:val="center"/>
              </w:pPr>
              <w:r>
                <w:rPr>
                  <w:lang w:eastAsia="lt-LT"/>
                </w:rPr>
                <w:drawing>
                  <wp:inline distT="0" distB="0" distL="0" distR="0">
                    <wp:extent cx="4191000" cy="3759200"/>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91000" cy="3759200"/>
                            </a:xfrm>
                            <a:prstGeom prst="rect">
                              <a:avLst/>
                            </a:prstGeom>
                            <a:noFill/>
                            <a:ln>
                              <a:noFill/>
                            </a:ln>
                          </pic:spPr>
                        </pic:pic>
                      </a:graphicData>
                    </a:graphic>
                  </wp:inline>
                </w:drawing>
              </w:r>
            </w:p>
            <w:p>
              <w:pPr>
                <w:rPr>
                  <w:rFonts w:ascii="Arial Narrow" w:hAnsi="Arial Narrow"/>
                  <w:b/>
                  <w:sz w:val="20"/>
                </w:rPr>
              </w:pPr>
            </w:p>
            <w:p>
              <w:pPr>
                <w:jc w:val="center"/>
                <w:rPr>
                  <w:rFonts w:ascii="Arial Narrow" w:hAnsi="Arial Narrow"/>
                  <w:b/>
                  <w:sz w:val="20"/>
                </w:rPr>
              </w:pPr>
              <w:r>
                <w:rPr>
                  <w:lang w:eastAsia="lt-LT"/>
                </w:rPr>
                <w:drawing>
                  <wp:inline distT="0" distB="0" distL="0" distR="0">
                    <wp:extent cx="4711700" cy="3270250"/>
                    <wp:effectExtent l="0" t="0" r="0" b="635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11700" cy="3270250"/>
                            </a:xfrm>
                            <a:prstGeom prst="rect">
                              <a:avLst/>
                            </a:prstGeom>
                            <a:noFill/>
                            <a:ln>
                              <a:noFill/>
                            </a:ln>
                          </pic:spPr>
                        </pic:pic>
                      </a:graphicData>
                    </a:graphic>
                  </wp:inline>
                </w:drawing>
              </w:r>
            </w:p>
            <w:p>
              <w:pPr>
                <w:jc w:val="center"/>
                <w:rPr>
                  <w:szCs w:val="24"/>
                </w:rPr>
              </w:pPr>
              <w:r>
                <w:rPr>
                  <w:lang w:eastAsia="lt-LT"/>
                </w:rPr>
                <w:drawing>
                  <wp:inline distT="0" distB="0" distL="0" distR="0">
                    <wp:extent cx="6057900" cy="2628900"/>
                    <wp:effectExtent l="0" t="0" r="0"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57900" cy="2628900"/>
                            </a:xfrm>
                            <a:prstGeom prst="rect">
                              <a:avLst/>
                            </a:prstGeom>
                            <a:noFill/>
                            <a:ln>
                              <a:noFill/>
                            </a:ln>
                          </pic:spPr>
                        </pic:pic>
                      </a:graphicData>
                    </a:graphic>
                  </wp:inline>
                </w:drawing>
              </w:r>
            </w:p>
            <w:p>
              <w:pPr>
                <w:rPr>
                  <w:b/>
                  <w:caps/>
                  <w:sz w:val="22"/>
                  <w:szCs w:val="22"/>
                </w:rPr>
              </w:pPr>
            </w:p>
          </w:sdtContent>
        </w:sdt>
        <w:sdt>
          <w:sdtPr>
            <w:alias w:val="pabaiga"/>
            <w:tag w:val="part_a75f9c26e3164ed58c99cbeffb06269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_____________</w:t>
              </w:r>
            </w:p>
            <w:p>
              <w:pPr>
                <w:tabs>
                  <w:tab w:val="center" w:pos="4819"/>
                  <w:tab w:val="right" w:pos="9638"/>
                </w:tabs>
              </w:pPr>
            </w:p>
          </w:sdtContent>
        </w:sdt>
      </w:sdtContent>
    </w:sdt>
    <w:sdt>
      <w:sdtPr>
        <w:alias w:val="2 pr."/>
        <w:tag w:val="part_0b8ec4fa50cb426ca6e1c43adfd33977"/>
        <w:lock w:val="sdtLocked"/>
        <w:richText/>
      </w:sdtPr>
      <w:sdtContent>
        <w:p>
          <w:pPr>
            <w:ind w:left="5529" w:firstLine="425"/>
            <w:sectPr>
              <w:headerReference w:type="even" r:id="rId27"/>
              <w:headerReference w:type="default" r:id="rId28"/>
              <w:footerReference w:type="even" r:id="rId29"/>
              <w:footerReference w:type="default" r:id="rId30"/>
              <w:headerReference w:type="first" r:id="rId31"/>
              <w:footerReference w:type="first" r:id="rId32"/>
              <w:pgSz w:w="11907" w:h="16839" w:code="9"/>
              <w:pgMar w:top="1134" w:right="567" w:bottom="1134" w:left="1701" w:header="709" w:footer="709" w:gutter="0"/>
              <w:pgNumType w:start="1"/>
              <w:cols w:space="708"/>
              <w:titlePg/>
              <w:docGrid w:linePitch="326"/>
            </w:sectPr>
          </w:pPr>
        </w:p>
        <w:p>
          <w:pPr>
            <w:ind w:firstLine="5273"/>
            <w:rPr>
              <w:szCs w:val="24"/>
            </w:rPr>
          </w:pPr>
          <w:r>
            <w:rPr>
              <w:szCs w:val="24"/>
            </w:rPr>
            <w:t>Geriamojo vandens tiekimo ir</w:t>
          </w:r>
        </w:p>
        <w:p>
          <w:pPr>
            <w:ind w:firstLine="5273"/>
            <w:rPr>
              <w:szCs w:val="24"/>
            </w:rPr>
          </w:pPr>
          <w:r>
            <w:rPr>
              <w:szCs w:val="24"/>
            </w:rPr>
            <w:t>nuotekų tvarkymo</w:t>
          </w:r>
        </w:p>
        <w:p>
          <w:pPr>
            <w:ind w:firstLine="5273"/>
            <w:rPr>
              <w:szCs w:val="24"/>
            </w:rPr>
          </w:pPr>
          <w:r>
            <w:rPr>
              <w:szCs w:val="24"/>
            </w:rPr>
            <w:t>infrastruktūros plėtros planų</w:t>
          </w:r>
        </w:p>
        <w:p>
          <w:pPr>
            <w:ind w:firstLine="5273"/>
            <w:rPr>
              <w:szCs w:val="24"/>
            </w:rPr>
          </w:pPr>
          <w:r>
            <w:rPr>
              <w:szCs w:val="24"/>
            </w:rPr>
            <w:t>rengimo taisyklių</w:t>
          </w:r>
        </w:p>
        <w:p>
          <w:pPr>
            <w:ind w:firstLine="5273"/>
            <w:rPr>
              <w:szCs w:val="24"/>
            </w:rPr>
          </w:pPr>
          <w:sdt>
            <w:sdtPr>
              <w:alias w:val="Numeris"/>
              <w:tag w:val="nr_0b8ec4fa50cb426ca6e1c43adfd33977"/>
              <w:lock w:val="sdtLocked"/>
              <w:richText/>
            </w:sdtPr>
            <w:sdtContent>
              <w:r>
                <w:rPr>
                  <w:szCs w:val="24"/>
                </w:rPr>
                <w:t>2</w:t>
              </w:r>
            </w:sdtContent>
          </w:sdt>
          <w:r>
            <w:rPr>
              <w:szCs w:val="24"/>
            </w:rPr>
            <w:t xml:space="preserve"> priedas </w:t>
          </w:r>
        </w:p>
        <w:p>
          <w:pPr>
            <w:ind w:firstLine="567"/>
            <w:jc w:val="center"/>
            <w:rPr>
              <w:b/>
              <w:sz w:val="28"/>
              <w:szCs w:val="24"/>
            </w:rPr>
          </w:pPr>
        </w:p>
        <w:p>
          <w:pPr>
            <w:jc w:val="center"/>
            <w:rPr>
              <w:b/>
              <w:szCs w:val="24"/>
            </w:rPr>
          </w:pPr>
          <w:sdt>
            <w:sdtPr>
              <w:alias w:val="Pavadinimas"/>
              <w:tag w:val="title_0b8ec4fa50cb426ca6e1c43adfd33977"/>
              <w:lock w:val="sdtLocked"/>
              <w:richText/>
            </w:sdtPr>
            <w:sdtContent>
              <w:r>
                <w:rPr>
                  <w:b/>
                  <w:szCs w:val="24"/>
                </w:rPr>
                <w:t>AGLOMERACIJŲ RIBŲ NUSTATYMO METODIKA</w:t>
              </w:r>
            </w:sdtContent>
          </w:sdt>
        </w:p>
        <w:p>
          <w:pPr>
            <w:jc w:val="center"/>
            <w:rPr>
              <w:b/>
              <w:szCs w:val="24"/>
            </w:rPr>
          </w:pPr>
        </w:p>
        <w:sdt>
          <w:sdtPr>
            <w:alias w:val="2 pr. 1 p."/>
            <w:tag w:val="part_3f873e34f0e14025990a0282c009e6b0"/>
            <w:lock w:val="sdtLocked"/>
            <w:richText/>
          </w:sdtPr>
          <w:sdtContent>
            <w:p>
              <w:pPr>
                <w:tabs>
                  <w:tab w:val="left" w:pos="851"/>
                </w:tabs>
                <w:ind w:firstLine="567"/>
                <w:jc w:val="both"/>
                <w:rPr>
                  <w:szCs w:val="24"/>
                </w:rPr>
              </w:pPr>
              <w:sdt>
                <w:sdtPr>
                  <w:alias w:val="Numeris"/>
                  <w:tag w:val="nr_3f873e34f0e14025990a0282c009e6b0"/>
                  <w:lock w:val="sdtLocked"/>
                  <w:richText/>
                </w:sdtPr>
                <w:sdtContent>
                  <w:r>
                    <w:rPr>
                      <w:szCs w:val="24"/>
                    </w:rPr>
                    <w:t>1</w:t>
                  </w:r>
                </w:sdtContent>
              </w:sdt>
              <w:r>
                <w:rPr>
                  <w:szCs w:val="24"/>
                </w:rPr>
                <w:t>.</w:t>
                <w:tab/>
                <w:t>Aglomeracijų ribų nustatymo metodika parengta atsižvelgiant į reikalavimus, nustatytus</w:t>
              </w:r>
              <w:r>
                <w:rPr>
                  <w:color w:val="000000"/>
                </w:rPr>
                <w:t xml:space="preserve"> </w:t>
              </w:r>
              <w:r>
                <w:rPr>
                  <w:szCs w:val="24"/>
                </w:rPr>
                <w:t xml:space="preserve">1991 m. gegužės 21 d. Tarybos direktyvoje 91/271/EEB dėl miesto nuotekų valymo (toliau – Direktyva) su paskutiniais pakeitimais, padarytais 2008 m. spalio 22 d. Europos Parlamento ir Tarybos reglamentu (EB) Nr. 1137/2008  ir detalizuotais Direktyvos aiškinamajame dokumente:</w:t>
              </w:r>
            </w:p>
            <w:sdt>
              <w:sdtPr>
                <w:alias w:val="2 pr. 1.1 pp."/>
                <w:tag w:val="part_c99be26970b840f19661050b1d9da35a"/>
                <w:lock w:val="sdtLocked"/>
                <w:richText/>
              </w:sdtPr>
              <w:sdtContent>
                <w:p>
                  <w:pPr>
                    <w:tabs>
                      <w:tab w:val="left" w:pos="993"/>
                    </w:tabs>
                    <w:ind w:firstLine="567"/>
                    <w:jc w:val="both"/>
                    <w:rPr>
                      <w:rFonts w:eastAsia="Calibri"/>
                      <w:color w:val="000000"/>
                      <w:szCs w:val="24"/>
                    </w:rPr>
                  </w:pPr>
                  <w:sdt>
                    <w:sdtPr>
                      <w:alias w:val="Numeris"/>
                      <w:tag w:val="nr_c99be26970b840f19661050b1d9da35a"/>
                      <w:lock w:val="sdtLocked"/>
                      <w:richText/>
                    </w:sdtPr>
                    <w:sdtContent>
                      <w:r>
                        <w:rPr>
                          <w:rFonts w:eastAsia="Calibri"/>
                          <w:color w:val="000000"/>
                          <w:szCs w:val="24"/>
                        </w:rPr>
                        <w:t>1.1</w:t>
                      </w:r>
                    </w:sdtContent>
                  </w:sdt>
                  <w:r>
                    <w:rPr>
                      <w:rFonts w:eastAsia="Calibri"/>
                      <w:color w:val="000000"/>
                      <w:szCs w:val="24"/>
                    </w:rPr>
                    <w:t>.</w:t>
                    <w:tab/>
                    <w:t>Į aglomeracijos ribas įtraukiamos teritorijos, kuriose jau išplėtotas nuotekų surinkimo infrastruktūra, įskaitant teritorijas, kurių nuotekų surinkimo infrastruktūra prijungta prie aglomeracijos nuotekų surinkimo sistemos.</w:t>
                  </w:r>
                </w:p>
              </w:sdtContent>
            </w:sdt>
            <w:sdt>
              <w:sdtPr>
                <w:alias w:val="2 pr. 1.2 pp."/>
                <w:tag w:val="part_600f7a6a86f844508e690d12b79690ab"/>
                <w:lock w:val="sdtLocked"/>
                <w:richText/>
              </w:sdtPr>
              <w:sdtContent>
                <w:p>
                  <w:pPr>
                    <w:tabs>
                      <w:tab w:val="left" w:pos="993"/>
                    </w:tabs>
                    <w:ind w:firstLine="567"/>
                    <w:jc w:val="both"/>
                    <w:rPr>
                      <w:rFonts w:eastAsia="Calibri"/>
                      <w:color w:val="000000"/>
                      <w:szCs w:val="24"/>
                    </w:rPr>
                  </w:pPr>
                  <w:sdt>
                    <w:sdtPr>
                      <w:alias w:val="Numeris"/>
                      <w:tag w:val="nr_600f7a6a86f844508e690d12b79690ab"/>
                      <w:lock w:val="sdtLocked"/>
                      <w:richText/>
                    </w:sdtPr>
                    <w:sdtContent>
                      <w:r>
                        <w:rPr>
                          <w:rFonts w:eastAsia="Calibri"/>
                          <w:color w:val="000000"/>
                          <w:szCs w:val="24"/>
                        </w:rPr>
                        <w:t>1.2</w:t>
                      </w:r>
                    </w:sdtContent>
                  </w:sdt>
                  <w:r>
                    <w:rPr>
                      <w:rFonts w:eastAsia="Calibri"/>
                      <w:color w:val="000000"/>
                      <w:szCs w:val="24"/>
                    </w:rPr>
                    <w:t>.</w:t>
                    <w:tab/>
                    <w:t>Nustatomos teritorijos, kuriose gyventojų tankis yra pakankamas, tai yra atitinka šio priedo 5 punkte nurodytoje schemoje nustatytus kriterijus.</w:t>
                  </w:r>
                </w:p>
              </w:sdtContent>
            </w:sdt>
            <w:sdt>
              <w:sdtPr>
                <w:alias w:val="2 pr. 1.3 pp."/>
                <w:tag w:val="part_df86f60163ab417bb8eaa965917e6b3b"/>
                <w:lock w:val="sdtLocked"/>
                <w:richText/>
              </w:sdtPr>
              <w:sdtContent>
                <w:p>
                  <w:pPr>
                    <w:tabs>
                      <w:tab w:val="left" w:pos="993"/>
                    </w:tabs>
                    <w:ind w:firstLine="567"/>
                    <w:jc w:val="both"/>
                    <w:rPr>
                      <w:rFonts w:eastAsia="Calibri"/>
                      <w:color w:val="000000"/>
                      <w:szCs w:val="24"/>
                    </w:rPr>
                  </w:pPr>
                  <w:sdt>
                    <w:sdtPr>
                      <w:alias w:val="Numeris"/>
                      <w:tag w:val="nr_df86f60163ab417bb8eaa965917e6b3b"/>
                      <w:lock w:val="sdtLocked"/>
                      <w:richText/>
                    </w:sdtPr>
                    <w:sdtContent>
                      <w:r>
                        <w:rPr>
                          <w:rFonts w:eastAsia="Calibri"/>
                          <w:color w:val="000000"/>
                          <w:szCs w:val="24"/>
                        </w:rPr>
                        <w:t>1.3</w:t>
                      </w:r>
                    </w:sdtContent>
                  </w:sdt>
                  <w:r>
                    <w:rPr>
                      <w:rFonts w:eastAsia="Calibri"/>
                      <w:color w:val="000000"/>
                      <w:szCs w:val="24"/>
                    </w:rPr>
                    <w:t xml:space="preserve">. </w:t>
                    <w:tab/>
                    <w:t xml:space="preserve">Nustatomos urbanizuotos teritorijos – pirma atliekama bazinė analizė, vėliau – detali analizė. </w:t>
                  </w:r>
                </w:p>
              </w:sdtContent>
            </w:sdt>
            <w:sdt>
              <w:sdtPr>
                <w:alias w:val="2 pr. 1.4 pp."/>
                <w:tag w:val="part_3d3e740568e84ab5a86de0596762db85"/>
                <w:lock w:val="sdtLocked"/>
                <w:richText/>
              </w:sdtPr>
              <w:sdtContent>
                <w:p>
                  <w:pPr>
                    <w:tabs>
                      <w:tab w:val="left" w:pos="993"/>
                    </w:tabs>
                    <w:ind w:firstLine="567"/>
                    <w:jc w:val="both"/>
                    <w:rPr>
                      <w:rFonts w:eastAsia="Calibri"/>
                      <w:color w:val="000000"/>
                      <w:szCs w:val="24"/>
                    </w:rPr>
                  </w:pPr>
                  <w:sdt>
                    <w:sdtPr>
                      <w:alias w:val="Numeris"/>
                      <w:tag w:val="nr_3d3e740568e84ab5a86de0596762db85"/>
                      <w:lock w:val="sdtLocked"/>
                      <w:richText/>
                    </w:sdtPr>
                    <w:sdtContent>
                      <w:r>
                        <w:rPr>
                          <w:rFonts w:eastAsia="Calibri"/>
                          <w:color w:val="000000"/>
                          <w:szCs w:val="24"/>
                        </w:rPr>
                        <w:t>1.4</w:t>
                      </w:r>
                    </w:sdtContent>
                  </w:sdt>
                  <w:r>
                    <w:rPr>
                      <w:rFonts w:eastAsia="Calibri"/>
                      <w:color w:val="000000"/>
                      <w:szCs w:val="24"/>
                    </w:rPr>
                    <w:t>.</w:t>
                    <w:tab/>
                    <w:t>Taikomi šio priedo 5 punkte pateiktoje schemoje nustatyti finansiniai kriterijai tikslioms aglomeracijos riboms nustatyti. Aglomeracijos riba nebūtinai turi sutapti su administracine miesto, miestelio riba. Sprendimas į aglomeracijos ribas įtraukti mažo gyventojų tankio (15–25 gyventojai hektare (toliau – gyv./ha)) teritorijas priklauso nuo tokio įtraukimo sąnaudų ir naudos.</w:t>
                  </w:r>
                </w:p>
              </w:sdtContent>
            </w:sdt>
            <w:sdt>
              <w:sdtPr>
                <w:alias w:val="2 pr. 1.5 pp."/>
                <w:tag w:val="part_294d027ea5f140a6a4c69138961aafe0"/>
                <w:lock w:val="sdtLocked"/>
                <w:richText/>
              </w:sdtPr>
              <w:sdtContent>
                <w:p>
                  <w:pPr>
                    <w:tabs>
                      <w:tab w:val="left" w:pos="993"/>
                    </w:tabs>
                    <w:ind w:firstLine="567"/>
                    <w:jc w:val="both"/>
                    <w:rPr>
                      <w:rFonts w:eastAsia="Calibri"/>
                      <w:color w:val="000000"/>
                      <w:szCs w:val="24"/>
                    </w:rPr>
                  </w:pPr>
                  <w:sdt>
                    <w:sdtPr>
                      <w:alias w:val="Numeris"/>
                      <w:tag w:val="nr_294d027ea5f140a6a4c69138961aafe0"/>
                      <w:lock w:val="sdtLocked"/>
                      <w:richText/>
                    </w:sdtPr>
                    <w:sdtContent>
                      <w:r>
                        <w:rPr>
                          <w:rFonts w:eastAsia="Calibri"/>
                          <w:color w:val="000000"/>
                          <w:szCs w:val="24"/>
                        </w:rPr>
                        <w:t>1.5</w:t>
                      </w:r>
                    </w:sdtContent>
                  </w:sdt>
                  <w:r>
                    <w:rPr>
                      <w:rFonts w:eastAsia="Calibri"/>
                      <w:color w:val="000000"/>
                      <w:szCs w:val="24"/>
                    </w:rPr>
                    <w:t>.</w:t>
                    <w:tab/>
                  </w:r>
                  <w:r>
                    <w:rPr>
                      <w:szCs w:val="24"/>
                    </w:rPr>
                    <w:t>Aglomeracijų ribose individualiai tvarkomų nuotekų taršos kiekis, išreikštas gyventojų ekvivalentu, negali būti didesnis kaip 2 proc. nuo visų aglomeracijoje susidarančių nuotekų taršos kiekio ir negali būti didesnis kaip 2 000 gyventojų ekvivalento.</w:t>
                  </w:r>
                </w:p>
              </w:sdtContent>
            </w:sdt>
            <w:sdt>
              <w:sdtPr>
                <w:alias w:val="2 pr. 1.6 pp."/>
                <w:tag w:val="part_e470bf73e3fa42fabb724d325c060a61"/>
                <w:lock w:val="sdtLocked"/>
                <w:richText/>
              </w:sdtPr>
              <w:sdtContent>
                <w:p>
                  <w:pPr>
                    <w:tabs>
                      <w:tab w:val="left" w:pos="993"/>
                    </w:tabs>
                    <w:ind w:firstLine="567"/>
                    <w:jc w:val="both"/>
                    <w:rPr>
                      <w:rFonts w:eastAsia="Calibri"/>
                      <w:color w:val="000000"/>
                      <w:szCs w:val="24"/>
                    </w:rPr>
                  </w:pPr>
                  <w:sdt>
                    <w:sdtPr>
                      <w:alias w:val="Numeris"/>
                      <w:tag w:val="nr_e470bf73e3fa42fabb724d325c060a61"/>
                      <w:lock w:val="sdtLocked"/>
                      <w:richText/>
                    </w:sdtPr>
                    <w:sdtContent>
                      <w:r>
                        <w:rPr>
                          <w:rFonts w:eastAsia="Calibri"/>
                          <w:color w:val="000000"/>
                          <w:szCs w:val="24"/>
                        </w:rPr>
                        <w:t>1.6</w:t>
                      </w:r>
                    </w:sdtContent>
                  </w:sdt>
                  <w:r>
                    <w:rPr>
                      <w:rFonts w:eastAsia="Calibri"/>
                      <w:color w:val="000000"/>
                      <w:szCs w:val="24"/>
                    </w:rPr>
                    <w:t>.</w:t>
                    <w:tab/>
                  </w:r>
                  <w:r>
                    <w:rPr>
                      <w:szCs w:val="24"/>
                    </w:rPr>
                    <w:t xml:space="preserve"> Su nagrinėjama aglomeracija besiribojančios teritorijos, esančios kitos savivaldybės teritorijoje, infrastruktūros plėtra savivaldybių sutarimu gali būti suplanuota bendrame kelių savivaldybių parengtame geriamojo vandens tiekimo ir (ar) nuotekų tvarkymo infrastruktūros plėtros plane arba atskiruose geriamojo vandens tiekimo ir (ar) nuotekų tvarkymo infrastruktūros plėtros planuose.</w:t>
                  </w:r>
                </w:p>
              </w:sdtContent>
            </w:sdt>
          </w:sdtContent>
        </w:sdt>
        <w:sdt>
          <w:sdtPr>
            <w:alias w:val="2 pr. 2 p."/>
            <w:tag w:val="part_912de89f3c4445f396fa0e6e6ebb6b57"/>
            <w:lock w:val="sdtLocked"/>
            <w:richText/>
          </w:sdtPr>
          <w:sdtContent>
            <w:p>
              <w:pPr>
                <w:ind w:left="927" w:hanging="360"/>
                <w:jc w:val="both"/>
                <w:rPr>
                  <w:rFonts w:eastAsia="Calibri"/>
                  <w:color w:val="000000"/>
                  <w:szCs w:val="24"/>
                </w:rPr>
              </w:pPr>
              <w:sdt>
                <w:sdtPr>
                  <w:alias w:val="Numeris"/>
                  <w:tag w:val="nr_912de89f3c4445f396fa0e6e6ebb6b57"/>
                  <w:lock w:val="sdtLocked"/>
                  <w:richText/>
                </w:sdtPr>
                <w:sdtContent>
                  <w:r>
                    <w:rPr>
                      <w:rFonts w:eastAsia="Calibri"/>
                      <w:color w:val="000000"/>
                      <w:szCs w:val="24"/>
                    </w:rPr>
                    <w:t>2</w:t>
                  </w:r>
                </w:sdtContent>
              </w:sdt>
              <w:r>
                <w:rPr>
                  <w:rFonts w:eastAsia="Calibri"/>
                  <w:color w:val="000000"/>
                  <w:szCs w:val="24"/>
                </w:rPr>
                <w:t>.</w:t>
                <w:tab/>
                <w:t>Pirmasis etapas (bazinė analizė):</w:t>
              </w:r>
            </w:p>
            <w:sdt>
              <w:sdtPr>
                <w:alias w:val="2 pr. 2.1 pp."/>
                <w:tag w:val="part_e2777d4a19a44aeb9feb06028ac3c965"/>
                <w:lock w:val="sdtLocked"/>
                <w:richText/>
              </w:sdtPr>
              <w:sdtContent>
                <w:p>
                  <w:pPr>
                    <w:tabs>
                      <w:tab w:val="left" w:pos="993"/>
                    </w:tabs>
                    <w:ind w:firstLine="567"/>
                    <w:jc w:val="both"/>
                    <w:rPr>
                      <w:rFonts w:eastAsia="Calibri"/>
                      <w:color w:val="000000"/>
                      <w:szCs w:val="24"/>
                    </w:rPr>
                  </w:pPr>
                  <w:sdt>
                    <w:sdtPr>
                      <w:alias w:val="Numeris"/>
                      <w:tag w:val="nr_e2777d4a19a44aeb9feb06028ac3c965"/>
                      <w:lock w:val="sdtLocked"/>
                      <w:richText/>
                    </w:sdtPr>
                    <w:sdtContent>
                      <w:r>
                        <w:rPr>
                          <w:rFonts w:eastAsia="Calibri"/>
                          <w:color w:val="000000"/>
                          <w:szCs w:val="24"/>
                        </w:rPr>
                        <w:t>2.1</w:t>
                      </w:r>
                    </w:sdtContent>
                  </w:sdt>
                  <w:r>
                    <w:rPr>
                      <w:rFonts w:eastAsia="Calibri"/>
                      <w:color w:val="000000"/>
                      <w:szCs w:val="24"/>
                    </w:rPr>
                    <w:t>.</w:t>
                    <w:tab/>
                    <w:t xml:space="preserve">Vadovaujantis savivaldybės ir (ar) vietovės lygmens bendraisiais planais, jei jie parengti, nustatomos esamos urbanizuotos ir (ar) prioritetinės plėtros teritorijos. Šių teritorijų ribos gali būti tikslinamos naudojant geografines informacines sistemas – skaitmeninius topografinius miestų žemėlapius ir ortofotografinius žemėlapius. </w:t>
                  </w:r>
                </w:p>
              </w:sdtContent>
            </w:sdt>
            <w:sdt>
              <w:sdtPr>
                <w:alias w:val="2 pr. 2.2 pp."/>
                <w:tag w:val="part_c4ac02f169e34921883afe67dbcc6d31"/>
                <w:lock w:val="sdtLocked"/>
                <w:richText/>
              </w:sdtPr>
              <w:sdtContent>
                <w:p>
                  <w:pPr>
                    <w:tabs>
                      <w:tab w:val="left" w:pos="993"/>
                    </w:tabs>
                    <w:ind w:firstLine="567"/>
                    <w:jc w:val="both"/>
                    <w:rPr>
                      <w:rFonts w:eastAsia="Calibri"/>
                      <w:color w:val="000000"/>
                      <w:szCs w:val="24"/>
                    </w:rPr>
                  </w:pPr>
                  <w:sdt>
                    <w:sdtPr>
                      <w:alias w:val="Numeris"/>
                      <w:tag w:val="nr_c4ac02f169e34921883afe67dbcc6d31"/>
                      <w:lock w:val="sdtLocked"/>
                      <w:richText/>
                    </w:sdtPr>
                    <w:sdtContent>
                      <w:r>
                        <w:rPr>
                          <w:rFonts w:eastAsia="Calibri"/>
                          <w:color w:val="000000"/>
                          <w:szCs w:val="24"/>
                        </w:rPr>
                        <w:t>2.2</w:t>
                      </w:r>
                    </w:sdtContent>
                  </w:sdt>
                  <w:r>
                    <w:rPr>
                      <w:rFonts w:eastAsia="Calibri"/>
                      <w:color w:val="000000"/>
                      <w:szCs w:val="24"/>
                    </w:rPr>
                    <w:t>.</w:t>
                    <w:tab/>
                    <w:t xml:space="preserve">Aglomeracijų ribas galima patikrinti ir pakoreguoti naudojant „Google Earth“ žemėlapius. Pirmuoju etapu apibrėžtos miesto, miestelio teritorijos apima tik didelio gyventojų tankio teritoriją (daugiau kaip 25 gyv./ha). </w:t>
                  </w:r>
                </w:p>
              </w:sdtContent>
            </w:sdt>
          </w:sdtContent>
        </w:sdt>
        <w:sdt>
          <w:sdtPr>
            <w:alias w:val="2 pr. 3 p."/>
            <w:tag w:val="part_264f3f01e1ff4b3a9233cd144676a581"/>
            <w:lock w:val="sdtLocked"/>
            <w:richText/>
          </w:sdtPr>
          <w:sdtContent>
            <w:p>
              <w:pPr>
                <w:tabs>
                  <w:tab w:val="left" w:pos="851"/>
                </w:tabs>
                <w:ind w:firstLine="567"/>
                <w:jc w:val="both"/>
                <w:rPr>
                  <w:rFonts w:eastAsia="Calibri"/>
                  <w:color w:val="000000"/>
                  <w:szCs w:val="24"/>
                </w:rPr>
              </w:pPr>
              <w:sdt>
                <w:sdtPr>
                  <w:alias w:val="Numeris"/>
                  <w:tag w:val="nr_264f3f01e1ff4b3a9233cd144676a581"/>
                  <w:lock w:val="sdtLocked"/>
                  <w:richText/>
                </w:sdtPr>
                <w:sdtContent>
                  <w:r>
                    <w:rPr>
                      <w:rFonts w:eastAsia="Calibri"/>
                      <w:color w:val="000000"/>
                      <w:szCs w:val="24"/>
                    </w:rPr>
                    <w:t>3</w:t>
                  </w:r>
                </w:sdtContent>
              </w:sdt>
              <w:r>
                <w:rPr>
                  <w:rFonts w:eastAsia="Calibri"/>
                  <w:color w:val="000000"/>
                  <w:szCs w:val="24"/>
                </w:rPr>
                <w:t>.</w:t>
                <w:tab/>
                <w:t>Antrasis etapas (detali analizė) – įvertinamos teritorijos, besiribojančios su urbanizuotomis teritorijomis:</w:t>
              </w:r>
            </w:p>
            <w:sdt>
              <w:sdtPr>
                <w:alias w:val="2 pr. 3.1 pp."/>
                <w:tag w:val="part_0cfe562615574b5db46f9e973bcab10c"/>
                <w:lock w:val="sdtLocked"/>
                <w:richText/>
              </w:sdtPr>
              <w:sdtContent>
                <w:p>
                  <w:pPr>
                    <w:tabs>
                      <w:tab w:val="left" w:pos="0"/>
                      <w:tab w:val="left" w:pos="851"/>
                      <w:tab w:val="left" w:pos="993"/>
                    </w:tabs>
                    <w:ind w:firstLine="567"/>
                    <w:jc w:val="both"/>
                    <w:rPr>
                      <w:rFonts w:eastAsia="Calibri"/>
                      <w:color w:val="000000"/>
                      <w:szCs w:val="24"/>
                    </w:rPr>
                  </w:pPr>
                  <w:sdt>
                    <w:sdtPr>
                      <w:alias w:val="Numeris"/>
                      <w:tag w:val="nr_0cfe562615574b5db46f9e973bcab10c"/>
                      <w:lock w:val="sdtLocked"/>
                      <w:richText/>
                    </w:sdtPr>
                    <w:sdtContent>
                      <w:r>
                        <w:rPr>
                          <w:rFonts w:eastAsia="Calibri"/>
                          <w:color w:val="000000"/>
                          <w:szCs w:val="24"/>
                        </w:rPr>
                        <w:t>3.1</w:t>
                      </w:r>
                    </w:sdtContent>
                  </w:sdt>
                  <w:r>
                    <w:rPr>
                      <w:rFonts w:eastAsia="Calibri"/>
                      <w:color w:val="000000"/>
                      <w:szCs w:val="24"/>
                    </w:rPr>
                    <w:t>.</w:t>
                    <w:tab/>
                    <w:t xml:space="preserve"> Nustačius miestų ir miestelių didelio gyventojų tankio teritorijų (daugiau kaip 25 gyv./ha) ribas, vertinamos besiribojančios teritorijos. Šiame etape, siekiant kuo išsamiau nustatyti kiekvienos aglomeracijos ribas, atliekama galimų techninių sprendimų ir ekonominių sąnaudų analizė. Reikalinga esamų ir būsimų urbanizuotų teritorijų, pastatų tipų ir iš šių pastatų išleidžiamų nuotekų kiekio ir jų užterštumo analizė. Išnagrinėjama nuotekų tvarkymo paslaugų teikimo vertė būstams už aglomeracijos ribų, nustatytų pirmajame etape.</w:t>
                  </w:r>
                </w:p>
              </w:sdtContent>
            </w:sdt>
            <w:sdt>
              <w:sdtPr>
                <w:alias w:val="2 pr. 3.2 pp."/>
                <w:tag w:val="part_55ccd17102be4a0a89fec96ad02c15bb"/>
                <w:lock w:val="sdtLocked"/>
                <w:richText/>
              </w:sdtPr>
              <w:sdtContent>
                <w:p>
                  <w:pPr>
                    <w:tabs>
                      <w:tab w:val="left" w:pos="0"/>
                      <w:tab w:val="left" w:pos="851"/>
                      <w:tab w:val="left" w:pos="993"/>
                    </w:tabs>
                    <w:ind w:left="1069" w:hanging="502"/>
                    <w:jc w:val="both"/>
                    <w:rPr>
                      <w:rFonts w:eastAsia="Calibri"/>
                      <w:color w:val="000000"/>
                      <w:szCs w:val="24"/>
                    </w:rPr>
                  </w:pPr>
                  <w:sdt>
                    <w:sdtPr>
                      <w:alias w:val="Numeris"/>
                      <w:tag w:val="nr_55ccd17102be4a0a89fec96ad02c15bb"/>
                      <w:lock w:val="sdtLocked"/>
                      <w:richText/>
                    </w:sdtPr>
                    <w:sdtContent>
                      <w:r>
                        <w:rPr>
                          <w:rFonts w:eastAsia="Calibri"/>
                          <w:color w:val="000000"/>
                          <w:szCs w:val="24"/>
                        </w:rPr>
                        <w:t>3.2</w:t>
                      </w:r>
                    </w:sdtContent>
                  </w:sdt>
                  <w:r>
                    <w:rPr>
                      <w:rFonts w:eastAsia="Calibri"/>
                      <w:color w:val="000000"/>
                      <w:szCs w:val="24"/>
                    </w:rPr>
                    <w:t>.</w:t>
                    <w:tab/>
                    <w:t xml:space="preserve"> Planuojamos miestų plėtros vertinimas:</w:t>
                  </w:r>
                </w:p>
                <w:sdt>
                  <w:sdtPr>
                    <w:alias w:val="2 pr. 3.2.1 pp."/>
                    <w:tag w:val="part_daa0f697a4324dc9ac30ce9b30e28640"/>
                    <w:lock w:val="sdtLocked"/>
                    <w:richText/>
                  </w:sdtPr>
                  <w:sdtContent>
                    <w:p>
                      <w:pPr>
                        <w:tabs>
                          <w:tab w:val="left" w:pos="0"/>
                          <w:tab w:val="left" w:pos="142"/>
                          <w:tab w:val="left" w:pos="567"/>
                          <w:tab w:val="left" w:pos="1134"/>
                        </w:tabs>
                        <w:ind w:firstLine="567"/>
                        <w:jc w:val="both"/>
                        <w:rPr>
                          <w:rFonts w:eastAsia="Calibri"/>
                          <w:color w:val="000000"/>
                          <w:szCs w:val="24"/>
                        </w:rPr>
                      </w:pPr>
                      <w:sdt>
                        <w:sdtPr>
                          <w:alias w:val="Numeris"/>
                          <w:tag w:val="nr_daa0f697a4324dc9ac30ce9b30e28640"/>
                          <w:lock w:val="sdtLocked"/>
                          <w:richText/>
                        </w:sdtPr>
                        <w:sdtContent>
                          <w:r>
                            <w:rPr>
                              <w:rFonts w:eastAsia="Calibri"/>
                              <w:color w:val="000000"/>
                              <w:szCs w:val="24"/>
                            </w:rPr>
                            <w:t>3.2.1</w:t>
                          </w:r>
                        </w:sdtContent>
                      </w:sdt>
                      <w:r>
                        <w:rPr>
                          <w:rFonts w:eastAsia="Calibri"/>
                          <w:color w:val="000000"/>
                          <w:szCs w:val="24"/>
                        </w:rPr>
                        <w:t>.</w:t>
                        <w:tab/>
                        <w:t xml:space="preserve">Vertinama vadovaujantis savivaldybės lygmens bendrojo plano ir (ar) vietovės lygmens bendrojo plano, jei jis parengtas, sprendiniais, atsižvelgiant į juose numatytas užstatyti teritorijas. </w:t>
                      </w:r>
                    </w:p>
                  </w:sdtContent>
                </w:sdt>
                <w:sdt>
                  <w:sdtPr>
                    <w:alias w:val="2 pr. 3.2.2 pp."/>
                    <w:tag w:val="part_d9e78107b20c4eb19d8eec369a1870e2"/>
                    <w:lock w:val="sdtLocked"/>
                    <w:richText/>
                  </w:sdtPr>
                  <w:sdtContent>
                    <w:p>
                      <w:pPr>
                        <w:tabs>
                          <w:tab w:val="left" w:pos="0"/>
                          <w:tab w:val="left" w:pos="142"/>
                          <w:tab w:val="left" w:pos="567"/>
                          <w:tab w:val="left" w:pos="709"/>
                          <w:tab w:val="left" w:pos="1276"/>
                        </w:tabs>
                        <w:ind w:firstLine="567"/>
                        <w:jc w:val="both"/>
                        <w:rPr>
                          <w:rFonts w:eastAsia="Calibri"/>
                          <w:color w:val="000000"/>
                          <w:szCs w:val="24"/>
                        </w:rPr>
                      </w:pPr>
                      <w:sdt>
                        <w:sdtPr>
                          <w:alias w:val="Numeris"/>
                          <w:tag w:val="nr_d9e78107b20c4eb19d8eec369a1870e2"/>
                          <w:lock w:val="sdtLocked"/>
                          <w:richText/>
                        </w:sdtPr>
                        <w:sdtContent>
                          <w:r>
                            <w:rPr>
                              <w:rFonts w:eastAsia="Calibri"/>
                              <w:color w:val="000000"/>
                              <w:szCs w:val="24"/>
                            </w:rPr>
                            <w:t>3.2.2</w:t>
                          </w:r>
                        </w:sdtContent>
                      </w:sdt>
                      <w:r>
                        <w:rPr>
                          <w:rFonts w:eastAsia="Calibri"/>
                          <w:color w:val="000000"/>
                          <w:szCs w:val="24"/>
                        </w:rPr>
                        <w:t>.</w:t>
                        <w:tab/>
                        <w:t>Įvertinama, ar šios teritorijos gali būti plėtojamos per 10 metų. Jei numatoma, kad teritorija bus plėtojama per artimiausius 10 metų, ji įtraukiama į aglomeracijos ribas. Jei planuojama plėtra vyks po daugiau kaip 10 metų, teritorija į aglomeracijos ribas neįtraukiama. Šis principas dėl teritorijų įtraukimo į aglomeracijos ribas turi būti taikomas ir vėliau, atnaujinant miestų bendruosius planus ir numatant naujas urbanizuojamas teritorijas.</w:t>
                      </w:r>
                    </w:p>
                  </w:sdtContent>
                </w:sdt>
              </w:sdtContent>
            </w:sdt>
            <w:sdt>
              <w:sdtPr>
                <w:alias w:val="2 pr. 3.3 pp."/>
                <w:tag w:val="part_69b50ca5f39d41d99d8279c23e568207"/>
                <w:lock w:val="sdtLocked"/>
                <w:richText/>
              </w:sdtPr>
              <w:sdtContent>
                <w:p>
                  <w:pPr>
                    <w:ind w:left="993" w:hanging="426"/>
                    <w:jc w:val="both"/>
                    <w:rPr>
                      <w:rFonts w:eastAsia="Calibri"/>
                      <w:color w:val="000000"/>
                      <w:szCs w:val="24"/>
                    </w:rPr>
                  </w:pPr>
                  <w:sdt>
                    <w:sdtPr>
                      <w:alias w:val="Numeris"/>
                      <w:tag w:val="nr_69b50ca5f39d41d99d8279c23e568207"/>
                      <w:lock w:val="sdtLocked"/>
                      <w:richText/>
                    </w:sdtPr>
                    <w:sdtContent>
                      <w:r>
                        <w:rPr>
                          <w:rFonts w:eastAsia="Calibri"/>
                          <w:color w:val="000000"/>
                          <w:szCs w:val="24"/>
                        </w:rPr>
                        <w:t>3.3</w:t>
                      </w:r>
                    </w:sdtContent>
                  </w:sdt>
                  <w:r>
                    <w:rPr>
                      <w:rFonts w:eastAsia="Calibri"/>
                      <w:color w:val="000000"/>
                      <w:szCs w:val="24"/>
                    </w:rPr>
                    <w:t>.</w:t>
                    <w:tab/>
                    <w:t>Mažo gyventojų tankio teritorijų vertinimas:</w:t>
                  </w:r>
                </w:p>
                <w:sdt>
                  <w:sdtPr>
                    <w:alias w:val="2 pr. 3.3.1 pp."/>
                    <w:tag w:val="part_9db781deae9548b5a67ea5b762071b91"/>
                    <w:lock w:val="sdtLocked"/>
                    <w:richText/>
                  </w:sdtPr>
                  <w:sdtContent>
                    <w:p>
                      <w:pPr>
                        <w:tabs>
                          <w:tab w:val="left" w:pos="1276"/>
                        </w:tabs>
                        <w:ind w:firstLine="567"/>
                        <w:jc w:val="both"/>
                        <w:rPr>
                          <w:rFonts w:eastAsia="Calibri"/>
                          <w:color w:val="000000"/>
                          <w:szCs w:val="24"/>
                        </w:rPr>
                      </w:pPr>
                      <w:sdt>
                        <w:sdtPr>
                          <w:alias w:val="Numeris"/>
                          <w:tag w:val="nr_9db781deae9548b5a67ea5b762071b91"/>
                          <w:lock w:val="sdtLocked"/>
                          <w:richText/>
                        </w:sdtPr>
                        <w:sdtContent>
                          <w:r>
                            <w:rPr>
                              <w:rFonts w:eastAsia="Calibri"/>
                              <w:color w:val="000000"/>
                              <w:szCs w:val="24"/>
                            </w:rPr>
                            <w:t>3.3.1</w:t>
                          </w:r>
                        </w:sdtContent>
                      </w:sdt>
                      <w:r>
                        <w:rPr>
                          <w:rFonts w:eastAsia="Calibri"/>
                          <w:color w:val="000000"/>
                          <w:szCs w:val="24"/>
                        </w:rPr>
                        <w:t>.</w:t>
                        <w:tab/>
                        <w:t>Vertinant Europos Sąjungos lėšomis finansuojamų projektų ekonominį efektyvumą, taikomas 3000 eurų vienam gyventojui prijungti kriterijus, tai yra nuotekų tinklų plėtros projektas finansuojamas, jei investicijų suma, tenkanti vienam prie centralizuotos nuotekų surinkimo sistemos prijungtam gyventojui, neviršija 3000 eurų. Šiuo pagrindu siūlomas algoritmas mažo gyventojų tankio teritorijoms įvertinti dėl jų įtraukimo į aglomeracijos teritoriją.</w:t>
                      </w:r>
                    </w:p>
                  </w:sdtContent>
                </w:sdt>
                <w:sdt>
                  <w:sdtPr>
                    <w:alias w:val="2 pr. 3.3.2 pp."/>
                    <w:tag w:val="part_15b96e31bda04466acc36e680638fa52"/>
                    <w:lock w:val="sdtLocked"/>
                    <w:richText/>
                  </w:sdtPr>
                  <w:sdtContent>
                    <w:p>
                      <w:pPr>
                        <w:tabs>
                          <w:tab w:val="left" w:pos="1134"/>
                        </w:tabs>
                        <w:ind w:firstLine="567"/>
                        <w:jc w:val="both"/>
                        <w:rPr>
                          <w:rFonts w:eastAsia="Calibri"/>
                          <w:color w:val="000000"/>
                          <w:szCs w:val="24"/>
                        </w:rPr>
                      </w:pPr>
                      <w:sdt>
                        <w:sdtPr>
                          <w:alias w:val="Numeris"/>
                          <w:tag w:val="nr_15b96e31bda04466acc36e680638fa52"/>
                          <w:lock w:val="sdtLocked"/>
                          <w:richText/>
                        </w:sdtPr>
                        <w:sdtContent>
                          <w:r>
                            <w:rPr>
                              <w:color w:val="000000"/>
                            </w:rPr>
                            <w:t>3.3.2</w:t>
                          </w:r>
                        </w:sdtContent>
                      </w:sdt>
                      <w:r>
                        <w:rPr>
                          <w:color w:val="000000"/>
                        </w:rPr>
                        <w:t xml:space="preserve">. Remiantis vidutiniu konkrečios savivaldybės namų ūkio dydžiu, kaip tos savivaldybės nuolatinių gyventojų skaičiaus metų pradžioje ir būstų skaičiaus metų pabaigoje santykiu, apskaičiuojamu pagal </w:t>
                      </w:r>
                      <w:r>
                        <w:t xml:space="preserve">naujausius  Valstybės duomenų agentūros oficialiosios statistikos portale http://osp.stat.gov.lt skelbiamus duomenis, ir atsižvelgiant į labiausiai tikėtiną namų ūkių skaičių viename hektare, siūlytina: </w:t>
                      </w:r>
                    </w:p>
                    <w:sdt>
                      <w:sdtPr>
                        <w:alias w:val="2 pr. 3.3.2.1 pp."/>
                        <w:tag w:val="part_a602107635964da7bedc8e55e20c933a"/>
                        <w:lock w:val="sdtLocked"/>
                        <w:richText/>
                      </w:sdtPr>
                      <w:sdtContent>
                        <w:p>
                          <w:pPr>
                            <w:ind w:firstLine="567"/>
                            <w:jc w:val="both"/>
                            <w:rPr>
                              <w:rFonts w:eastAsia="Calibri"/>
                              <w:color w:val="000000"/>
                              <w:szCs w:val="24"/>
                            </w:rPr>
                          </w:pPr>
                          <w:sdt>
                            <w:sdtPr>
                              <w:alias w:val="Numeris"/>
                              <w:tag w:val="nr_a602107635964da7bedc8e55e20c933a"/>
                              <w:lock w:val="sdtLocked"/>
                              <w:richText/>
                            </w:sdtPr>
                            <w:sdtContent>
                              <w:r>
                                <w:rPr>
                                  <w:color w:val="000000"/>
                                  <w:szCs w:val="24"/>
                                  <w:lang w:eastAsia="lt-LT"/>
                                </w:rPr>
                                <w:t>3.3.2.1</w:t>
                              </w:r>
                            </w:sdtContent>
                          </w:sdt>
                          <w:r>
                            <w:rPr>
                              <w:color w:val="000000"/>
                              <w:szCs w:val="24"/>
                              <w:lang w:eastAsia="lt-LT"/>
                            </w:rPr>
                            <w:t>. aglomeracijoms priskirti teritorijas, kuriose gyvenančių žmonių skaičius – 25 ir daugiau/ha (t. y. viename hektare gyvenančių žmonių skaičius apskaičiuojamas viename hektare esančių būstų skaičių dauginant iš vidutinio savivaldybėje esančių namų ūkio dydžio);</w:t>
                          </w:r>
                          <w:r>
                            <w:t xml:space="preserve"> </w:t>
                          </w:r>
                        </w:p>
                      </w:sdtContent>
                    </w:sdt>
                    <w:sdt>
                      <w:sdtPr>
                        <w:alias w:val="2 pr. 3.3.2.2 pp."/>
                        <w:tag w:val="part_0532625ae4f040149cf3aba19bb87249"/>
                        <w:lock w:val="sdtLocked"/>
                        <w:richText/>
                      </w:sdtPr>
                      <w:sdtContent>
                        <w:p>
                          <w:pPr>
                            <w:tabs>
                              <w:tab w:val="left" w:pos="142"/>
                            </w:tabs>
                            <w:ind w:firstLine="567"/>
                            <w:jc w:val="both"/>
                            <w:rPr>
                              <w:rFonts w:eastAsia="Calibri"/>
                              <w:color w:val="000000"/>
                              <w:szCs w:val="24"/>
                            </w:rPr>
                          </w:pPr>
                          <w:sdt>
                            <w:sdtPr>
                              <w:alias w:val="Numeris"/>
                              <w:tag w:val="nr_0532625ae4f040149cf3aba19bb87249"/>
                              <w:lock w:val="sdtLocked"/>
                              <w:richText/>
                            </w:sdtPr>
                            <w:sdtContent>
                              <w:r>
                                <w:rPr>
                                  <w:rFonts w:eastAsia="Calibri"/>
                                  <w:color w:val="000000"/>
                                  <w:szCs w:val="24"/>
                                  <w:lang w:val="en-US"/>
                                </w:rPr>
                                <w:t>3.3.2.2</w:t>
                              </w:r>
                            </w:sdtContent>
                          </w:sdt>
                          <w:r>
                            <w:rPr>
                              <w:rFonts w:eastAsia="Calibri"/>
                              <w:color w:val="000000"/>
                              <w:szCs w:val="24"/>
                              <w:lang w:val="en-US"/>
                            </w:rPr>
                            <w:t>.</w:t>
                          </w:r>
                          <w:r>
                            <w:rPr>
                              <w:rFonts w:eastAsia="Calibri"/>
                              <w:color w:val="000000"/>
                              <w:szCs w:val="24"/>
                            </w:rPr>
                            <w:t xml:space="preserve"> teritorijas, kuriose gyvenančių žmonių skaičius yra 15–25 gyv./ha, aglomeracijai priskirti pagal infrastruktūros plėtros kainos vienam gyventojui kriterijų; </w:t>
                          </w:r>
                        </w:p>
                      </w:sdtContent>
                    </w:sdt>
                    <w:sdt>
                      <w:sdtPr>
                        <w:alias w:val="2 pr. 3.3.2.3 pp."/>
                        <w:tag w:val="part_fec289ef17754e9ba63b38e6c7171fbf"/>
                        <w:lock w:val="sdtLocked"/>
                        <w:richText/>
                      </w:sdtPr>
                      <w:sdtContent>
                        <w:p>
                          <w:pPr>
                            <w:tabs>
                              <w:tab w:val="left" w:pos="0"/>
                              <w:tab w:val="left" w:pos="1276"/>
                            </w:tabs>
                            <w:ind w:firstLine="567"/>
                            <w:jc w:val="both"/>
                            <w:rPr>
                              <w:rFonts w:eastAsia="Calibri"/>
                              <w:color w:val="000000"/>
                              <w:szCs w:val="24"/>
                            </w:rPr>
                          </w:pPr>
                          <w:sdt>
                            <w:sdtPr>
                              <w:alias w:val="Numeris"/>
                              <w:tag w:val="nr_fec289ef17754e9ba63b38e6c7171fbf"/>
                              <w:lock w:val="sdtLocked"/>
                              <w:richText/>
                            </w:sdtPr>
                            <w:sdtContent>
                              <w:r>
                                <w:rPr>
                                  <w:rFonts w:eastAsia="Calibri"/>
                                  <w:color w:val="000000"/>
                                  <w:szCs w:val="24"/>
                                  <w:lang w:val="en-US"/>
                                </w:rPr>
                                <w:t>3.3.2.3</w:t>
                              </w:r>
                            </w:sdtContent>
                          </w:sdt>
                          <w:r>
                            <w:rPr>
                              <w:rFonts w:eastAsia="Calibri"/>
                              <w:color w:val="000000"/>
                              <w:szCs w:val="24"/>
                              <w:lang w:val="en-US"/>
                            </w:rPr>
                            <w:t>.</w:t>
                          </w:r>
                          <w:r>
                            <w:rPr>
                              <w:rFonts w:eastAsia="Calibri"/>
                              <w:color w:val="000000"/>
                              <w:szCs w:val="24"/>
                            </w:rPr>
                            <w:t xml:space="preserve"> teritorijų, kuriose gyventojų tankumas nepakankamas, t. y. jose gyvenančių žmonių skaičius mažesnis nei 15 gyv./ha, nepriskirti aglomeracijoms;</w:t>
                          </w:r>
                        </w:p>
                      </w:sdtContent>
                    </w:sdt>
                    <w:sdt>
                      <w:sdtPr>
                        <w:alias w:val="2 pr. 3.3.2.4 pp."/>
                        <w:tag w:val="part_1cf2cf6706db4ff4b729105028d62300"/>
                        <w:lock w:val="sdtLocked"/>
                        <w:richText/>
                      </w:sdtPr>
                      <w:sdtContent>
                        <w:p>
                          <w:pPr>
                            <w:tabs>
                              <w:tab w:val="left" w:pos="0"/>
                            </w:tabs>
                            <w:ind w:firstLine="567"/>
                            <w:jc w:val="both"/>
                            <w:rPr>
                              <w:rFonts w:eastAsia="Calibri"/>
                              <w:color w:val="000000"/>
                              <w:szCs w:val="24"/>
                            </w:rPr>
                          </w:pPr>
                          <w:sdt>
                            <w:sdtPr>
                              <w:alias w:val="Numeris"/>
                              <w:tag w:val="nr_1cf2cf6706db4ff4b729105028d62300"/>
                              <w:lock w:val="sdtLocked"/>
                              <w:richText/>
                            </w:sdtPr>
                            <w:sdtContent>
                              <w:r>
                                <w:rPr>
                                  <w:rFonts w:eastAsia="Calibri"/>
                                  <w:color w:val="000000"/>
                                  <w:szCs w:val="24"/>
                                  <w:lang w:val="en-US"/>
                                </w:rPr>
                                <w:t>3.3.2.4</w:t>
                              </w:r>
                            </w:sdtContent>
                          </w:sdt>
                          <w:r>
                            <w:rPr>
                              <w:rFonts w:eastAsia="Calibri"/>
                              <w:color w:val="000000"/>
                              <w:szCs w:val="24"/>
                              <w:lang w:val="en-US"/>
                            </w:rPr>
                            <w:t>.</w:t>
                          </w:r>
                          <w:r>
                            <w:rPr>
                              <w:rFonts w:eastAsia="Calibri"/>
                              <w:color w:val="000000"/>
                              <w:szCs w:val="24"/>
                            </w:rPr>
                            <w:t xml:space="preserve"> kai miesto (aglomeracijos) plėtra vyksta išilgai kelio, jungiančio aglomeraciją ir už jos ribų esančias teritorijas, dėl šių teritorijų priskyrimo aglomeracijai taikyti 3000 eurų vienam gyventojui prijungti kriterijų.</w:t>
                          </w:r>
                        </w:p>
                      </w:sdtContent>
                    </w:sdt>
                  </w:sdtContent>
                </w:sdt>
              </w:sdtContent>
            </w:sdt>
          </w:sdtContent>
        </w:sdt>
        <w:sdt>
          <w:sdtPr>
            <w:alias w:val="2 pr. 4 p."/>
            <w:tag w:val="part_06ebcbade8604f63bc73c6e75f58aa4f"/>
            <w:lock w:val="sdtLocked"/>
            <w:richText/>
          </w:sdtPr>
          <w:sdtContent>
            <w:p>
              <w:pPr>
                <w:tabs>
                  <w:tab w:val="left" w:pos="0"/>
                </w:tabs>
                <w:ind w:firstLine="567"/>
                <w:jc w:val="both"/>
                <w:rPr>
                  <w:rFonts w:eastAsia="Calibri"/>
                  <w:color w:val="000000"/>
                  <w:szCs w:val="24"/>
                </w:rPr>
              </w:pPr>
              <w:sdt>
                <w:sdtPr>
                  <w:alias w:val="Numeris"/>
                  <w:tag w:val="nr_06ebcbade8604f63bc73c6e75f58aa4f"/>
                  <w:lock w:val="sdtLocked"/>
                  <w:richText/>
                </w:sdtPr>
                <w:sdtContent>
                  <w:r>
                    <w:rPr>
                      <w:rFonts w:eastAsia="Calibri"/>
                      <w:color w:val="000000"/>
                      <w:szCs w:val="24"/>
                    </w:rPr>
                    <w:t>4</w:t>
                  </w:r>
                </w:sdtContent>
              </w:sdt>
              <w:r>
                <w:rPr>
                  <w:rFonts w:eastAsia="Calibri"/>
                  <w:color w:val="000000"/>
                  <w:szCs w:val="24"/>
                </w:rPr>
                <w:t>. Trečiasis etapas – įvertinama, ar kelios urbanizuotos teritorijos priskirtinos vienai aglomeracijai, ar laikomos atskiromis aglomeracijomis:</w:t>
              </w:r>
            </w:p>
            <w:sdt>
              <w:sdtPr>
                <w:alias w:val="2 pr. 4.1 pp."/>
                <w:tag w:val="part_6074c7914226417f829657dd15e0ea75"/>
                <w:lock w:val="sdtLocked"/>
                <w:richText/>
              </w:sdtPr>
              <w:sdtContent>
                <w:p>
                  <w:pPr>
                    <w:tabs>
                      <w:tab w:val="left" w:pos="993"/>
                    </w:tabs>
                    <w:ind w:firstLine="567"/>
                    <w:jc w:val="both"/>
                    <w:rPr>
                      <w:szCs w:val="24"/>
                    </w:rPr>
                  </w:pPr>
                  <w:sdt>
                    <w:sdtPr>
                      <w:alias w:val="Numeris"/>
                      <w:tag w:val="nr_6074c7914226417f829657dd15e0ea75"/>
                      <w:lock w:val="sdtLocked"/>
                      <w:richText/>
                    </w:sdtPr>
                    <w:sdtContent>
                      <w:r>
                        <w:rPr>
                          <w:szCs w:val="24"/>
                        </w:rPr>
                        <w:t>4.1</w:t>
                      </w:r>
                    </w:sdtContent>
                  </w:sdt>
                  <w:r>
                    <w:rPr>
                      <w:szCs w:val="24"/>
                    </w:rPr>
                    <w:t>.</w:t>
                    <w:tab/>
                    <w:t>Kai šalia vertinamos aglomeracijos, nustatytos atlikus šio priedo 1–3 punktuose nurodytus žingsnius, yra tankiai (25 ir daugiau gyv./ha) apgyvendintų teritorijų, siūlytina vertinti atstumą tarp aglomeracijos ir tų teritorijų. Taip pat būtina įvertinti ir nutolusios teritorijos dydį pagal gyventojų ekvivalentus: jei šioje teritorijoje susidaro daugiau kaip 2000 gyventojų ekvivalento atitinkanti tarša, būtina įvertinti, ar ekonominiu požiūriu verta prijungti ją prie didesnės aglomeracijos, ar užtikrinti nuotekų surinkimą ir valymą atskirai.</w:t>
                  </w:r>
                </w:p>
              </w:sdtContent>
            </w:sdt>
            <w:sdt>
              <w:sdtPr>
                <w:alias w:val="2 pr. 4.2 pp."/>
                <w:tag w:val="part_c7dacd4db63342d680928e666401b1cb"/>
                <w:lock w:val="sdtLocked"/>
                <w:richText/>
              </w:sdtPr>
              <w:sdtContent>
                <w:p>
                  <w:pPr>
                    <w:tabs>
                      <w:tab w:val="left" w:pos="993"/>
                    </w:tabs>
                    <w:ind w:firstLine="567"/>
                    <w:jc w:val="both"/>
                    <w:rPr>
                      <w:szCs w:val="24"/>
                    </w:rPr>
                  </w:pPr>
                  <w:sdt>
                    <w:sdtPr>
                      <w:alias w:val="Numeris"/>
                      <w:tag w:val="nr_c7dacd4db63342d680928e666401b1cb"/>
                      <w:lock w:val="sdtLocked"/>
                      <w:richText/>
                    </w:sdtPr>
                    <w:sdtContent>
                      <w:r>
                        <w:rPr>
                          <w:szCs w:val="24"/>
                        </w:rPr>
                        <w:t>4.2</w:t>
                      </w:r>
                    </w:sdtContent>
                  </w:sdt>
                  <w:r>
                    <w:rPr>
                      <w:szCs w:val="24"/>
                    </w:rPr>
                    <w:t>.</w:t>
                    <w:tab/>
                    <w:t>Kai vertinamoje teritorijoje susidaro daugiau kaip 10 000 gyventojų ekvivalento atitinkanti tarša, tikslinga netoliese esančias apgyvendintas teritorijas sujungti į vieną aglomeraciją, jei atstumas tarp ribų yra mažesnis nei 250 m. Šis principas taikytinas ir kitų objektų, pavyzdžiui, pramonės ir sandėliavimo, komercinės paskirties teritorijoms.</w:t>
                  </w:r>
                </w:p>
              </w:sdtContent>
            </w:sdt>
            <w:sdt>
              <w:sdtPr>
                <w:alias w:val="2 pr. 4.3 pp."/>
                <w:tag w:val="part_8b2ed8305aa948deb356f43d2ffa4b38"/>
                <w:lock w:val="sdtLocked"/>
                <w:richText/>
              </w:sdtPr>
              <w:sdtContent>
                <w:p>
                  <w:pPr>
                    <w:tabs>
                      <w:tab w:val="left" w:pos="993"/>
                    </w:tabs>
                    <w:ind w:firstLine="567"/>
                    <w:jc w:val="both"/>
                    <w:rPr>
                      <w:szCs w:val="24"/>
                    </w:rPr>
                  </w:pPr>
                  <w:sdt>
                    <w:sdtPr>
                      <w:alias w:val="Numeris"/>
                      <w:tag w:val="nr_8b2ed8305aa948deb356f43d2ffa4b38"/>
                      <w:lock w:val="sdtLocked"/>
                      <w:richText/>
                    </w:sdtPr>
                    <w:sdtContent>
                      <w:r>
                        <w:rPr>
                          <w:szCs w:val="24"/>
                        </w:rPr>
                        <w:t>4.3</w:t>
                      </w:r>
                    </w:sdtContent>
                  </w:sdt>
                  <w:r>
                    <w:rPr>
                      <w:szCs w:val="24"/>
                    </w:rPr>
                    <w:t>.</w:t>
                    <w:tab/>
                    <w:t>Kai vertinamoje teritorijoje susidaro mažiau kaip 10 000 gyventojų ekvivalento atitinkanti tarša, į vieną aglomeraciją gali būti sujungiamos apgyvendintos teritorijos, viena nuo kitos esančios ne didesniu kaip 150 m atstumu.</w:t>
                  </w:r>
                </w:p>
              </w:sdtContent>
            </w:sdt>
            <w:sdt>
              <w:sdtPr>
                <w:alias w:val="2 pr. 4.4 pp."/>
                <w:tag w:val="part_660d726c5a7f4e17be35bafd1fee88b2"/>
                <w:lock w:val="sdtLocked"/>
                <w:richText/>
              </w:sdtPr>
              <w:sdtContent>
                <w:p>
                  <w:pPr>
                    <w:tabs>
                      <w:tab w:val="left" w:pos="993"/>
                    </w:tabs>
                    <w:ind w:firstLine="567"/>
                    <w:jc w:val="both"/>
                    <w:rPr>
                      <w:szCs w:val="24"/>
                    </w:rPr>
                  </w:pPr>
                  <w:sdt>
                    <w:sdtPr>
                      <w:alias w:val="Numeris"/>
                      <w:tag w:val="nr_660d726c5a7f4e17be35bafd1fee88b2"/>
                      <w:lock w:val="sdtLocked"/>
                      <w:richText/>
                    </w:sdtPr>
                    <w:sdtContent>
                      <w:r>
                        <w:rPr>
                          <w:szCs w:val="24"/>
                        </w:rPr>
                        <w:t>4.4</w:t>
                      </w:r>
                    </w:sdtContent>
                  </w:sdt>
                  <w:r>
                    <w:rPr>
                      <w:szCs w:val="24"/>
                    </w:rPr>
                    <w:t>. Kai atstumai tarp teritorijų išorinių ribų yra didesni, nei nurodyta šio priedo 4.2 ir 4.3 papunkčiuose, urbanizuotos teritorijos gali būti laikomos atskiromis aglomeracijomis ir, jei šiose aglomeracijose susidaro daugiau kaip 2000 gyventojų ekvivalento atitinkanti tarša, Direktyvos reikalavimai taikomi kaip atskiroms aglomeracijoms.</w:t>
                  </w:r>
                </w:p>
              </w:sdtContent>
            </w:sdt>
            <w:sdt>
              <w:sdtPr>
                <w:alias w:val="2 pr. 4.5 pp."/>
                <w:tag w:val="part_e42aa83c6e7e4fb1b9015d440e3247e8"/>
                <w:lock w:val="sdtLocked"/>
                <w:richText/>
              </w:sdtPr>
              <w:sdtContent>
                <w:p>
                  <w:pPr>
                    <w:ind w:firstLine="567"/>
                    <w:jc w:val="both"/>
                    <w:rPr>
                      <w:szCs w:val="24"/>
                    </w:rPr>
                  </w:pPr>
                  <w:sdt>
                    <w:sdtPr>
                      <w:alias w:val="Numeris"/>
                      <w:tag w:val="nr_e42aa83c6e7e4fb1b9015d440e3247e8"/>
                      <w:lock w:val="sdtLocked"/>
                      <w:richText/>
                    </w:sdtPr>
                    <w:sdtContent>
                      <w:r>
                        <w:rPr>
                          <w:szCs w:val="24"/>
                        </w:rPr>
                        <w:t>4.5</w:t>
                      </w:r>
                    </w:sdtContent>
                  </w:sdt>
                  <w:r>
                    <w:rPr>
                      <w:szCs w:val="24"/>
                    </w:rPr>
                    <w:t>. Schemoje pateikti ribiniai atstumų dydžiai (150 ir 250 m) yra orientaciniai, todėl, priimant ekonominiu požiūriu pagrįstą sprendimą dėl aglomeracijos ribų, jų galima netaikyti. Ekonominiu požiūriu pagrįstu sprendimu laikomas toks sprendimas, kuriam įgyvendinti reikės mažiausiai lėšų. Pavyzdžiui, kai apskaičiuojama, kad atskirų urbanizuotų teritorijų nuotekų surinkimo sistemoms prijungti prie bendros aglomeracijos nuotekų surinkimo sistemos reikės mažiau lėšų, negu statyti ir eksploatuoti atskirus nuotekų valymo įrenginius šiose urbanizuotose teritorijose, sprendimas visas šias teritorijas pripažinti viena aglomeracija gali būti priimtas neatsižvelgiant į anksčiau nurodytus atstumus.</w:t>
                  </w:r>
                </w:p>
              </w:sdtContent>
            </w:sdt>
          </w:sdtContent>
        </w:sdt>
        <w:sdt>
          <w:sdtPr>
            <w:alias w:val="2 pr. 5 p."/>
            <w:tag w:val="part_06d5d2841ed84c7ba33f5d4dce7b4884"/>
            <w:lock w:val="sdtLocked"/>
            <w:richText/>
          </w:sdtPr>
          <w:sdtContent>
            <w:p>
              <w:pPr>
                <w:ind w:firstLine="567"/>
                <w:jc w:val="both"/>
                <w:rPr>
                  <w:bCs/>
                  <w:szCs w:val="24"/>
                </w:rPr>
              </w:pPr>
              <w:sdt>
                <w:sdtPr>
                  <w:alias w:val="Numeris"/>
                  <w:tag w:val="nr_06d5d2841ed84c7ba33f5d4dce7b4884"/>
                  <w:lock w:val="sdtLocked"/>
                  <w:richText/>
                </w:sdtPr>
                <w:sdtContent>
                  <w:r>
                    <w:rPr>
                      <w:bCs/>
                      <w:szCs w:val="24"/>
                    </w:rPr>
                    <w:t>5</w:t>
                  </w:r>
                </w:sdtContent>
              </w:sdt>
              <w:r>
                <w:rPr>
                  <w:bCs/>
                  <w:szCs w:val="24"/>
                </w:rPr>
                <w:t>. Schema:</w:t>
              </w:r>
            </w:p>
            <w:p>
              <w:pPr>
                <w:jc w:val="center"/>
                <w:rPr>
                  <w:rFonts w:eastAsia="Calibri"/>
                  <w:b/>
                  <w:color w:val="000000"/>
                  <w:sz w:val="22"/>
                  <w:szCs w:val="22"/>
                </w:rPr>
              </w:pPr>
              <w:r>
                <w:rPr>
                  <w:lang w:eastAsia="lt-LT"/>
                </w:rPr>
                <w:drawing>
                  <wp:inline distT="0" distB="0" distL="0" distR="0">
                    <wp:extent cx="5585412" cy="6211054"/>
                    <wp:effectExtent l="0" t="0" r="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585412" cy="6211054"/>
                            </a:xfrm>
                            <a:prstGeom prst="rect">
                              <a:avLst/>
                            </a:prstGeom>
                          </pic:spPr>
                        </pic:pic>
                      </a:graphicData>
                    </a:graphic>
                  </wp:inline>
                </w:drawing>
              </w:r>
            </w:p>
          </w:sdtContent>
        </w:sdt>
        <w:sdt>
          <w:sdtPr>
            <w:alias w:val="pabaiga"/>
            <w:tag w:val="part_a13771290ece43e5b2f8d97f5f772089"/>
            <w:lock w:val="sdtLocked"/>
            <w:richText/>
          </w:sdtPr>
          <w:sdtContent>
            <w:p>
              <w:pPr>
                <w:widowControl w:val="0"/>
                <w:jc w:val="center"/>
              </w:pPr>
              <w:r>
                <w:t>_______________________</w:t>
              </w:r>
            </w:p>
            <w:p>
              <w:pPr>
                <w:tabs>
                  <w:tab w:val="center" w:pos="4819"/>
                  <w:tab w:val="right" w:pos="9638"/>
                </w:tabs>
              </w:pPr>
            </w:p>
          </w:sdtContent>
        </w:sdt>
      </w:sdtContent>
    </w:sdt>
    <w:sdt>
      <w:sdtPr>
        <w:alias w:val="3 pr."/>
        <w:tag w:val="part_703acc955b6f4c39a439f6ecaad01ffd"/>
        <w:lock w:val="sdtLocked"/>
        <w:richText/>
      </w:sdtPr>
      <w:sdtContent>
        <w:p>
          <w:pPr>
            <w:ind w:left="5954"/>
            <w:sectPr>
              <w:pgSz w:w="11907" w:h="16839" w:code="9"/>
              <w:pgMar w:top="1134" w:right="567" w:bottom="1134" w:left="1701" w:header="709" w:footer="709" w:gutter="0"/>
              <w:pgNumType w:start="1"/>
              <w:cols w:space="708"/>
              <w:titlePg/>
              <w:docGrid w:linePitch="326"/>
            </w:sectPr>
          </w:pPr>
        </w:p>
        <w:p>
          <w:pPr>
            <w:ind w:firstLine="5387"/>
            <w:rPr>
              <w:szCs w:val="24"/>
            </w:rPr>
          </w:pPr>
          <w:r>
            <w:rPr>
              <w:szCs w:val="24"/>
            </w:rPr>
            <w:t>Geriamojo vandens tiekimo ir</w:t>
          </w:r>
        </w:p>
        <w:p>
          <w:pPr>
            <w:ind w:firstLine="5387"/>
            <w:rPr>
              <w:szCs w:val="24"/>
            </w:rPr>
          </w:pPr>
          <w:r>
            <w:rPr>
              <w:szCs w:val="24"/>
            </w:rPr>
            <w:t>nuotekų tvarkymo</w:t>
          </w:r>
        </w:p>
        <w:p>
          <w:pPr>
            <w:ind w:firstLine="5387"/>
            <w:rPr>
              <w:szCs w:val="24"/>
            </w:rPr>
          </w:pPr>
          <w:r>
            <w:rPr>
              <w:szCs w:val="24"/>
            </w:rPr>
            <w:t>infrastruktūros plėtros planų</w:t>
          </w:r>
        </w:p>
        <w:p>
          <w:pPr>
            <w:ind w:firstLine="5387"/>
            <w:rPr>
              <w:szCs w:val="24"/>
            </w:rPr>
          </w:pPr>
          <w:r>
            <w:rPr>
              <w:szCs w:val="24"/>
            </w:rPr>
            <w:t>rengimo taisyklių</w:t>
          </w:r>
        </w:p>
        <w:p>
          <w:pPr>
            <w:ind w:firstLine="5387"/>
            <w:rPr>
              <w:szCs w:val="24"/>
            </w:rPr>
          </w:pPr>
          <w:sdt>
            <w:sdtPr>
              <w:alias w:val="Numeris"/>
              <w:tag w:val="nr_703acc955b6f4c39a439f6ecaad01ffd"/>
              <w:lock w:val="sdtLocked"/>
              <w:richText/>
            </w:sdtPr>
            <w:sdtContent>
              <w:r>
                <w:rPr>
                  <w:szCs w:val="24"/>
                </w:rPr>
                <w:t>3</w:t>
              </w:r>
            </w:sdtContent>
          </w:sdt>
          <w:r>
            <w:rPr>
              <w:szCs w:val="24"/>
            </w:rPr>
            <w:t xml:space="preserve"> priedas </w:t>
          </w:r>
        </w:p>
        <w:p>
          <w:pPr/>
        </w:p>
        <w:p>
          <w:pPr>
            <w:rPr>
              <w:sz w:val="8"/>
              <w:szCs w:val="8"/>
            </w:rPr>
          </w:pPr>
        </w:p>
        <w:p>
          <w:pPr>
            <w:jc w:val="center"/>
            <w:rPr>
              <w:b/>
              <w:bCs/>
              <w:kern w:val="36"/>
              <w:szCs w:val="24"/>
              <w:lang w:eastAsia="lt-LT"/>
            </w:rPr>
          </w:pPr>
          <w:sdt>
            <w:sdtPr>
              <w:alias w:val="Pavadinimas"/>
              <w:tag w:val="title_703acc955b6f4c39a439f6ecaad01ffd"/>
              <w:lock w:val="sdtLocked"/>
              <w:richText/>
            </w:sdtPr>
            <w:sdtContent>
              <w:r>
                <w:rPr>
                  <w:b/>
                  <w:bCs/>
                  <w:kern w:val="36"/>
                  <w:szCs w:val="24"/>
                  <w:lang w:eastAsia="lt-LT"/>
                </w:rPr>
                <w:t>AGLOMERACIJŲ ERDVINIŲ DUOMENŲ RINKINIO SPECIFIKACIJA</w:t>
              </w:r>
            </w:sdtContent>
          </w:sdt>
        </w:p>
        <w:p>
          <w:pPr>
            <w:rPr>
              <w:sz w:val="8"/>
              <w:szCs w:val="8"/>
            </w:rPr>
          </w:pPr>
        </w:p>
        <w:sdt>
          <w:sdtPr>
            <w:alias w:val="skyrius"/>
            <w:tag w:val="part_ca123673d6684e00b9cad98b355d8a4f"/>
            <w:lock w:val="sdtLocked"/>
            <w:richText/>
          </w:sdtPr>
          <w:sdtContent>
            <w:p>
              <w:pPr>
                <w:jc w:val="center"/>
                <w:rPr>
                  <w:b/>
                  <w:bCs/>
                  <w:kern w:val="36"/>
                  <w:szCs w:val="24"/>
                  <w:lang w:eastAsia="lt-LT"/>
                </w:rPr>
              </w:pPr>
              <w:sdt>
                <w:sdtPr>
                  <w:alias w:val="Numeris"/>
                  <w:tag w:val="nr_ca123673d6684e00b9cad98b355d8a4f"/>
                  <w:lock w:val="sdtLocked"/>
                  <w:richText/>
                </w:sdtPr>
                <w:sdtContent>
                  <w:r>
                    <w:rPr>
                      <w:b/>
                      <w:bCs/>
                      <w:kern w:val="36"/>
                      <w:szCs w:val="24"/>
                      <w:lang w:eastAsia="lt-LT"/>
                    </w:rPr>
                    <w:t>I</w:t>
                  </w:r>
                </w:sdtContent>
              </w:sdt>
              <w:r>
                <w:rPr>
                  <w:b/>
                  <w:bCs/>
                  <w:kern w:val="36"/>
                  <w:szCs w:val="24"/>
                  <w:lang w:eastAsia="lt-LT"/>
                </w:rPr>
                <w:t xml:space="preserve"> SKYRIUS</w:t>
              </w:r>
            </w:p>
            <w:p>
              <w:pPr>
                <w:jc w:val="center"/>
                <w:rPr>
                  <w:b/>
                  <w:bCs/>
                  <w:kern w:val="36"/>
                  <w:szCs w:val="24"/>
                  <w:lang w:eastAsia="lt-LT"/>
                </w:rPr>
              </w:pPr>
              <w:sdt>
                <w:sdtPr>
                  <w:alias w:val="Pavadinimas"/>
                  <w:tag w:val="title_ca123673d6684e00b9cad98b355d8a4f"/>
                  <w:lock w:val="sdtLocked"/>
                  <w:richText/>
                </w:sdtPr>
                <w:sdtContent>
                  <w:r>
                    <w:rPr>
                      <w:b/>
                      <w:bCs/>
                      <w:kern w:val="36"/>
                      <w:szCs w:val="24"/>
                      <w:lang w:eastAsia="lt-LT"/>
                    </w:rPr>
                    <w:t>BENDROSIOS NUOSTATOS</w:t>
                  </w:r>
                </w:sdtContent>
              </w:sdt>
            </w:p>
            <w:p>
              <w:pPr>
                <w:rPr>
                  <w:sz w:val="8"/>
                  <w:szCs w:val="8"/>
                </w:rPr>
              </w:pPr>
            </w:p>
            <w:sdt>
              <w:sdtPr>
                <w:alias w:val="3 pr. 1 p."/>
                <w:tag w:val="part_3f4d10ba4e914c2691cda5a16aede667"/>
                <w:lock w:val="sdtLocked"/>
                <w:richText/>
              </w:sdtPr>
              <w:sdtContent>
                <w:p>
                  <w:pPr>
                    <w:tabs>
                      <w:tab w:val="left" w:pos="851"/>
                      <w:tab w:val="left" w:pos="1560"/>
                    </w:tabs>
                    <w:ind w:firstLine="567"/>
                    <w:jc w:val="both"/>
                    <w:rPr>
                      <w:lang w:eastAsia="lt-LT"/>
                    </w:rPr>
                  </w:pPr>
                  <w:sdt>
                    <w:sdtPr>
                      <w:alias w:val="Numeris"/>
                      <w:tag w:val="nr_3f4d10ba4e914c2691cda5a16aede667"/>
                      <w:lock w:val="sdtLocked"/>
                      <w:richText/>
                    </w:sdtPr>
                    <w:sdtContent>
                      <w:r>
                        <w:rPr>
                          <w:lang w:eastAsia="lt-LT"/>
                        </w:rPr>
                        <w:t>1</w:t>
                      </w:r>
                    </w:sdtContent>
                  </w:sdt>
                  <w:r>
                    <w:rPr>
                      <w:lang w:eastAsia="lt-LT"/>
                    </w:rPr>
                    <w:t>.</w:t>
                    <w:tab/>
                    <w:t>Aglomeracijų erdvinių duomenų rinkinio (toliau – AEDR) specifikacija (toliau – specifikacija) apibrėžia AEDR turinį, kodavimą, privalomąsias savybes ir erdvinių duomenų pateikimą AEDR tvarkytojui.</w:t>
                  </w:r>
                </w:p>
                <w:p>
                  <w:pPr>
                    <w:rPr>
                      <w:sz w:val="8"/>
                      <w:szCs w:val="8"/>
                    </w:rPr>
                  </w:pPr>
                </w:p>
              </w:sdtContent>
            </w:sdt>
            <w:sdt>
              <w:sdtPr>
                <w:alias w:val="3 pr. 2 p."/>
                <w:tag w:val="part_239afcf60f7940948f9ea37a11d2496a"/>
                <w:lock w:val="sdtLocked"/>
                <w:richText/>
              </w:sdtPr>
              <w:sdtContent>
                <w:p>
                  <w:pPr>
                    <w:tabs>
                      <w:tab w:val="left" w:pos="851"/>
                      <w:tab w:val="left" w:pos="1560"/>
                    </w:tabs>
                    <w:ind w:firstLine="567"/>
                    <w:jc w:val="both"/>
                    <w:rPr>
                      <w:lang w:eastAsia="lt-LT"/>
                    </w:rPr>
                  </w:pPr>
                  <w:sdt>
                    <w:sdtPr>
                      <w:alias w:val="Numeris"/>
                      <w:tag w:val="nr_239afcf60f7940948f9ea37a11d2496a"/>
                      <w:lock w:val="sdtLocked"/>
                      <w:richText/>
                    </w:sdtPr>
                    <w:sdtContent>
                      <w:r>
                        <w:rPr>
                          <w:lang w:eastAsia="lt-LT"/>
                        </w:rPr>
                        <w:t>2</w:t>
                      </w:r>
                    </w:sdtContent>
                  </w:sdt>
                  <w:r>
                    <w:rPr>
                      <w:lang w:eastAsia="lt-LT"/>
                    </w:rPr>
                    <w:t>.</w:t>
                    <w:tab/>
                    <w:t>AEDR tvarkytojas yra Nuotekų tvarkymo informacinės sistemos (toliau – NTIS) tvarkytojas, nustatytas Nuotekų tvarkymo informacinės sistemos nuostatuose, patvirtintuose Lietuvos Respublikos aplinkos ministro 2023 m. birželio 9 d. įsakymu Nr. D1-188 „Dėl Nuotekų tvarkymo informacinės sistemos nuostatų ir duomenų saugos nuostatų patvirtinimo“ (toliau – Tvarkytojas), kuris yra atsakingas už AEDR priežiūrą NTIS.</w:t>
                  </w:r>
                </w:p>
                <w:p>
                  <w:pPr>
                    <w:rPr>
                      <w:sz w:val="8"/>
                      <w:szCs w:val="8"/>
                    </w:rPr>
                  </w:pPr>
                </w:p>
              </w:sdtContent>
            </w:sdt>
            <w:sdt>
              <w:sdtPr>
                <w:alias w:val="3 pr. 3 p."/>
                <w:tag w:val="part_697a288fb66d43ff9ff7f1009d011853"/>
                <w:lock w:val="sdtLocked"/>
                <w:richText/>
              </w:sdtPr>
              <w:sdtContent>
                <w:p>
                  <w:pPr>
                    <w:tabs>
                      <w:tab w:val="left" w:pos="851"/>
                      <w:tab w:val="left" w:pos="1560"/>
                    </w:tabs>
                    <w:ind w:firstLine="567"/>
                    <w:jc w:val="both"/>
                    <w:rPr>
                      <w:lang w:eastAsia="lt-LT"/>
                    </w:rPr>
                  </w:pPr>
                  <w:sdt>
                    <w:sdtPr>
                      <w:alias w:val="Numeris"/>
                      <w:tag w:val="nr_697a288fb66d43ff9ff7f1009d011853"/>
                      <w:lock w:val="sdtLocked"/>
                      <w:richText/>
                    </w:sdtPr>
                    <w:sdtContent>
                      <w:r>
                        <w:rPr>
                          <w:lang w:eastAsia="lt-LT"/>
                        </w:rPr>
                        <w:t>3</w:t>
                      </w:r>
                    </w:sdtContent>
                  </w:sdt>
                  <w:r>
                    <w:rPr>
                      <w:lang w:eastAsia="lt-LT"/>
                    </w:rPr>
                    <w:t>.</w:t>
                    <w:tab/>
                    <w:t>Savivaldybių administracijos yra AEDR duomenų rengėjai, atsakingi už duomenų naujinimą ir pateikimą AEDR tvarkytojui per NTIS (toliau – rinkinio teikėjai).</w:t>
                  </w:r>
                </w:p>
                <w:p>
                  <w:pPr>
                    <w:rPr>
                      <w:sz w:val="8"/>
                      <w:szCs w:val="8"/>
                    </w:rPr>
                  </w:pPr>
                </w:p>
              </w:sdtContent>
            </w:sdt>
            <w:sdt>
              <w:sdtPr>
                <w:alias w:val="3 pr. 4 p."/>
                <w:tag w:val="part_05e4f87dad3b4afb896082e4f7389663"/>
                <w:lock w:val="sdtLocked"/>
                <w:richText/>
              </w:sdtPr>
              <w:sdtContent>
                <w:p>
                  <w:pPr>
                    <w:tabs>
                      <w:tab w:val="left" w:pos="0"/>
                      <w:tab w:val="left" w:pos="851"/>
                      <w:tab w:val="left" w:pos="1560"/>
                    </w:tabs>
                    <w:ind w:firstLine="567"/>
                    <w:jc w:val="both"/>
                    <w:rPr>
                      <w:szCs w:val="24"/>
                      <w:lang w:eastAsia="lt-LT"/>
                    </w:rPr>
                  </w:pPr>
                  <w:sdt>
                    <w:sdtPr>
                      <w:alias w:val="Numeris"/>
                      <w:tag w:val="nr_05e4f87dad3b4afb896082e4f7389663"/>
                      <w:lock w:val="sdtLocked"/>
                      <w:richText/>
                    </w:sdtPr>
                    <w:sdtContent>
                      <w:r>
                        <w:rPr>
                          <w:szCs w:val="24"/>
                          <w:lang w:eastAsia="lt-LT"/>
                        </w:rPr>
                        <w:t>4</w:t>
                      </w:r>
                    </w:sdtContent>
                  </w:sdt>
                  <w:r>
                    <w:rPr>
                      <w:szCs w:val="24"/>
                      <w:lang w:eastAsia="lt-LT"/>
                    </w:rPr>
                    <w:t>.</w:t>
                    <w:tab/>
                  </w:r>
                  <w:r>
                    <w:rPr>
                      <w:lang w:eastAsia="lt-LT"/>
                    </w:rPr>
                    <w:t xml:space="preserve">AEDR turinį sudaro erdviniai ir jų aprašomieji (atributiniai) duomenys apie urbanizuotose ar urbanizuojamose teritorijose esančias viešojo geriamojo vandens tiekimo ir nuotekų tvarkymo teritorijas ar jos dalis, kuriose susidaro ar gali susidaryti 2 000 ir daugiau gyventojų ekvivalentų atitinkanti tarša ir kuriose geriamasis vanduo tiekiamas ar numatomas tiekti centralizuota geriamojo vandens tiekimo sistema arba išgaunamas individualiai, o susidarančios ar galinčios susidaryti nuotekos surenkamos centralizuotomis nuotekų surinkimo sistemomis arba sutvarkomos individualiais  nuotekų valymo (arba) kaupimo įrenginiais.</w:t>
                  </w:r>
                </w:p>
                <w:p>
                  <w:pPr>
                    <w:rPr>
                      <w:sz w:val="8"/>
                      <w:szCs w:val="8"/>
                    </w:rPr>
                  </w:pPr>
                </w:p>
              </w:sdtContent>
            </w:sdt>
            <w:sdt>
              <w:sdtPr>
                <w:alias w:val="3 pr. 5 p."/>
                <w:tag w:val="part_123ffbafae60408f950b2ba49f42a901"/>
                <w:lock w:val="sdtLocked"/>
                <w:richText/>
              </w:sdtPr>
              <w:sdtContent>
                <w:p>
                  <w:pPr>
                    <w:tabs>
                      <w:tab w:val="left" w:pos="0"/>
                      <w:tab w:val="left" w:pos="851"/>
                      <w:tab w:val="left" w:pos="993"/>
                      <w:tab w:val="left" w:pos="1276"/>
                      <w:tab w:val="left" w:pos="1560"/>
                    </w:tabs>
                    <w:ind w:firstLine="567"/>
                    <w:jc w:val="both"/>
                    <w:rPr>
                      <w:szCs w:val="24"/>
                      <w:lang w:eastAsia="lt-LT"/>
                    </w:rPr>
                  </w:pPr>
                  <w:sdt>
                    <w:sdtPr>
                      <w:alias w:val="Numeris"/>
                      <w:tag w:val="nr_123ffbafae60408f950b2ba49f42a901"/>
                      <w:lock w:val="sdtLocked"/>
                      <w:richText/>
                    </w:sdtPr>
                    <w:sdtContent>
                      <w:r>
                        <w:rPr>
                          <w:szCs w:val="24"/>
                          <w:lang w:eastAsia="lt-LT"/>
                        </w:rPr>
                        <w:t>5</w:t>
                      </w:r>
                    </w:sdtContent>
                  </w:sdt>
                  <w:r>
                    <w:rPr>
                      <w:szCs w:val="24"/>
                      <w:lang w:eastAsia="lt-LT"/>
                    </w:rPr>
                    <w:t>.</w:t>
                    <w:tab/>
                  </w:r>
                  <w:r>
                    <w:rPr>
                      <w:lang w:eastAsia="lt-LT"/>
                    </w:rPr>
                    <w:t xml:space="preserve">AEDR informacija kaupiama ir saugoma </w:t>
                  </w:r>
                  <w:r>
                    <w:rPr>
                      <w:szCs w:val="24"/>
                      <w:lang w:eastAsia="lt-LT"/>
                    </w:rPr>
                    <w:t>1994 metų Lietuvos koordinačių sistemoje, patvirtintoje Lietuvos Respublikos Vyriausybės 1994 m. rugsėjo 30 d. nutarimu Nr. 936 „Dėl Lietuvos geodezinių koordinačių sistemos įvedimo“</w:t>
                  </w:r>
                  <w:r>
                    <w:rPr>
                      <w:lang w:eastAsia="lt-LT"/>
                    </w:rPr>
                    <w:t>.</w:t>
                  </w:r>
                </w:p>
                <w:p>
                  <w:pPr>
                    <w:rPr>
                      <w:sz w:val="8"/>
                      <w:szCs w:val="8"/>
                    </w:rPr>
                  </w:pPr>
                </w:p>
              </w:sdtContent>
            </w:sdt>
            <w:sdt>
              <w:sdtPr>
                <w:alias w:val="3 pr. 6 p."/>
                <w:tag w:val="part_abdf87edef1449a68be728175b091de7"/>
                <w:lock w:val="sdtLocked"/>
                <w:richText/>
              </w:sdtPr>
              <w:sdtContent>
                <w:p>
                  <w:pPr>
                    <w:tabs>
                      <w:tab w:val="left" w:pos="851"/>
                      <w:tab w:val="left" w:pos="993"/>
                      <w:tab w:val="left" w:pos="1560"/>
                    </w:tabs>
                    <w:ind w:firstLine="567"/>
                    <w:jc w:val="both"/>
                    <w:rPr>
                      <w:lang w:eastAsia="lt-LT"/>
                    </w:rPr>
                  </w:pPr>
                  <w:sdt>
                    <w:sdtPr>
                      <w:alias w:val="Numeris"/>
                      <w:tag w:val="nr_abdf87edef1449a68be728175b091de7"/>
                      <w:lock w:val="sdtLocked"/>
                      <w:richText/>
                    </w:sdtPr>
                    <w:sdtContent>
                      <w:r>
                        <w:rPr>
                          <w:lang w:eastAsia="lt-LT"/>
                        </w:rPr>
                        <w:t>6</w:t>
                      </w:r>
                    </w:sdtContent>
                  </w:sdt>
                  <w:r>
                    <w:rPr>
                      <w:lang w:eastAsia="lt-LT"/>
                    </w:rPr>
                    <w:t>.</w:t>
                    <w:tab/>
                    <w:t>AEDR erdviniai ir jų aprašomieji duomenys tvarkomi viename sluoksnyje, kurio reikalavimai nurodyti specifikacijos II skyriuje.</w:t>
                  </w:r>
                </w:p>
                <w:p>
                  <w:pPr>
                    <w:rPr>
                      <w:sz w:val="8"/>
                      <w:szCs w:val="8"/>
                    </w:rPr>
                  </w:pPr>
                </w:p>
              </w:sdtContent>
            </w:sdt>
            <w:sdt>
              <w:sdtPr>
                <w:alias w:val="3 pr. 7 p."/>
                <w:tag w:val="part_494dd4ff18de43f1b0e578b8fa813a47"/>
                <w:lock w:val="sdtLocked"/>
                <w:richText/>
              </w:sdtPr>
              <w:sdtContent>
                <w:p>
                  <w:pPr>
                    <w:tabs>
                      <w:tab w:val="left" w:pos="0"/>
                      <w:tab w:val="left" w:pos="851"/>
                      <w:tab w:val="left" w:pos="1418"/>
                      <w:tab w:val="left" w:pos="1560"/>
                    </w:tabs>
                    <w:ind w:firstLine="567"/>
                    <w:jc w:val="both"/>
                    <w:rPr>
                      <w:lang w:eastAsia="lt-LT"/>
                    </w:rPr>
                  </w:pPr>
                  <w:sdt>
                    <w:sdtPr>
                      <w:alias w:val="Numeris"/>
                      <w:tag w:val="nr_494dd4ff18de43f1b0e578b8fa813a47"/>
                      <w:lock w:val="sdtLocked"/>
                      <w:richText/>
                    </w:sdtPr>
                    <w:sdtContent>
                      <w:r>
                        <w:rPr>
                          <w:lang w:eastAsia="lt-LT"/>
                        </w:rPr>
                        <w:t>7</w:t>
                      </w:r>
                    </w:sdtContent>
                  </w:sdt>
                  <w:r>
                    <w:rPr>
                      <w:lang w:eastAsia="lt-LT"/>
                    </w:rPr>
                    <w:t>.</w:t>
                    <w:tab/>
                    <w:t>AEDR erdvinius duomenis tvarkytojas teikia naudojantis NTIS elektroninėmis duomenų teikimo priemonėmis.</w:t>
                  </w:r>
                </w:p>
                <w:p>
                  <w:pPr>
                    <w:rPr>
                      <w:sz w:val="8"/>
                      <w:szCs w:val="8"/>
                    </w:rPr>
                  </w:pPr>
                </w:p>
              </w:sdtContent>
            </w:sdt>
            <w:sdt>
              <w:sdtPr>
                <w:alias w:val="3 pr. 8 p."/>
                <w:tag w:val="part_e44fb65e27d4491787a2f4839367e904"/>
                <w:lock w:val="sdtLocked"/>
                <w:richText/>
              </w:sdtPr>
              <w:sdtContent>
                <w:p>
                  <w:pPr>
                    <w:tabs>
                      <w:tab w:val="left" w:pos="851"/>
                      <w:tab w:val="left" w:pos="1560"/>
                    </w:tabs>
                    <w:ind w:firstLine="567"/>
                    <w:jc w:val="both"/>
                    <w:rPr>
                      <w:lang w:eastAsia="lt-LT"/>
                    </w:rPr>
                  </w:pPr>
                  <w:sdt>
                    <w:sdtPr>
                      <w:alias w:val="Numeris"/>
                      <w:tag w:val="nr_e44fb65e27d4491787a2f4839367e904"/>
                      <w:lock w:val="sdtLocked"/>
                      <w:richText/>
                    </w:sdtPr>
                    <w:sdtContent>
                      <w:r>
                        <w:rPr>
                          <w:lang w:eastAsia="lt-LT"/>
                        </w:rPr>
                        <w:t>8</w:t>
                      </w:r>
                    </w:sdtContent>
                  </w:sdt>
                  <w:r>
                    <w:rPr>
                      <w:lang w:eastAsia="lt-LT"/>
                    </w:rPr>
                    <w:t>.</w:t>
                    <w:tab/>
                    <w:t>Specifikacija privalo vadovautis tvarkytojas ir AEDR rengėjai.</w:t>
                  </w:r>
                </w:p>
              </w:sdtContent>
            </w:sdt>
            <w:sdt>
              <w:sdtPr>
                <w:alias w:val="3 pr. 9 p."/>
                <w:tag w:val="part_68e55ee08b5447248b08e2bde605549e"/>
                <w:lock w:val="sdtLocked"/>
                <w:richText/>
              </w:sdtPr>
              <w:sdtContent>
                <w:p>
                  <w:pPr>
                    <w:tabs>
                      <w:tab w:val="left" w:pos="0"/>
                      <w:tab w:val="left" w:pos="851"/>
                      <w:tab w:val="left" w:pos="1560"/>
                    </w:tabs>
                    <w:ind w:firstLine="567"/>
                    <w:jc w:val="both"/>
                    <w:rPr>
                      <w:szCs w:val="24"/>
                      <w:lang w:eastAsia="lt-LT"/>
                    </w:rPr>
                  </w:pPr>
                  <w:sdt>
                    <w:sdtPr>
                      <w:alias w:val="Numeris"/>
                      <w:tag w:val="nr_68e55ee08b5447248b08e2bde605549e"/>
                      <w:lock w:val="sdtLocked"/>
                      <w:richText/>
                    </w:sdtPr>
                    <w:sdtContent>
                      <w:r>
                        <w:rPr>
                          <w:szCs w:val="24"/>
                          <w:lang w:eastAsia="lt-LT"/>
                        </w:rPr>
                        <w:t>9</w:t>
                      </w:r>
                    </w:sdtContent>
                  </w:sdt>
                  <w:r>
                    <w:rPr>
                      <w:szCs w:val="24"/>
                      <w:lang w:eastAsia="lt-LT"/>
                    </w:rPr>
                    <w:t>.</w:t>
                    <w:tab/>
                  </w:r>
                  <w:r>
                    <w:rPr>
                      <w:lang w:eastAsia="lt-LT"/>
                    </w:rPr>
                    <w:t xml:space="preserve"> AEDR turi būti tvarkomas ir teikiamas tvarkytojui, naudotojams </w:t>
                  </w:r>
                  <w:r>
                    <w:rPr>
                      <w:i/>
                      <w:lang w:eastAsia="lt-LT"/>
                    </w:rPr>
                    <w:t>ESRI Shape</w:t>
                  </w:r>
                  <w:r>
                    <w:rPr>
                      <w:lang w:eastAsia="lt-LT"/>
                    </w:rPr>
                    <w:t xml:space="preserve"> ar </w:t>
                  </w:r>
                  <w:r>
                    <w:rPr>
                      <w:i/>
                      <w:iCs/>
                      <w:lang w:eastAsia="lt-LT"/>
                    </w:rPr>
                    <w:t>GeoJSON</w:t>
                  </w:r>
                  <w:r>
                    <w:rPr>
                      <w:lang w:eastAsia="lt-LT"/>
                    </w:rPr>
                    <w:t xml:space="preserve"> formatais:</w:t>
                  </w:r>
                </w:p>
                <w:sdt>
                  <w:sdtPr>
                    <w:alias w:val="3 pr. 9.1 pp."/>
                    <w:tag w:val="part_c3bbe80b5a0644dfb3572152c842a1c5"/>
                    <w:lock w:val="sdtLocked"/>
                    <w:richText/>
                  </w:sdtPr>
                  <w:sdtContent>
                    <w:p>
                      <w:pPr>
                        <w:ind w:firstLine="567"/>
                        <w:jc w:val="both"/>
                        <w:rPr>
                          <w:szCs w:val="24"/>
                          <w:lang w:eastAsia="lt-LT"/>
                        </w:rPr>
                      </w:pPr>
                      <w:sdt>
                        <w:sdtPr>
                          <w:alias w:val="Numeris"/>
                          <w:tag w:val="nr_c3bbe80b5a0644dfb3572152c842a1c5"/>
                          <w:lock w:val="sdtLocked"/>
                          <w:richText/>
                        </w:sdtPr>
                        <w:sdtContent>
                          <w:r>
                            <w:rPr>
                              <w:szCs w:val="24"/>
                              <w:lang w:eastAsia="lt-LT"/>
                            </w:rPr>
                            <w:t>9.1</w:t>
                          </w:r>
                        </w:sdtContent>
                      </w:sdt>
                      <w:r>
                        <w:rPr>
                          <w:szCs w:val="24"/>
                          <w:lang w:eastAsia="lt-LT"/>
                        </w:rPr>
                        <w:t xml:space="preserve">. </w:t>
                      </w:r>
                      <w:r>
                        <w:rPr>
                          <w:i/>
                          <w:szCs w:val="24"/>
                          <w:lang w:eastAsia="lt-LT"/>
                        </w:rPr>
                        <w:t>GeoJSON</w:t>
                      </w:r>
                      <w:r>
                        <w:rPr>
                          <w:szCs w:val="24"/>
                          <w:lang w:eastAsia="lt-LT"/>
                        </w:rPr>
                        <w:t xml:space="preserve"> – atviras erdvinių duomenų saugojimo ir apsikeitimo tarp geografinių informacinių sistemų formatas;</w:t>
                      </w:r>
                    </w:p>
                  </w:sdtContent>
                </w:sdt>
                <w:sdt>
                  <w:sdtPr>
                    <w:alias w:val="3 pr. 9.2 pp."/>
                    <w:tag w:val="part_057e113c0e9644c0b419f8787d04ba1b"/>
                    <w:lock w:val="sdtLocked"/>
                    <w:richText/>
                  </w:sdtPr>
                  <w:sdtContent>
                    <w:p>
                      <w:pPr>
                        <w:tabs>
                          <w:tab w:val="left" w:pos="851"/>
                          <w:tab w:val="left" w:pos="1560"/>
                        </w:tabs>
                        <w:ind w:firstLine="567"/>
                        <w:jc w:val="both"/>
                        <w:rPr>
                          <w:szCs w:val="24"/>
                          <w:lang w:eastAsia="lt-LT"/>
                        </w:rPr>
                      </w:pPr>
                      <w:sdt>
                        <w:sdtPr>
                          <w:alias w:val="Numeris"/>
                          <w:tag w:val="nr_057e113c0e9644c0b419f8787d04ba1b"/>
                          <w:lock w:val="sdtLocked"/>
                          <w:richText/>
                        </w:sdtPr>
                        <w:sdtContent>
                          <w:r>
                            <w:rPr>
                              <w:szCs w:val="24"/>
                              <w:lang w:eastAsia="lt-LT"/>
                            </w:rPr>
                            <w:t>9.2</w:t>
                          </w:r>
                        </w:sdtContent>
                      </w:sdt>
                      <w:r>
                        <w:rPr>
                          <w:szCs w:val="24"/>
                          <w:lang w:eastAsia="lt-LT"/>
                        </w:rPr>
                        <w:t xml:space="preserve">. </w:t>
                      </w:r>
                      <w:r>
                        <w:rPr>
                          <w:i/>
                          <w:szCs w:val="24"/>
                          <w:lang w:eastAsia="lt-LT"/>
                        </w:rPr>
                        <w:t>ESRI Shape</w:t>
                      </w:r>
                      <w:r>
                        <w:rPr>
                          <w:szCs w:val="24"/>
                          <w:lang w:eastAsia="lt-LT"/>
                        </w:rPr>
                        <w:t xml:space="preserve"> –</w:t>
                      </w:r>
                      <w:r>
                        <w:rPr>
                          <w:i/>
                          <w:szCs w:val="24"/>
                          <w:lang w:eastAsia="lt-LT"/>
                        </w:rPr>
                        <w:t xml:space="preserve"> ESRI</w:t>
                      </w:r>
                      <w:r>
                        <w:rPr>
                          <w:szCs w:val="24"/>
                          <w:lang w:eastAsia="lt-LT"/>
                        </w:rPr>
                        <w:t xml:space="preserve"> skaitmeninis vektorinių duomenų formatas su būtinomis SHP, SHX ir DBF bylomis.</w:t>
                      </w:r>
                    </w:p>
                  </w:sdtContent>
                </w:sdt>
              </w:sdtContent>
            </w:sdt>
            <w:sdt>
              <w:sdtPr>
                <w:alias w:val="3 pr. 10 p."/>
                <w:tag w:val="part_840fcfbae6534fc9ae599641103c522a"/>
                <w:lock w:val="sdtLocked"/>
                <w:richText/>
              </w:sdtPr>
              <w:sdtContent>
                <w:p>
                  <w:pPr>
                    <w:tabs>
                      <w:tab w:val="left" w:pos="851"/>
                      <w:tab w:val="left" w:pos="993"/>
                    </w:tabs>
                    <w:ind w:firstLine="567"/>
                    <w:jc w:val="both"/>
                    <w:rPr>
                      <w:lang w:eastAsia="lt-LT"/>
                    </w:rPr>
                  </w:pPr>
                  <w:sdt>
                    <w:sdtPr>
                      <w:alias w:val="Numeris"/>
                      <w:tag w:val="nr_840fcfbae6534fc9ae599641103c522a"/>
                      <w:lock w:val="sdtLocked"/>
                      <w:richText/>
                    </w:sdtPr>
                    <w:sdtContent>
                      <w:r>
                        <w:rPr>
                          <w:lang w:eastAsia="lt-LT"/>
                        </w:rPr>
                        <w:t>10</w:t>
                      </w:r>
                    </w:sdtContent>
                  </w:sdt>
                  <w:r>
                    <w:rPr>
                      <w:lang w:eastAsia="lt-LT"/>
                    </w:rPr>
                    <w:t>.</w:t>
                    <w:tab/>
                    <w:t>AEDR tvarkytojui teikiamas naudojantis Nuotekų tvarkymo informacinės sistemos (toliau – NTIS) elektroninėmis duomenų teikimo priemonėmis.</w:t>
                  </w:r>
                </w:p>
                <w:p>
                  <w:pPr>
                    <w:tabs>
                      <w:tab w:val="left" w:pos="851"/>
                    </w:tabs>
                    <w:ind w:left="567"/>
                    <w:jc w:val="both"/>
                    <w:rPr>
                      <w:lang w:eastAsia="lt-LT"/>
                    </w:rPr>
                  </w:pPr>
                </w:p>
              </w:sdtContent>
            </w:sdt>
          </w:sdtContent>
        </w:sdt>
        <w:sdt>
          <w:sdtPr>
            <w:alias w:val="skyrius"/>
            <w:tag w:val="part_7685cd5ff9714aa4acfdd537bc51b5a4"/>
            <w:lock w:val="sdtLocked"/>
            <w:richText/>
          </w:sdtPr>
          <w:sdtContent>
            <w:p>
              <w:pPr>
                <w:jc w:val="center"/>
                <w:rPr>
                  <w:b/>
                  <w:bCs/>
                  <w:kern w:val="36"/>
                  <w:szCs w:val="24"/>
                  <w:lang w:eastAsia="lt-LT"/>
                </w:rPr>
              </w:pPr>
              <w:sdt>
                <w:sdtPr>
                  <w:alias w:val="Numeris"/>
                  <w:tag w:val="nr_7685cd5ff9714aa4acfdd537bc51b5a4"/>
                  <w:lock w:val="sdtLocked"/>
                  <w:richText/>
                </w:sdtPr>
                <w:sdtContent>
                  <w:r>
                    <w:rPr>
                      <w:b/>
                      <w:bCs/>
                      <w:kern w:val="36"/>
                      <w:szCs w:val="24"/>
                      <w:lang w:eastAsia="lt-LT"/>
                    </w:rPr>
                    <w:t>II</w:t>
                  </w:r>
                </w:sdtContent>
              </w:sdt>
              <w:r>
                <w:rPr>
                  <w:b/>
                  <w:bCs/>
                  <w:kern w:val="36"/>
                  <w:szCs w:val="24"/>
                  <w:lang w:eastAsia="lt-LT"/>
                </w:rPr>
                <w:t xml:space="preserve"> SKYRIUS</w:t>
              </w:r>
            </w:p>
            <w:p>
              <w:pPr>
                <w:jc w:val="center"/>
                <w:rPr>
                  <w:b/>
                  <w:bCs/>
                  <w:kern w:val="36"/>
                  <w:szCs w:val="24"/>
                  <w:lang w:eastAsia="lt-LT"/>
                </w:rPr>
              </w:pPr>
              <w:sdt>
                <w:sdtPr>
                  <w:alias w:val="Pavadinimas"/>
                  <w:tag w:val="title_7685cd5ff9714aa4acfdd537bc51b5a4"/>
                  <w:lock w:val="sdtLocked"/>
                  <w:richText/>
                </w:sdtPr>
                <w:sdtContent>
                  <w:r>
                    <w:rPr>
                      <w:b/>
                      <w:bCs/>
                      <w:kern w:val="36"/>
                      <w:szCs w:val="24"/>
                      <w:lang w:eastAsia="lt-LT"/>
                    </w:rPr>
                    <w:t>REIKALAVIMAI AEDR DUOMENŲ TEIKIMUI IR TVARKYMUI</w:t>
                  </w:r>
                </w:sdtContent>
              </w:sdt>
            </w:p>
            <w:sdt>
              <w:sdtPr>
                <w:alias w:val="3 pr. 11 p."/>
                <w:tag w:val="part_d6d4308b586a4573bb1f8e3383b413f8"/>
                <w:lock w:val="sdtLocked"/>
                <w:richText/>
              </w:sdtPr>
              <w:sdtContent>
                <w:p>
                  <w:pPr>
                    <w:tabs>
                      <w:tab w:val="left" w:pos="0"/>
                      <w:tab w:val="left" w:pos="851"/>
                      <w:tab w:val="left" w:pos="993"/>
                    </w:tabs>
                    <w:ind w:firstLine="567"/>
                    <w:jc w:val="both"/>
                    <w:rPr>
                      <w:szCs w:val="24"/>
                      <w:lang w:eastAsia="lt-LT"/>
                    </w:rPr>
                  </w:pPr>
                  <w:sdt>
                    <w:sdtPr>
                      <w:alias w:val="Numeris"/>
                      <w:tag w:val="nr_d6d4308b586a4573bb1f8e3383b413f8"/>
                      <w:lock w:val="sdtLocked"/>
                      <w:richText/>
                    </w:sdtPr>
                    <w:sdtContent>
                      <w:r>
                        <w:rPr>
                          <w:szCs w:val="24"/>
                          <w:lang w:eastAsia="lt-LT"/>
                        </w:rPr>
                        <w:t>11</w:t>
                      </w:r>
                    </w:sdtContent>
                  </w:sdt>
                  <w:r>
                    <w:rPr>
                      <w:szCs w:val="24"/>
                      <w:lang w:eastAsia="lt-LT"/>
                    </w:rPr>
                    <w:t>.</w:t>
                    <w:tab/>
                    <w:t>AEDR sudaro aglomeracijų ribų sluoksnis AGLO_R, kuriame saugomi vektoriniai ir atributiniai duomenys apie nustatytų aglomeracijų teritorijų ribas.</w:t>
                  </w:r>
                </w:p>
              </w:sdtContent>
            </w:sdt>
            <w:sdt>
              <w:sdtPr>
                <w:alias w:val="3 pr. 12 p."/>
                <w:tag w:val="part_80aa868c8521480a96657ba6d8b4d450"/>
                <w:lock w:val="sdtLocked"/>
                <w:richText/>
              </w:sdtPr>
              <w:sdtContent>
                <w:p>
                  <w:pPr>
                    <w:tabs>
                      <w:tab w:val="left" w:pos="426"/>
                      <w:tab w:val="left" w:pos="993"/>
                    </w:tabs>
                    <w:ind w:left="426" w:firstLine="141"/>
                    <w:jc w:val="both"/>
                    <w:rPr>
                      <w:szCs w:val="24"/>
                      <w:lang w:eastAsia="lt-LT"/>
                    </w:rPr>
                  </w:pPr>
                  <w:sdt>
                    <w:sdtPr>
                      <w:alias w:val="Numeris"/>
                      <w:tag w:val="nr_80aa868c8521480a96657ba6d8b4d450"/>
                      <w:lock w:val="sdtLocked"/>
                      <w:richText/>
                    </w:sdtPr>
                    <w:sdtContent>
                      <w:r>
                        <w:rPr>
                          <w:szCs w:val="24"/>
                          <w:lang w:eastAsia="lt-LT"/>
                        </w:rPr>
                        <w:t>12</w:t>
                      </w:r>
                    </w:sdtContent>
                  </w:sdt>
                  <w:r>
                    <w:rPr>
                      <w:szCs w:val="24"/>
                      <w:lang w:eastAsia="lt-LT"/>
                    </w:rPr>
                    <w:t>.</w:t>
                    <w:tab/>
                    <w:t>Teikiami AEDR erdviniai duomenys turi atitikti šias atitikties (validacijos) taisykles:</w:t>
                  </w:r>
                </w:p>
                <w:sdt>
                  <w:sdtPr>
                    <w:alias w:val="3 pr. 12.1 pp."/>
                    <w:tag w:val="part_748253f89816495582563c8552ac665f"/>
                    <w:lock w:val="sdtLocked"/>
                    <w:richText/>
                  </w:sdtPr>
                  <w:sdtContent>
                    <w:p>
                      <w:pPr>
                        <w:tabs>
                          <w:tab w:val="left" w:pos="0"/>
                          <w:tab w:val="left" w:pos="1134"/>
                        </w:tabs>
                        <w:ind w:firstLine="567"/>
                        <w:jc w:val="both"/>
                        <w:rPr>
                          <w:szCs w:val="24"/>
                          <w:lang w:eastAsia="lt-LT"/>
                        </w:rPr>
                      </w:pPr>
                      <w:sdt>
                        <w:sdtPr>
                          <w:alias w:val="Numeris"/>
                          <w:tag w:val="nr_748253f89816495582563c8552ac665f"/>
                          <w:lock w:val="sdtLocked"/>
                          <w:richText/>
                        </w:sdtPr>
                        <w:sdtContent>
                          <w:r>
                            <w:rPr>
                              <w:szCs w:val="24"/>
                              <w:lang w:eastAsia="lt-LT"/>
                            </w:rPr>
                            <w:t>12.1</w:t>
                          </w:r>
                        </w:sdtContent>
                      </w:sdt>
                      <w:r>
                        <w:rPr>
                          <w:szCs w:val="24"/>
                          <w:lang w:eastAsia="lt-LT"/>
                        </w:rPr>
                        <w:t>.</w:t>
                        <w:tab/>
                        <w:t xml:space="preserve"> aglomeracijos teritorija turi būti išreikšta uždara geometrine figūra – poligonu (daugiakampiu, angl. </w:t>
                      </w:r>
                      <w:r>
                        <w:rPr>
                          <w:i/>
                          <w:iCs/>
                          <w:szCs w:val="24"/>
                          <w:lang w:eastAsia="lt-LT"/>
                        </w:rPr>
                        <w:t>polygon</w:t>
                      </w:r>
                      <w:r>
                        <w:rPr>
                          <w:szCs w:val="24"/>
                          <w:lang w:eastAsia="lt-LT"/>
                        </w:rPr>
                        <w:t>);</w:t>
                      </w:r>
                    </w:p>
                  </w:sdtContent>
                </w:sdt>
                <w:sdt>
                  <w:sdtPr>
                    <w:alias w:val="3 pr. 12.2 pp."/>
                    <w:tag w:val="part_82c3c1a2efc04983a93eb53295f76113"/>
                    <w:lock w:val="sdtLocked"/>
                    <w:richText/>
                  </w:sdtPr>
                  <w:sdtContent>
                    <w:p>
                      <w:pPr>
                        <w:tabs>
                          <w:tab w:val="left" w:pos="1134"/>
                        </w:tabs>
                        <w:ind w:firstLine="567"/>
                        <w:jc w:val="both"/>
                        <w:rPr>
                          <w:szCs w:val="24"/>
                          <w:lang w:eastAsia="lt-LT"/>
                        </w:rPr>
                      </w:pPr>
                      <w:sdt>
                        <w:sdtPr>
                          <w:alias w:val="Numeris"/>
                          <w:tag w:val="nr_82c3c1a2efc04983a93eb53295f76113"/>
                          <w:lock w:val="sdtLocked"/>
                          <w:richText/>
                        </w:sdtPr>
                        <w:sdtContent>
                          <w:r>
                            <w:rPr>
                              <w:szCs w:val="24"/>
                              <w:lang w:eastAsia="lt-LT"/>
                            </w:rPr>
                            <w:t>12.2</w:t>
                          </w:r>
                        </w:sdtContent>
                      </w:sdt>
                      <w:r>
                        <w:rPr>
                          <w:szCs w:val="24"/>
                          <w:lang w:eastAsia="lt-LT"/>
                        </w:rPr>
                        <w:t>.</w:t>
                        <w:tab/>
                        <w:t xml:space="preserve"> kai aglomeracijų teritoriją sudaro nejungūs poligonai, teritorijos gali būti žymimos keliais poligonais, turinčiais vienodą A_TER_ID (multipoligonais);</w:t>
                      </w:r>
                    </w:p>
                  </w:sdtContent>
                </w:sdt>
                <w:sdt>
                  <w:sdtPr>
                    <w:alias w:val="3 pr. 12.3 pp."/>
                    <w:tag w:val="part_4e8418bd18b14319ab2a6f112f36046f"/>
                    <w:lock w:val="sdtLocked"/>
                    <w:richText/>
                  </w:sdtPr>
                  <w:sdtContent>
                    <w:p>
                      <w:pPr>
                        <w:ind w:left="1134" w:hanging="567"/>
                        <w:jc w:val="both"/>
                        <w:rPr>
                          <w:szCs w:val="24"/>
                          <w:lang w:eastAsia="lt-LT"/>
                        </w:rPr>
                      </w:pPr>
                      <w:sdt>
                        <w:sdtPr>
                          <w:alias w:val="Numeris"/>
                          <w:tag w:val="nr_4e8418bd18b14319ab2a6f112f36046f"/>
                          <w:lock w:val="sdtLocked"/>
                          <w:richText/>
                        </w:sdtPr>
                        <w:sdtContent>
                          <w:r>
                            <w:rPr>
                              <w:szCs w:val="24"/>
                              <w:lang w:eastAsia="lt-LT"/>
                            </w:rPr>
                            <w:t>12.3</w:t>
                          </w:r>
                        </w:sdtContent>
                      </w:sdt>
                      <w:r>
                        <w:rPr>
                          <w:szCs w:val="24"/>
                          <w:lang w:eastAsia="lt-LT"/>
                        </w:rPr>
                        <w:t>.</w:t>
                        <w:tab/>
                        <w:t xml:space="preserve"> aglomeracijų teritorijų poligonai turi nepersidengti vienas su kitu;</w:t>
                      </w:r>
                    </w:p>
                  </w:sdtContent>
                </w:sdt>
                <w:sdt>
                  <w:sdtPr>
                    <w:alias w:val="3 pr. 12.4 pp."/>
                    <w:tag w:val="part_f0dad03415e440caaad36feca843f511"/>
                    <w:lock w:val="sdtLocked"/>
                    <w:richText/>
                  </w:sdtPr>
                  <w:sdtContent>
                    <w:p>
                      <w:pPr>
                        <w:ind w:left="1134" w:hanging="567"/>
                        <w:jc w:val="both"/>
                        <w:rPr>
                          <w:szCs w:val="24"/>
                          <w:lang w:eastAsia="lt-LT"/>
                        </w:rPr>
                      </w:pPr>
                      <w:sdt>
                        <w:sdtPr>
                          <w:alias w:val="Numeris"/>
                          <w:tag w:val="nr_f0dad03415e440caaad36feca843f511"/>
                          <w:lock w:val="sdtLocked"/>
                          <w:richText/>
                        </w:sdtPr>
                        <w:sdtContent>
                          <w:r>
                            <w:rPr>
                              <w:szCs w:val="24"/>
                              <w:lang w:eastAsia="lt-LT"/>
                            </w:rPr>
                            <w:t>12.4</w:t>
                          </w:r>
                        </w:sdtContent>
                      </w:sdt>
                      <w:r>
                        <w:rPr>
                          <w:szCs w:val="24"/>
                          <w:lang w:eastAsia="lt-LT"/>
                        </w:rPr>
                        <w:t>.</w:t>
                        <w:tab/>
                        <w:t xml:space="preserve"> aglomeracijos teritorijos poligonas negali kirsti pats savęs (angl. </w:t>
                      </w:r>
                      <w:r>
                        <w:rPr>
                          <w:i/>
                          <w:iCs/>
                          <w:szCs w:val="24"/>
                          <w:lang w:eastAsia="lt-LT"/>
                        </w:rPr>
                        <w:t>self intersection</w:t>
                      </w:r>
                      <w:r>
                        <w:rPr>
                          <w:szCs w:val="24"/>
                          <w:lang w:eastAsia="lt-LT"/>
                        </w:rPr>
                        <w:t>);</w:t>
                      </w:r>
                    </w:p>
                  </w:sdtContent>
                </w:sdt>
                <w:sdt>
                  <w:sdtPr>
                    <w:alias w:val="3 pr. 12.5 pp."/>
                    <w:tag w:val="part_bbf48298a1ca4f1186c6d2521a9f829a"/>
                    <w:lock w:val="sdtLocked"/>
                    <w:richText/>
                  </w:sdtPr>
                  <w:sdtContent>
                    <w:p>
                      <w:pPr>
                        <w:ind w:left="1134" w:hanging="567"/>
                        <w:jc w:val="both"/>
                        <w:rPr>
                          <w:szCs w:val="24"/>
                          <w:lang w:eastAsia="lt-LT"/>
                        </w:rPr>
                      </w:pPr>
                      <w:sdt>
                        <w:sdtPr>
                          <w:alias w:val="Numeris"/>
                          <w:tag w:val="nr_bbf48298a1ca4f1186c6d2521a9f829a"/>
                          <w:lock w:val="sdtLocked"/>
                          <w:richText/>
                        </w:sdtPr>
                        <w:sdtContent>
                          <w:r>
                            <w:rPr>
                              <w:szCs w:val="24"/>
                              <w:lang w:eastAsia="lt-LT"/>
                            </w:rPr>
                            <w:t>12.5</w:t>
                          </w:r>
                        </w:sdtContent>
                      </w:sdt>
                      <w:r>
                        <w:rPr>
                          <w:szCs w:val="24"/>
                          <w:lang w:eastAsia="lt-LT"/>
                        </w:rPr>
                        <w:t>.</w:t>
                        <w:tab/>
                        <w:t xml:space="preserve"> aglomeracijų teritorijos turi patekti į Lietuvos Respublikos teritoriją;</w:t>
                      </w:r>
                    </w:p>
                  </w:sdtContent>
                </w:sdt>
                <w:sdt>
                  <w:sdtPr>
                    <w:alias w:val="3 pr. 12.6 pp."/>
                    <w:tag w:val="part_9870e93137944fd8a16d33a0a1dbb25f"/>
                    <w:lock w:val="sdtLocked"/>
                    <w:richText/>
                  </w:sdtPr>
                  <w:sdtContent>
                    <w:p>
                      <w:pPr>
                        <w:tabs>
                          <w:tab w:val="left" w:pos="993"/>
                          <w:tab w:val="left" w:pos="1134"/>
                        </w:tabs>
                        <w:ind w:left="851" w:hanging="284"/>
                        <w:jc w:val="both"/>
                        <w:rPr>
                          <w:szCs w:val="24"/>
                          <w:lang w:eastAsia="lt-LT"/>
                        </w:rPr>
                      </w:pPr>
                      <w:sdt>
                        <w:sdtPr>
                          <w:alias w:val="Numeris"/>
                          <w:tag w:val="nr_9870e93137944fd8a16d33a0a1dbb25f"/>
                          <w:lock w:val="sdtLocked"/>
                          <w:richText/>
                        </w:sdtPr>
                        <w:sdtContent>
                          <w:r>
                            <w:rPr>
                              <w:szCs w:val="24"/>
                              <w:lang w:eastAsia="lt-LT"/>
                            </w:rPr>
                            <w:t>12.6</w:t>
                          </w:r>
                        </w:sdtContent>
                      </w:sdt>
                      <w:r>
                        <w:rPr>
                          <w:szCs w:val="24"/>
                          <w:lang w:eastAsia="lt-LT"/>
                        </w:rPr>
                        <w:t>.</w:t>
                        <w:tab/>
                        <w:t xml:space="preserve"> aglomeracijos teritorijos plotinio objekto galimas mažiausias plotas – 0,1 ha;</w:t>
                      </w:r>
                    </w:p>
                  </w:sdtContent>
                </w:sdt>
              </w:sdtContent>
            </w:sdt>
            <w:sdt>
              <w:sdtPr>
                <w:alias w:val="3 pr. 13 p."/>
                <w:tag w:val="part_0e55e5c4ee10476daf27d970b3f800d4"/>
                <w:lock w:val="sdtLocked"/>
                <w:richText/>
              </w:sdtPr>
              <w:sdtContent>
                <w:p>
                  <w:pPr>
                    <w:tabs>
                      <w:tab w:val="left" w:pos="720"/>
                      <w:tab w:val="left" w:pos="993"/>
                    </w:tabs>
                    <w:ind w:left="720" w:hanging="153"/>
                    <w:jc w:val="both"/>
                    <w:rPr>
                      <w:szCs w:val="24"/>
                      <w:lang w:eastAsia="lt-LT"/>
                    </w:rPr>
                  </w:pPr>
                  <w:sdt>
                    <w:sdtPr>
                      <w:alias w:val="Numeris"/>
                      <w:tag w:val="nr_0e55e5c4ee10476daf27d970b3f800d4"/>
                      <w:lock w:val="sdtLocked"/>
                      <w:richText/>
                    </w:sdtPr>
                    <w:sdtContent>
                      <w:r>
                        <w:rPr>
                          <w:szCs w:val="24"/>
                          <w:lang w:eastAsia="lt-LT"/>
                        </w:rPr>
                        <w:t>13</w:t>
                      </w:r>
                    </w:sdtContent>
                  </w:sdt>
                  <w:r>
                    <w:rPr>
                      <w:szCs w:val="24"/>
                      <w:lang w:eastAsia="lt-LT"/>
                    </w:rPr>
                    <w:t>.</w:t>
                    <w:tab/>
                    <w:t>Teikiami AEDR atributiniai duomenys:</w:t>
                  </w:r>
                </w:p>
                <w:tbl>
                  <w:tblPr>
                    <w:tblW w:w="0" w:type="auto"/>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580"/>
                    <w:gridCol w:w="2299"/>
                    <w:gridCol w:w="2171"/>
                    <w:gridCol w:w="1699"/>
                    <w:gridCol w:w="1791"/>
                    <w:gridCol w:w="5613"/>
                  </w:tblGrid>
                  <w:t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jc w:val="center"/>
                          <w:rPr>
                            <w:b/>
                            <w:bCs/>
                            <w:szCs w:val="24"/>
                            <w:lang w:eastAsia="lt-LT"/>
                          </w:rPr>
                        </w:pPr>
                        <w:r>
                          <w:rPr>
                            <w:b/>
                            <w:bCs/>
                            <w:szCs w:val="24"/>
                            <w:lang w:eastAsia="lt-LT"/>
                          </w:rPr>
                          <w:t>Eil. nr.</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jc w:val="center"/>
                          <w:rPr>
                            <w:b/>
                            <w:bCs/>
                            <w:szCs w:val="24"/>
                            <w:lang w:eastAsia="lt-LT"/>
                          </w:rPr>
                        </w:pPr>
                        <w:r>
                          <w:rPr>
                            <w:b/>
                            <w:bCs/>
                            <w:szCs w:val="24"/>
                            <w:lang w:eastAsia="lt-LT"/>
                          </w:rPr>
                          <w:t>Atributinio lauko sisteminis pavadinimas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jc w:val="center"/>
                          <w:rPr>
                            <w:b/>
                            <w:bCs/>
                            <w:szCs w:val="24"/>
                            <w:lang w:eastAsia="lt-LT"/>
                          </w:rPr>
                        </w:pPr>
                        <w:r>
                          <w:rPr>
                            <w:b/>
                            <w:bCs/>
                            <w:szCs w:val="24"/>
                            <w:lang w:eastAsia="lt-LT"/>
                          </w:rPr>
                          <w:t>Atributinio lauko pavadinimas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jc w:val="center"/>
                          <w:rPr>
                            <w:b/>
                            <w:bCs/>
                            <w:szCs w:val="24"/>
                            <w:lang w:eastAsia="lt-LT"/>
                          </w:rPr>
                        </w:pPr>
                        <w:r>
                          <w:rPr>
                            <w:b/>
                            <w:bCs/>
                            <w:szCs w:val="24"/>
                            <w:lang w:eastAsia="lt-LT"/>
                          </w:rPr>
                          <w:t>Atributinio lauko parametrai</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jc w:val="center"/>
                          <w:rPr>
                            <w:b/>
                            <w:bCs/>
                            <w:szCs w:val="24"/>
                            <w:lang w:eastAsia="lt-LT"/>
                          </w:rPr>
                        </w:pPr>
                        <w:r>
                          <w:rPr>
                            <w:b/>
                            <w:bCs/>
                            <w:szCs w:val="24"/>
                            <w:lang w:eastAsia="lt-LT"/>
                          </w:rPr>
                          <w:t>Privalomumas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jc w:val="center"/>
                          <w:rPr>
                            <w:b/>
                            <w:bCs/>
                            <w:szCs w:val="24"/>
                            <w:lang w:eastAsia="lt-LT"/>
                          </w:rPr>
                        </w:pPr>
                        <w:r>
                          <w:rPr>
                            <w:b/>
                            <w:bCs/>
                            <w:szCs w:val="24"/>
                            <w:lang w:eastAsia="lt-LT"/>
                          </w:rPr>
                          <w:t>Pastabos, pildymo pavyzdys</w:t>
                        </w:r>
                      </w:p>
                    </w:tc>
                  </w:tr>
                  <w:t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jc w:val="center"/>
                          <w:rPr>
                            <w:b/>
                            <w:bCs/>
                            <w:szCs w:val="24"/>
                            <w:lang w:eastAsia="lt-LT"/>
                          </w:rPr>
                        </w:pP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jc w:val="center"/>
                          <w:rPr>
                            <w:bCs/>
                            <w:szCs w:val="24"/>
                            <w:lang w:eastAsia="lt-LT"/>
                          </w:rPr>
                        </w:pPr>
                        <w:r>
                          <w:rPr>
                            <w:bCs/>
                            <w:szCs w:val="24"/>
                            <w:lang w:eastAsia="lt-LT"/>
                          </w:rPr>
                          <w:t>1.</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jc w:val="center"/>
                          <w:rPr>
                            <w:bCs/>
                            <w:szCs w:val="24"/>
                            <w:lang w:eastAsia="lt-LT"/>
                          </w:rPr>
                        </w:pPr>
                        <w:r>
                          <w:rPr>
                            <w:bCs/>
                            <w:szCs w:val="24"/>
                            <w:lang w:eastAsia="lt-LT"/>
                          </w:rPr>
                          <w:t xml:space="preserve">2. </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jc w:val="center"/>
                          <w:rPr>
                            <w:bCs/>
                            <w:szCs w:val="24"/>
                            <w:lang w:eastAsia="lt-LT"/>
                          </w:rPr>
                        </w:pPr>
                        <w:r>
                          <w:rPr>
                            <w:bCs/>
                            <w:szCs w:val="24"/>
                            <w:lang w:eastAsia="lt-LT"/>
                          </w:rPr>
                          <w:t xml:space="preserve">3. </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jc w:val="center"/>
                          <w:rPr>
                            <w:bCs/>
                            <w:szCs w:val="24"/>
                            <w:lang w:eastAsia="lt-LT"/>
                          </w:rPr>
                        </w:pPr>
                        <w:r>
                          <w:rPr>
                            <w:bCs/>
                            <w:szCs w:val="24"/>
                            <w:lang w:eastAsia="lt-LT"/>
                          </w:rPr>
                          <w:t xml:space="preserve">4. </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jc w:val="center"/>
                          <w:rPr>
                            <w:bCs/>
                            <w:szCs w:val="24"/>
                            <w:lang w:eastAsia="lt-LT"/>
                          </w:rPr>
                        </w:pPr>
                        <w:r>
                          <w:rPr>
                            <w:bCs/>
                            <w:szCs w:val="24"/>
                            <w:lang w:eastAsia="lt-LT"/>
                          </w:rPr>
                          <w:t>5.</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1.</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A_UUID</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Objekto unikalus identifikatorius</w:t>
                        </w:r>
                      </w:p>
                      <w:p>
                        <w:pPr>
                          <w:rPr>
                            <w:sz w:val="8"/>
                            <w:szCs w:val="8"/>
                          </w:rPr>
                        </w:pPr>
                      </w:p>
                      <w:p>
                        <w:pPr>
                          <w:rPr>
                            <w:szCs w:val="24"/>
                            <w:lang w:eastAsia="lt-LT"/>
                          </w:rPr>
                        </w:pP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UUID</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Privalomas tvarkytojui</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 xml:space="preserve">Reikšmė unikaliai identifikuojant įrašą visame rinkinyje. Unikalaus identifikatoriaus generavimą užtikrina rinkinio tvarkytojas. Atributas neprivalomas rinkinio teikėjui. </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2.</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A_TER_ID</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Aglomeracijos teritorijos unikalus numeris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Integer</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Privalomas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Reikšmė nurodoma kaip skaičius, kuris teikiamo rinkinio erdvinių duomenų įrašuose unikaliai identifikuoja konkrečios aglomeracijos teritoriją (-as).Reikšmė nurodoma iš devynių skaitmenų, pvz.,100000001.</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3.</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PAV</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Aglomeracijos pavadinimas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254, Text</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Privalomas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Sąlyginis aglomeracijos, kuriai priskiriama aglomeracijos teritorija, pavadinimas. Pavadinimas gali sutapti su savivaldybės pavadinimu.</w:t>
                        </w:r>
                      </w:p>
                    </w:tc>
                  </w:tr>
                  <w:tr>
                    <w:trPr>
                      <w:cantSplit/>
                      <w:trHeight w:val="2316"/>
                    </w:trPr>
                    <w:tc>
                      <w:tcPr>
                        <w:tcW w:w="0" w:type="auto"/>
                        <w:tcBorders>
                          <w:top w:val="single" w:sz="6" w:space="0" w:color="auto"/>
                          <w:left w:val="single" w:sz="6" w:space="0" w:color="auto"/>
                          <w:bottom w:val="single" w:sz="4"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w:t>
                        </w:r>
                      </w:p>
                    </w:tc>
                    <w:tc>
                      <w:tcPr>
                        <w:tcW w:w="0" w:type="auto"/>
                        <w:tcBorders>
                          <w:top w:val="single" w:sz="6" w:space="0" w:color="auto"/>
                          <w:left w:val="single" w:sz="6" w:space="0" w:color="auto"/>
                          <w:bottom w:val="single" w:sz="4"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SAV_KODAS</w:t>
                        </w:r>
                      </w:p>
                    </w:tc>
                    <w:tc>
                      <w:tcPr>
                        <w:tcW w:w="0" w:type="auto"/>
                        <w:tcBorders>
                          <w:top w:val="single" w:sz="6" w:space="0" w:color="auto"/>
                          <w:left w:val="single" w:sz="6" w:space="0" w:color="auto"/>
                          <w:bottom w:val="single" w:sz="4"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Savivaldybės kodas</w:t>
                        </w:r>
                      </w:p>
                    </w:tc>
                    <w:tc>
                      <w:tcPr>
                        <w:tcW w:w="0" w:type="auto"/>
                        <w:tcBorders>
                          <w:top w:val="single" w:sz="6" w:space="0" w:color="auto"/>
                          <w:left w:val="single" w:sz="6" w:space="0" w:color="auto"/>
                          <w:bottom w:val="single" w:sz="4"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Integer</w:t>
                        </w:r>
                      </w:p>
                    </w:tc>
                    <w:tc>
                      <w:tcPr>
                        <w:tcW w:w="0" w:type="auto"/>
                        <w:tcBorders>
                          <w:top w:val="single" w:sz="6" w:space="0" w:color="auto"/>
                          <w:left w:val="single" w:sz="6" w:space="0" w:color="auto"/>
                          <w:bottom w:val="single" w:sz="4"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Privalomas</w:t>
                        </w:r>
                      </w:p>
                    </w:tc>
                    <w:tc>
                      <w:tcPr>
                        <w:tcW w:w="0" w:type="auto"/>
                        <w:tcBorders>
                          <w:top w:val="single" w:sz="6" w:space="0" w:color="auto"/>
                          <w:left w:val="single" w:sz="6" w:space="0" w:color="auto"/>
                          <w:bottom w:val="single" w:sz="4" w:space="0" w:color="auto"/>
                          <w:right w:val="single" w:sz="6" w:space="0" w:color="auto"/>
                        </w:tcBorders>
                        <w:tcMar>
                          <w:top w:w="75" w:type="dxa"/>
                          <w:left w:w="75" w:type="dxa"/>
                          <w:bottom w:w="75" w:type="dxa"/>
                          <w:right w:w="75" w:type="dxa"/>
                        </w:tcMar>
                        <w:vAlign w:val="center"/>
                        <w:hideMark/>
                      </w:tcPr>
                      <w:p>
                        <w:pPr>
                          <w:rPr>
                            <w:szCs w:val="24"/>
                            <w:lang w:eastAsia="lt-LT"/>
                          </w:rPr>
                        </w:pPr>
                        <w:r>
                          <w:rPr>
                            <w:szCs w:val="24"/>
                            <w:lang w:eastAsia="lt-LT"/>
                          </w:rPr>
                          <w:t xml:space="preserve">Savivaldybės identifikavimo kodas pagal Adresų registro savivaldybių sluoksnio kodų sąrašą, pvz., Trakų r. sav. reikšmė turėtų būti 79, Vilniaus m.   sav. – 13 ir t.t.</w:t>
                        </w:r>
                      </w:p>
                    </w:tc>
                  </w:tr>
                  <w:tr>
                    <w:trPr>
                      <w:cantSplit/>
                      <w:trHeight w:val="3756"/>
                    </w:trPr>
                    <w:tc>
                      <w:tcPr>
                        <w:tcW w:w="0" w:type="auto"/>
                        <w:tcBorders>
                          <w:top w:val="single" w:sz="4"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rPr>
                            <w:szCs w:val="24"/>
                            <w:lang w:eastAsia="lt-LT"/>
                          </w:rPr>
                        </w:pPr>
                      </w:p>
                    </w:tc>
                    <w:tc>
                      <w:tcPr>
                        <w:tcW w:w="0" w:type="auto"/>
                        <w:tcBorders>
                          <w:top w:val="single" w:sz="4"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rPr>
                            <w:szCs w:val="24"/>
                            <w:lang w:eastAsia="lt-LT"/>
                          </w:rPr>
                        </w:pPr>
                      </w:p>
                    </w:tc>
                    <w:tc>
                      <w:tcPr>
                        <w:tcW w:w="0" w:type="auto"/>
                        <w:tcBorders>
                          <w:top w:val="single" w:sz="4"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rPr>
                            <w:szCs w:val="24"/>
                            <w:lang w:eastAsia="lt-LT"/>
                          </w:rPr>
                        </w:pPr>
                      </w:p>
                    </w:tc>
                    <w:tc>
                      <w:tcPr>
                        <w:tcW w:w="0" w:type="auto"/>
                        <w:tcBorders>
                          <w:top w:val="single" w:sz="4"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rPr>
                            <w:szCs w:val="24"/>
                            <w:lang w:eastAsia="lt-LT"/>
                          </w:rPr>
                        </w:pPr>
                      </w:p>
                    </w:tc>
                    <w:tc>
                      <w:tcPr>
                        <w:tcW w:w="0" w:type="auto"/>
                        <w:tcBorders>
                          <w:top w:val="single" w:sz="4"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 w:val="8"/>
                            <w:szCs w:val="8"/>
                          </w:rPr>
                        </w:pPr>
                      </w:p>
                      <w:p>
                        <w:pPr>
                          <w:rPr>
                            <w:szCs w:val="24"/>
                            <w:lang w:eastAsia="lt-LT"/>
                          </w:rPr>
                        </w:pPr>
                      </w:p>
                    </w:tc>
                    <w:tc>
                      <w:tcPr>
                        <w:tcW w:w="0" w:type="auto"/>
                        <w:tcBorders>
                          <w:top w:val="single" w:sz="4" w:space="0" w:color="auto"/>
                          <w:left w:val="single" w:sz="6" w:space="0" w:color="auto"/>
                          <w:bottom w:val="single" w:sz="6" w:space="0" w:color="auto"/>
                          <w:right w:val="single" w:sz="6" w:space="0" w:color="auto"/>
                        </w:tcBorders>
                        <w:tcMar>
                          <w:top w:w="75" w:type="dxa"/>
                          <w:left w:w="75" w:type="dxa"/>
                          <w:bottom w:w="75" w:type="dxa"/>
                          <w:right w:w="75" w:type="dxa"/>
                        </w:tcMar>
                        <w:vAlign w:val="center"/>
                      </w:tcPr>
                      <w:p>
                        <w:pPr>
                          <w:rPr>
                            <w:szCs w:val="24"/>
                            <w:lang w:eastAsia="lt-LT"/>
                          </w:rPr>
                        </w:pPr>
                        <w:r>
                          <w:rPr>
                            <w:szCs w:val="24"/>
                            <w:lang w:eastAsia="lt-LT"/>
                          </w:rPr>
                          <w:t>Jeigu aglomeracija patenka į daugiau nei vieną savivaldybę, įrašomas pagrindinės savivaldybės kodas, t. y. savivaldybės, kurioje aglomeracijos teritorija sudaro didžiąją ploto dalį.</w:t>
                        </w:r>
                      </w:p>
                      <w:p>
                        <w:pPr>
                          <w:rPr>
                            <w:szCs w:val="24"/>
                            <w:lang w:eastAsia="lt-LT"/>
                          </w:rPr>
                        </w:pPr>
                        <w:r>
                          <w:rPr>
                            <w:szCs w:val="24"/>
                            <w:lang w:eastAsia="lt-LT"/>
                          </w:rPr>
                          <w:t>Savivaldybių kodų sąrašas pateiktas specifikacijos III skyriuje.</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5.</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GE</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Gyventojų ekvivalentas aglomeracijoje</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Integer</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Privalomas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Sąlyginis vienetas nuotekų (taršos) šaltinio dydžiui išreikšti. Vienas GE reiškia nuotekų šaltinį, kuriame per parą susidarančiose nuotekose yra 70 g BDS7/d ir (arba) 12 g N/d, ir (arba) 2,7 g P/d.</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6.</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GYV_TANKIS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Gyventojų tankis hektare</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Integer</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Privalomas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 xml:space="preserve">Aglomeracijos teritorijos gyventojų tankis viename hektare. </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7.</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A_PLOTAS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Aglomeracijos plotas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Float</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Privalomas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Patvirtintas aglomeracijos teritorijos plotas hektarais.</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8.</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A_DOK_PAV</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Dokumento pavadinimas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254, Text</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Neprivalomas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Dokumento, pagal kurį patvirtinta aglomeracijos teritorija, pavadinimas.</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9.</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A_DOK_NR</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Dokumento numeris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40, Text</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Neprivalomas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Dokumento, pagal kurį patvirtinta aglomeracijos teritorija, numeris.</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10.</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A_DOK_DATA</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Dokumento data</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Date</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Neprivalomas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jc w:val="both"/>
                          <w:rPr>
                            <w:szCs w:val="24"/>
                            <w:lang w:eastAsia="lt-LT"/>
                          </w:rPr>
                        </w:pPr>
                        <w:r>
                          <w:rPr>
                            <w:szCs w:val="24"/>
                            <w:lang w:eastAsia="lt-LT"/>
                          </w:rPr>
                          <w:t xml:space="preserve">Dokumento, pagal kurį patvirtinta aglomeracijos teritorija, data. Data nurodoma formatu </w:t>
                        </w:r>
                      </w:p>
                      <w:p>
                        <w:pPr>
                          <w:rPr>
                            <w:szCs w:val="24"/>
                            <w:lang w:eastAsia="lt-LT"/>
                          </w:rPr>
                        </w:pPr>
                        <w:r>
                          <w:rPr>
                            <w:szCs w:val="24"/>
                            <w:lang w:eastAsia="lt-LT"/>
                          </w:rPr>
                          <w:t>yyyy-mm-dd, pvz., 2021-05-26.</w:t>
                        </w:r>
                      </w:p>
                    </w:tc>
                  </w:tr>
                  <w:tr>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11.</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OBJ_DATA</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Objekto data</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Date</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Neprivalomas</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Cs w:val="24"/>
                            <w:lang w:eastAsia="lt-LT"/>
                          </w:rPr>
                        </w:pPr>
                        <w:r>
                          <w:rPr>
                            <w:szCs w:val="24"/>
                            <w:lang w:eastAsia="lt-LT"/>
                          </w:rPr>
                          <w:t>Objekto sukūrimo, atnaujinimo data. Data nurodoma formatu</w:t>
                        </w:r>
                      </w:p>
                      <w:p>
                        <w:pPr>
                          <w:rPr>
                            <w:szCs w:val="24"/>
                            <w:lang w:eastAsia="lt-LT"/>
                          </w:rPr>
                        </w:pPr>
                        <w:r>
                          <w:rPr>
                            <w:szCs w:val="24"/>
                            <w:lang w:eastAsia="lt-LT"/>
                          </w:rPr>
                          <w:t>yyyy-mm-dd, pvz., 2021-05-26.</w:t>
                        </w:r>
                      </w:p>
                    </w:tc>
                  </w:tr>
                </w:tbl>
                <w:p>
                  <w:pPr>
                    <w:jc w:val="center"/>
                    <w:rPr>
                      <w:b/>
                      <w:bCs/>
                      <w:kern w:val="36"/>
                      <w:szCs w:val="24"/>
                      <w:lang w:eastAsia="lt-LT"/>
                    </w:rPr>
                  </w:pPr>
                </w:p>
              </w:sdtContent>
            </w:sdt>
          </w:sdtContent>
        </w:sdt>
        <w:sdt>
          <w:sdtPr>
            <w:alias w:val="skyrius"/>
            <w:tag w:val="part_8c7552d846734cb1bf2a3049383971a9"/>
            <w:lock w:val="sdtLocked"/>
            <w:richText/>
          </w:sdtPr>
          <w:sdtContent>
            <w:p>
              <w:pPr>
                <w:jc w:val="center"/>
                <w:rPr>
                  <w:b/>
                  <w:bCs/>
                  <w:kern w:val="36"/>
                  <w:szCs w:val="24"/>
                  <w:lang w:eastAsia="lt-LT"/>
                </w:rPr>
              </w:pPr>
              <w:sdt>
                <w:sdtPr>
                  <w:alias w:val="Numeris"/>
                  <w:tag w:val="nr_8c7552d846734cb1bf2a3049383971a9"/>
                  <w:lock w:val="sdtLocked"/>
                  <w:richText/>
                </w:sdtPr>
                <w:sdtContent>
                  <w:r>
                    <w:rPr>
                      <w:b/>
                      <w:bCs/>
                      <w:kern w:val="36"/>
                      <w:szCs w:val="24"/>
                      <w:lang w:eastAsia="lt-LT"/>
                    </w:rPr>
                    <w:t>III</w:t>
                  </w:r>
                </w:sdtContent>
              </w:sdt>
              <w:r>
                <w:rPr>
                  <w:b/>
                  <w:bCs/>
                  <w:kern w:val="36"/>
                  <w:szCs w:val="24"/>
                  <w:lang w:eastAsia="lt-LT"/>
                </w:rPr>
                <w:t xml:space="preserve"> SKYRIUS</w:t>
              </w:r>
            </w:p>
            <w:p>
              <w:pPr>
                <w:jc w:val="center"/>
                <w:rPr>
                  <w:b/>
                  <w:bCs/>
                  <w:kern w:val="36"/>
                  <w:szCs w:val="24"/>
                  <w:lang w:eastAsia="lt-LT"/>
                </w:rPr>
              </w:pPr>
              <w:sdt>
                <w:sdtPr>
                  <w:alias w:val="Pavadinimas"/>
                  <w:tag w:val="title_8c7552d846734cb1bf2a3049383971a9"/>
                  <w:lock w:val="sdtLocked"/>
                  <w:richText/>
                </w:sdtPr>
                <w:sdtContent>
                  <w:r>
                    <w:rPr>
                      <w:b/>
                      <w:bCs/>
                      <w:kern w:val="36"/>
                      <w:szCs w:val="24"/>
                      <w:lang w:eastAsia="lt-LT"/>
                    </w:rPr>
                    <w:t>AEDR TAIKOMI KLASIFIKATORIAI</w:t>
                  </w:r>
                </w:sdtContent>
              </w:sdt>
            </w:p>
            <w:p>
              <w:pPr>
                <w:jc w:val="center"/>
                <w:rPr>
                  <w:b/>
                  <w:bCs/>
                  <w:kern w:val="36"/>
                  <w:szCs w:val="24"/>
                  <w:lang w:eastAsia="lt-LT"/>
                </w:rPr>
              </w:pPr>
            </w:p>
            <w:sdt>
              <w:sdtPr>
                <w:alias w:val="3 pr. 14 p."/>
                <w:tag w:val="part_5da661959a3344318995efe119d6cd60"/>
                <w:lock w:val="sdtLocked"/>
                <w:richText/>
              </w:sdtPr>
              <w:sdtContent>
                <w:p>
                  <w:pPr>
                    <w:tabs>
                      <w:tab w:val="left" w:pos="720"/>
                      <w:tab w:val="left" w:pos="993"/>
                    </w:tabs>
                    <w:ind w:firstLine="567"/>
                    <w:jc w:val="both"/>
                  </w:pPr>
                  <w:sdt>
                    <w:sdtPr>
                      <w:alias w:val="Numeris"/>
                      <w:tag w:val="nr_5da661959a3344318995efe119d6cd60"/>
                      <w:lock w:val="sdtLocked"/>
                      <w:richText/>
                    </w:sdtPr>
                    <w:sdtContent>
                      <w:r>
                        <w:t>14</w:t>
                      </w:r>
                    </w:sdtContent>
                  </w:sdt>
                  <w:r>
                    <w:t>.</w:t>
                    <w:tab/>
                    <w:t>AEDR specifikacijoje remiamasi erdviniu Adresų registro duomenų rinkiniu ir jame numatytu identifikatoriumi SAV_KODAS (savivaldybės identifikavimo kodas). SAV_KODAS reikšmė imama iš Registrų centro Adresų registro duomenų rinkinio. Daugiau informacijos apie Adresų registro rinkinio struktūrą ir pačius duomenis pateikiama valstybės įmonės „Registrų centras“ atvirų duomenų skiltyje.</w:t>
                  </w:r>
                </w:p>
                <w:p>
                  <w:pPr>
                    <w:tabs>
                      <w:tab w:val="left" w:pos="993"/>
                    </w:tabs>
                    <w:spacing w:line="276" w:lineRule="auto"/>
                    <w:ind w:left="567"/>
                    <w:jc w:val="both"/>
                  </w:pPr>
                </w:p>
                <w:tbl>
                  <w:tblPr>
                    <w:tblW w:w="0" w:type="auto"/>
                    <w:tblInd w:w="-60" w:type="dxa"/>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1209"/>
                    <w:gridCol w:w="2556"/>
                    <w:gridCol w:w="6024"/>
                  </w:tblGrid>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jc w:val="center"/>
                          <w:rPr>
                            <w:b/>
                            <w:szCs w:val="24"/>
                            <w:lang w:eastAsia="lt-LT"/>
                          </w:rPr>
                        </w:pPr>
                        <w:r>
                          <w:rPr>
                            <w:b/>
                            <w:szCs w:val="24"/>
                            <w:lang w:eastAsia="lt-LT"/>
                          </w:rPr>
                          <w:t>Eil. Nr.</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jc w:val="center"/>
                          <w:rPr>
                            <w:b/>
                            <w:szCs w:val="24"/>
                            <w:lang w:eastAsia="lt-LT"/>
                          </w:rPr>
                        </w:pPr>
                        <w:r>
                          <w:rPr>
                            <w:b/>
                            <w:szCs w:val="24"/>
                            <w:lang w:eastAsia="lt-LT"/>
                          </w:rPr>
                          <w:t>SAV_KODAS</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jc w:val="center"/>
                          <w:rPr>
                            <w:b/>
                            <w:szCs w:val="24"/>
                            <w:lang w:eastAsia="lt-LT"/>
                          </w:rPr>
                        </w:pPr>
                        <w:r>
                          <w:rPr>
                            <w:b/>
                            <w:szCs w:val="24"/>
                            <w:lang w:eastAsia="lt-LT"/>
                          </w:rPr>
                          <w:t>Savivaldybės pavadinimas</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32</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Akmenės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11</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Alytaus m.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33</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Alytaus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34</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Anykščių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12</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Birštono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6.</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36</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Biržų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7.</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15</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Druskininkų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8.</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42</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Elektrėnų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9.</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45</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Ignalinos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10.</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46</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Jonavos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11.</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47</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Joniškio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12.</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94</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Jurbarko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13.</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49</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Kaišiadorių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14.</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48</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Kalvarijos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15.</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19</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Kauno m.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16.</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52</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Kauno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17.</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58</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Kazlų Rūdos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18.</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53</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Kėdainių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19.</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54</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Kelmės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20.</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21</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Klaipėdos m.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21.</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55</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Klaipėdos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22.</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56</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Kretingos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23.</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57</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Kupiškio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24.</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59</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Lazdijų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25.</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18</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Marijampolės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26.</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61</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Mažeikių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27.</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62</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Molėtų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28.</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23</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Neringos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29.</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63</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Pagėgių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30.</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65</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Pakruojo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31.</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25</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Palangos m.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32.</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27</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Panevėžio m.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33.</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66</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Panevėžio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34.</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67</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Pasvalio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35.</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68</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Plungės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36.</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69</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Prienų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37.</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71</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Radviliškio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38.</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72</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Raseinių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39.</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74</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Rietavo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40.</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73</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Rokiškio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41.</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75</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Skuodo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42.</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84</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Šakių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43.</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85</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Šalčininkų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44.</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29</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Šiaulių m.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45.</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91</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Šiaulių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46.</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87</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Šilalės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47.</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88</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Šilutės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48.</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89</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Širvintų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49.</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86</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Švenčionių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50.</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77</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Tauragės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51.</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78</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Telšių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52.</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79</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Trakų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53.</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81</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Ukmergės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54.</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82</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Utenos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55.</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38</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Varėnos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56.</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39</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Vilkaviškio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57.</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13</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Vilniaus m.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58.</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41</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Vilniaus r.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59.</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30</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Visagino sav.</w:t>
                        </w:r>
                      </w:p>
                    </w:tc>
                  </w:tr>
                  <w:tr>
                    <w:trPr>
                      <w:cantSplit/>
                    </w:trPr>
                    <w:tc>
                      <w:tcPr>
                        <w:tcW w:w="1209" w:type="dxa"/>
                        <w:tcBorders>
                          <w:top w:val="single" w:sz="6" w:space="0" w:color="auto"/>
                          <w:left w:val="single" w:sz="6" w:space="0" w:color="auto"/>
                          <w:bottom w:val="single" w:sz="6" w:space="0" w:color="auto"/>
                          <w:right w:val="single" w:sz="6" w:space="0" w:color="auto"/>
                        </w:tcBorders>
                      </w:tcPr>
                      <w:p>
                        <w:pPr>
                          <w:rPr>
                            <w:sz w:val="8"/>
                            <w:szCs w:val="8"/>
                          </w:rPr>
                        </w:pPr>
                      </w:p>
                      <w:p>
                        <w:pPr>
                          <w:rPr>
                            <w:szCs w:val="24"/>
                            <w:lang w:eastAsia="lt-LT"/>
                          </w:rPr>
                        </w:pPr>
                        <w:r>
                          <w:rPr>
                            <w:szCs w:val="24"/>
                            <w:lang w:eastAsia="lt-LT"/>
                          </w:rPr>
                          <w:t>60.</w:t>
                        </w:r>
                      </w:p>
                    </w:tc>
                    <w:tc>
                      <w:tcPr>
                        <w:tcW w:w="2556"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43</w:t>
                        </w:r>
                      </w:p>
                    </w:tc>
                    <w:tc>
                      <w:tcPr>
                        <w:tcW w:w="602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pPr>
                          <w:rPr>
                            <w:sz w:val="8"/>
                            <w:szCs w:val="8"/>
                          </w:rPr>
                        </w:pPr>
                      </w:p>
                      <w:p>
                        <w:pPr>
                          <w:rPr>
                            <w:szCs w:val="24"/>
                            <w:lang w:eastAsia="lt-LT"/>
                          </w:rPr>
                        </w:pPr>
                        <w:r>
                          <w:rPr>
                            <w:szCs w:val="24"/>
                            <w:lang w:eastAsia="lt-LT"/>
                          </w:rPr>
                          <w:t>Zarasų r. sav.</w:t>
                        </w:r>
                      </w:p>
                    </w:tc>
                  </w:tr>
                </w:tbl>
                <w:p>
                  <w:pPr>
                    <w:jc w:val="both"/>
                    <w:rPr>
                      <w:b/>
                      <w:sz w:val="20"/>
                    </w:rPr>
                  </w:pPr>
                </w:p>
              </w:sdtContent>
            </w:sdt>
          </w:sdtContent>
        </w:sdt>
        <w:sdt>
          <w:sdtPr>
            <w:alias w:val="skyrius"/>
            <w:tag w:val="part_5569cd379d0345a89acedf39c134d3fd"/>
            <w:lock w:val="sdtLocked"/>
            <w:richText/>
          </w:sdtPr>
          <w:sdtContent>
            <w:p>
              <w:pPr>
                <w:jc w:val="center"/>
                <w:rPr>
                  <w:b/>
                  <w:bCs/>
                  <w:kern w:val="36"/>
                  <w:szCs w:val="24"/>
                  <w:lang w:eastAsia="lt-LT"/>
                </w:rPr>
              </w:pPr>
              <w:sdt>
                <w:sdtPr>
                  <w:alias w:val="Numeris"/>
                  <w:tag w:val="nr_5569cd379d0345a89acedf39c134d3fd"/>
                  <w:lock w:val="sdtLocked"/>
                  <w:richText/>
                </w:sdtPr>
                <w:sdtContent>
                  <w:r>
                    <w:rPr>
                      <w:b/>
                      <w:bCs/>
                      <w:kern w:val="36"/>
                      <w:szCs w:val="24"/>
                      <w:lang w:eastAsia="lt-LT"/>
                    </w:rPr>
                    <w:t>IV</w:t>
                  </w:r>
                </w:sdtContent>
              </w:sdt>
              <w:r>
                <w:rPr>
                  <w:b/>
                  <w:bCs/>
                  <w:kern w:val="36"/>
                  <w:szCs w:val="24"/>
                  <w:lang w:eastAsia="lt-LT"/>
                </w:rPr>
                <w:t xml:space="preserve"> SKYRIUS</w:t>
              </w:r>
            </w:p>
            <w:p>
              <w:pPr>
                <w:jc w:val="center"/>
                <w:rPr>
                  <w:b/>
                  <w:bCs/>
                  <w:kern w:val="36"/>
                  <w:szCs w:val="24"/>
                  <w:lang w:eastAsia="lt-LT"/>
                </w:rPr>
              </w:pPr>
              <w:sdt>
                <w:sdtPr>
                  <w:alias w:val="Pavadinimas"/>
                  <w:tag w:val="title_5569cd379d0345a89acedf39c134d3fd"/>
                  <w:lock w:val="sdtLocked"/>
                  <w:richText/>
                </w:sdtPr>
                <w:sdtContent>
                  <w:r>
                    <w:rPr>
                      <w:b/>
                      <w:bCs/>
                      <w:kern w:val="36"/>
                      <w:szCs w:val="24"/>
                      <w:lang w:eastAsia="lt-LT"/>
                    </w:rPr>
                    <w:t>AEDR DUOMENŲ TEIKIMO ŠABLONAI IR PAVYZDŽIAI</w:t>
                  </w:r>
                </w:sdtContent>
              </w:sdt>
            </w:p>
            <w:p>
              <w:pPr>
                <w:jc w:val="center"/>
                <w:rPr>
                  <w:b/>
                  <w:bCs/>
                  <w:kern w:val="36"/>
                  <w:szCs w:val="24"/>
                  <w:lang w:eastAsia="lt-LT"/>
                </w:rPr>
              </w:pPr>
            </w:p>
            <w:sdt>
              <w:sdtPr>
                <w:alias w:val="3 pr. 15 p."/>
                <w:tag w:val="part_a631a621220c4358a2c63b4107dcfd04"/>
                <w:lock w:val="sdtLocked"/>
                <w:richText/>
              </w:sdtPr>
              <w:sdtContent>
                <w:p>
                  <w:pPr>
                    <w:tabs>
                      <w:tab w:val="left" w:pos="720"/>
                      <w:tab w:val="left" w:pos="851"/>
                      <w:tab w:val="left" w:pos="993"/>
                    </w:tabs>
                    <w:ind w:left="720" w:firstLine="207"/>
                    <w:rPr>
                      <w:szCs w:val="24"/>
                      <w:lang w:eastAsia="lt-LT"/>
                    </w:rPr>
                  </w:pPr>
                  <w:sdt>
                    <w:sdtPr>
                      <w:alias w:val="Numeris"/>
                      <w:tag w:val="nr_a631a621220c4358a2c63b4107dcfd04"/>
                      <w:lock w:val="sdtLocked"/>
                      <w:richText/>
                    </w:sdtPr>
                    <w:sdtContent>
                      <w:r>
                        <w:rPr>
                          <w:szCs w:val="24"/>
                          <w:lang w:eastAsia="lt-LT"/>
                        </w:rPr>
                        <w:t>15</w:t>
                      </w:r>
                    </w:sdtContent>
                  </w:sdt>
                  <w:r>
                    <w:rPr>
                      <w:szCs w:val="24"/>
                      <w:lang w:eastAsia="lt-LT"/>
                    </w:rPr>
                    <w:t>.</w:t>
                    <w:tab/>
                    <w:t>AEDR duomenų teikimo šablonai:</w:t>
                  </w:r>
                </w:p>
                <w:sdt>
                  <w:sdtPr>
                    <w:alias w:val="3 pr. 15.1 pp."/>
                    <w:tag w:val="part_993be6f5b0254977b7298c086186cd41"/>
                    <w:lock w:val="sdtLocked"/>
                    <w:richText/>
                  </w:sdtPr>
                  <w:sdtContent>
                    <w:p>
                      <w:pPr>
                        <w:ind w:left="1407" w:hanging="480"/>
                        <w:rPr>
                          <w:szCs w:val="24"/>
                          <w:lang w:eastAsia="lt-LT"/>
                        </w:rPr>
                      </w:pPr>
                      <w:sdt>
                        <w:sdtPr>
                          <w:alias w:val="Numeris"/>
                          <w:tag w:val="nr_993be6f5b0254977b7298c086186cd41"/>
                          <w:lock w:val="sdtLocked"/>
                          <w:richText/>
                        </w:sdtPr>
                        <w:sdtContent>
                          <w:r>
                            <w:rPr>
                              <w:szCs w:val="24"/>
                              <w:lang w:eastAsia="lt-LT"/>
                            </w:rPr>
                            <w:t>15.1</w:t>
                          </w:r>
                        </w:sdtContent>
                      </w:sdt>
                      <w:r>
                        <w:rPr>
                          <w:szCs w:val="24"/>
                          <w:lang w:eastAsia="lt-LT"/>
                        </w:rPr>
                        <w:t>.</w:t>
                        <w:tab/>
                      </w:r>
                      <w:r>
                        <w:rPr>
                          <w:i/>
                          <w:szCs w:val="24"/>
                          <w:lang w:eastAsia="lt-LT"/>
                        </w:rPr>
                        <w:t xml:space="preserve"> ESRI Shape</w:t>
                      </w:r>
                      <w:r>
                        <w:rPr>
                          <w:szCs w:val="24"/>
                          <w:lang w:eastAsia="lt-LT"/>
                        </w:rPr>
                        <w:t xml:space="preserve"> formatu – shape.zip;</w:t>
                      </w:r>
                    </w:p>
                  </w:sdtContent>
                </w:sdt>
                <w:sdt>
                  <w:sdtPr>
                    <w:alias w:val="3 pr. 15.2 pp."/>
                    <w:tag w:val="part_8b036528d74d404db8151df7f1f38ebd"/>
                    <w:lock w:val="sdtLocked"/>
                    <w:richText/>
                  </w:sdtPr>
                  <w:sdtContent>
                    <w:p>
                      <w:pPr>
                        <w:ind w:left="1407" w:hanging="480"/>
                        <w:rPr>
                          <w:szCs w:val="24"/>
                          <w:lang w:eastAsia="lt-LT"/>
                        </w:rPr>
                      </w:pPr>
                      <w:sdt>
                        <w:sdtPr>
                          <w:alias w:val="Numeris"/>
                          <w:tag w:val="nr_8b036528d74d404db8151df7f1f38ebd"/>
                          <w:lock w:val="sdtLocked"/>
                          <w:richText/>
                        </w:sdtPr>
                        <w:sdtContent>
                          <w:r>
                            <w:rPr>
                              <w:szCs w:val="24"/>
                              <w:lang w:eastAsia="lt-LT"/>
                            </w:rPr>
                            <w:t>15.2</w:t>
                          </w:r>
                        </w:sdtContent>
                      </w:sdt>
                      <w:r>
                        <w:rPr>
                          <w:szCs w:val="24"/>
                          <w:lang w:eastAsia="lt-LT"/>
                        </w:rPr>
                        <w:t>.</w:t>
                        <w:tab/>
                      </w:r>
                      <w:r>
                        <w:rPr>
                          <w:i/>
                          <w:szCs w:val="24"/>
                          <w:lang w:eastAsia="lt-LT"/>
                        </w:rPr>
                        <w:t xml:space="preserve"> GeoJSON</w:t>
                      </w:r>
                      <w:r>
                        <w:rPr>
                          <w:szCs w:val="24"/>
                          <w:lang w:eastAsia="lt-LT"/>
                        </w:rPr>
                        <w:t xml:space="preserve"> formatu – geojson.zip.</w:t>
                      </w:r>
                    </w:p>
                    <w:p>
                      <w:pPr>
                        <w:ind w:left="426" w:firstLine="141"/>
                        <w:rPr>
                          <w:szCs w:val="24"/>
                          <w:lang w:eastAsia="lt-LT"/>
                        </w:rPr>
                      </w:pPr>
                    </w:p>
                  </w:sdtContent>
                </w:sdt>
              </w:sdtContent>
            </w:sdt>
          </w:sdtContent>
        </w:sdt>
        <w:sdt>
          <w:sdtPr>
            <w:alias w:val="pabaiga"/>
            <w:tag w:val="part_2035cc05f5a6432e9a791a6eb609006e"/>
            <w:lock w:val="sdtLocked"/>
            <w:richText/>
          </w:sdtPr>
          <w:sdtContent>
            <w:p>
              <w:pPr>
                <w:widowControl w:val="0"/>
                <w:jc w:val="center"/>
              </w:pPr>
              <w:r>
                <w:t>_______________________</w:t>
              </w:r>
            </w:p>
            <w:p>
              <w:pPr>
                <w:tabs>
                  <w:tab w:val="center" w:pos="4819"/>
                  <w:tab w:val="right" w:pos="9638"/>
                </w:tabs>
              </w:pPr>
            </w:p>
          </w:sdtContent>
        </w:sdt>
      </w:sdtContent>
    </w:sdt>
    <w:sdt>
      <w:sdtPr>
        <w:alias w:val="4 pr."/>
        <w:tag w:val="part_25a60399d0714ede9ccc6a944d02e751"/>
        <w:lock w:val="sdtLocked"/>
        <w:richText/>
      </w:sdtPr>
      <w:sdtContent>
        <w:p>
          <w:pPr>
            <w:ind w:firstLine="9696"/>
            <w:rPr>
              <w:szCs w:val="24"/>
            </w:rPr>
            <w:sectPr>
              <w:headerReference w:type="default" r:id="rId34"/>
              <w:pgSz w:w="16838" w:h="11906" w:orient="landscape"/>
              <w:pgMar w:top="988" w:right="1701" w:bottom="567" w:left="1134" w:header="567" w:footer="567" w:gutter="0"/>
              <w:pgNumType w:start="1"/>
              <w:cols w:space="1296"/>
              <w:titlePg/>
              <w:docGrid w:linePitch="360"/>
            </w:sectPr>
          </w:pPr>
        </w:p>
        <w:p>
          <w:pPr>
            <w:ind w:firstLine="9696"/>
            <w:rPr>
              <w:szCs w:val="24"/>
            </w:rPr>
          </w:pPr>
          <w:r>
            <w:rPr>
              <w:szCs w:val="24"/>
            </w:rPr>
            <w:t>Geriamojo vandens tiekimo ir</w:t>
          </w:r>
        </w:p>
        <w:p>
          <w:pPr>
            <w:ind w:firstLine="9696"/>
            <w:rPr>
              <w:szCs w:val="24"/>
            </w:rPr>
          </w:pPr>
          <w:r>
            <w:rPr>
              <w:szCs w:val="24"/>
            </w:rPr>
            <w:t>nuotekų tvarkymo</w:t>
          </w:r>
        </w:p>
        <w:p>
          <w:pPr>
            <w:ind w:firstLine="9696"/>
            <w:rPr>
              <w:szCs w:val="24"/>
            </w:rPr>
          </w:pPr>
          <w:r>
            <w:rPr>
              <w:szCs w:val="24"/>
            </w:rPr>
            <w:t>infrastruktūros plėtros planų</w:t>
          </w:r>
        </w:p>
        <w:p>
          <w:pPr>
            <w:ind w:firstLine="9696"/>
            <w:rPr>
              <w:szCs w:val="24"/>
            </w:rPr>
          </w:pPr>
          <w:r>
            <w:rPr>
              <w:szCs w:val="24"/>
            </w:rPr>
            <w:t>rengimo taisyklių</w:t>
          </w:r>
        </w:p>
        <w:p>
          <w:pPr>
            <w:ind w:firstLine="9696"/>
            <w:rPr>
              <w:szCs w:val="24"/>
            </w:rPr>
          </w:pPr>
          <w:r>
            <w:rPr>
              <w:szCs w:val="24"/>
            </w:rPr>
            <w:t xml:space="preserve">4 priedas </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4"/>
            <w:gridCol w:w="1526"/>
            <w:gridCol w:w="1417"/>
            <w:gridCol w:w="33"/>
            <w:gridCol w:w="1497"/>
            <w:gridCol w:w="63"/>
            <w:gridCol w:w="995"/>
            <w:gridCol w:w="1135"/>
            <w:gridCol w:w="1134"/>
            <w:gridCol w:w="122"/>
            <w:gridCol w:w="673"/>
            <w:gridCol w:w="339"/>
            <w:gridCol w:w="1276"/>
            <w:gridCol w:w="29"/>
            <w:gridCol w:w="1105"/>
            <w:gridCol w:w="1008"/>
            <w:gridCol w:w="267"/>
          </w:tblGrid>
          <w:tr>
            <w:trPr>
              <w:gridBefore w:val="11"/>
              <w:gridAfter w:val="1"/>
              <w:wBefore w:w="10259" w:type="dxa"/>
              <w:wAfter w:w="267" w:type="dxa"/>
            </w:trPr>
            <w:tc>
              <w:tcPr>
                <w:tcW w:w="3757" w:type="dxa"/>
                <w:gridSpan w:val="5"/>
                <w:tcBorders>
                  <w:top w:val="nil"/>
                  <w:left w:val="nil"/>
                  <w:bottom w:val="nil"/>
                  <w:right w:val="nil"/>
                </w:tcBorders>
              </w:tcPr>
              <w:p>
                <w:pPr>
                  <w:jc w:val="center"/>
                  <w:rPr>
                    <w:szCs w:val="24"/>
                  </w:rPr>
                </w:pPr>
              </w:p>
            </w:tc>
          </w:tr>
          <w:tr>
            <w:trPr>
              <w:trHeight w:val="1334"/>
            </w:trPr>
            <w:tc>
              <w:tcPr>
                <w:tcW w:w="14283" w:type="dxa"/>
                <w:gridSpan w:val="17"/>
                <w:tcBorders>
                  <w:top w:val="nil"/>
                  <w:left w:val="nil"/>
                  <w:bottom w:val="nil"/>
                  <w:right w:val="nil"/>
                </w:tcBorders>
              </w:tcPr>
              <w:p>
                <w:pPr>
                  <w:ind w:right="43"/>
                  <w:jc w:val="center"/>
                  <w:rPr>
                    <w:b/>
                    <w:bCs/>
                    <w:color w:val="000000"/>
                    <w:szCs w:val="24"/>
                    <w:lang w:eastAsia="lt-LT"/>
                  </w:rPr>
                </w:pPr>
                <w:r>
                  <w:rPr>
                    <w:b/>
                    <w:bCs/>
                    <w:color w:val="000000"/>
                    <w:szCs w:val="24"/>
                    <w:lang w:eastAsia="lt-LT"/>
                  </w:rPr>
                  <w:t>FINANSAVIMO GERIAMOJO VANDENS TIEKIMO IR NUOTEKŲ TVARKYMO PASLAUGOMS TEIKTI POREIKIS</w:t>
                </w:r>
              </w:p>
              <w:p>
                <w:pPr>
                  <w:ind w:right="43"/>
                  <w:jc w:val="center"/>
                  <w:rPr>
                    <w:b/>
                    <w:bCs/>
                    <w:color w:val="000000"/>
                    <w:szCs w:val="24"/>
                    <w:lang w:eastAsia="lt-LT"/>
                  </w:rPr>
                </w:pPr>
              </w:p>
              <w:p>
                <w:pPr>
                  <w:ind w:right="43"/>
                  <w:jc w:val="center"/>
                  <w:rPr>
                    <w:b/>
                    <w:bCs/>
                    <w:color w:val="000000"/>
                    <w:szCs w:val="24"/>
                    <w:lang w:eastAsia="lt-LT"/>
                  </w:rPr>
                </w:pPr>
                <w:r>
                  <w:rPr>
                    <w:b/>
                    <w:bCs/>
                    <w:color w:val="000000"/>
                    <w:szCs w:val="24"/>
                    <w:lang w:eastAsia="lt-LT"/>
                  </w:rPr>
                  <w:t>(Ataskaitos formos pavyzdys)</w:t>
                </w:r>
              </w:p>
            </w:tc>
          </w:tr>
          <w:tr>
            <w:trPr>
              <w:trHeight w:val="2488"/>
            </w:trPr>
            <w:tc>
              <w:tcPr>
                <w:tcW w:w="1664" w:type="dxa"/>
                <w:hideMark/>
              </w:tcPr>
              <w:p>
                <w:pPr>
                  <w:rPr>
                    <w:b/>
                    <w:sz w:val="18"/>
                    <w:szCs w:val="18"/>
                  </w:rPr>
                </w:pPr>
                <w:r>
                  <w:rPr>
                    <w:b/>
                    <w:sz w:val="18"/>
                    <w:szCs w:val="18"/>
                  </w:rPr>
                  <w:t>Teisės aktas</w:t>
                </w:r>
              </w:p>
            </w:tc>
            <w:tc>
              <w:tcPr>
                <w:tcW w:w="1526" w:type="dxa"/>
              </w:tcPr>
              <w:p>
                <w:pPr>
                  <w:jc w:val="both"/>
                  <w:rPr>
                    <w:b/>
                    <w:sz w:val="18"/>
                    <w:szCs w:val="18"/>
                  </w:rPr>
                </w:pPr>
                <w:r>
                  <w:rPr>
                    <w:b/>
                    <w:sz w:val="18"/>
                    <w:szCs w:val="18"/>
                  </w:rPr>
                  <w:t>Lietuvos Respublikos geriamojo vandens tiekimo ir nuotekų tvarkymo įstatymas</w:t>
                </w:r>
              </w:p>
            </w:tc>
            <w:tc>
              <w:tcPr>
                <w:tcW w:w="2947" w:type="dxa"/>
                <w:gridSpan w:val="3"/>
                <w:hideMark/>
              </w:tcPr>
              <w:p>
                <w:pPr>
                  <w:jc w:val="both"/>
                  <w:rPr>
                    <w:b/>
                    <w:bCs/>
                    <w:sz w:val="18"/>
                    <w:szCs w:val="18"/>
                  </w:rPr>
                </w:pPr>
                <w:r>
                  <w:rPr>
                    <w:b/>
                    <w:sz w:val="18"/>
                    <w:szCs w:val="18"/>
                  </w:rPr>
                  <w:t>1991 m. gegužės 21 d. Tarybos direktyva 91/271/EEB dėl miesto nuotekų valymo</w:t>
                </w:r>
                <w:r>
                  <w:rPr>
                    <w:sz w:val="18"/>
                    <w:szCs w:val="18"/>
                  </w:rPr>
                  <w:t xml:space="preserve"> </w:t>
                </w:r>
              </w:p>
            </w:tc>
            <w:tc>
              <w:tcPr>
                <w:tcW w:w="4461" w:type="dxa"/>
                <w:gridSpan w:val="7"/>
                <w:hideMark/>
              </w:tcPr>
              <w:p>
                <w:pPr>
                  <w:jc w:val="both"/>
                  <w:rPr>
                    <w:b/>
                    <w:bCs/>
                    <w:sz w:val="18"/>
                    <w:szCs w:val="18"/>
                  </w:rPr>
                </w:pPr>
                <w:r>
                  <w:rPr>
                    <w:b/>
                    <w:sz w:val="18"/>
                    <w:szCs w:val="18"/>
                  </w:rPr>
                  <w:t>Nacionalinis pažangos planas, patvirtintas Lietuvos Respublikos Vyriausybės 2020 m. rugsėjo 9 d. nutarimu Nr. 998 „Dėl 2021–2030 metų nacionalinio pažangos plano patvirtinimo“</w:t>
                </w:r>
              </w:p>
            </w:tc>
            <w:tc>
              <w:tcPr>
                <w:tcW w:w="1276" w:type="dxa"/>
                <w:hideMark/>
              </w:tcPr>
              <w:p>
                <w:pPr>
                  <w:jc w:val="both"/>
                  <w:rPr>
                    <w:b/>
                    <w:color w:val="000000"/>
                    <w:sz w:val="18"/>
                    <w:szCs w:val="18"/>
                    <w:lang w:eastAsia="lt-LT"/>
                  </w:rPr>
                </w:pPr>
                <w:r>
                  <w:rPr>
                    <w:b/>
                    <w:bCs/>
                    <w:color w:val="000000"/>
                    <w:sz w:val="18"/>
                    <w:szCs w:val="18"/>
                    <w:lang w:eastAsia="lt-LT"/>
                  </w:rPr>
                  <w:t xml:space="preserve">Lietuvos Respublikos Seimo </w:t>
                </w:r>
                <w:r>
                  <w:rPr>
                    <w:b/>
                    <w:color w:val="000000"/>
                    <w:sz w:val="18"/>
                    <w:szCs w:val="18"/>
                    <w:lang w:eastAsia="lt-LT"/>
                  </w:rPr>
                  <w:t>2015 m. balandžio 16 d.</w:t>
                </w:r>
                <w:r>
                  <w:rPr>
                    <w:b/>
                    <w:bCs/>
                    <w:color w:val="000000"/>
                    <w:sz w:val="18"/>
                    <w:szCs w:val="18"/>
                    <w:lang w:eastAsia="lt-LT"/>
                  </w:rPr>
                  <w:t xml:space="preserve"> nutarimas</w:t>
                </w:r>
                <w:r>
                  <w:rPr>
                    <w:b/>
                    <w:color w:val="000000"/>
                    <w:sz w:val="18"/>
                    <w:szCs w:val="18"/>
                    <w:lang w:eastAsia="lt-LT"/>
                  </w:rPr>
                  <w:t xml:space="preserve"> </w:t>
                </w:r>
              </w:p>
              <w:p>
                <w:pPr>
                  <w:jc w:val="both"/>
                  <w:rPr>
                    <w:b/>
                    <w:bCs/>
                    <w:sz w:val="18"/>
                    <w:szCs w:val="18"/>
                  </w:rPr>
                </w:pPr>
                <w:r>
                  <w:rPr>
                    <w:b/>
                    <w:color w:val="000000"/>
                    <w:sz w:val="18"/>
                    <w:szCs w:val="18"/>
                    <w:lang w:eastAsia="lt-LT"/>
                  </w:rPr>
                  <w:t>Nr. XII-1626</w:t>
                </w:r>
                <w:r>
                  <w:rPr>
                    <w:b/>
                    <w:bCs/>
                    <w:color w:val="000000"/>
                    <w:sz w:val="18"/>
                    <w:szCs w:val="18"/>
                    <w:lang w:eastAsia="lt-LT"/>
                  </w:rPr>
                  <w:t xml:space="preserve"> „Dėl nacionalinės aplinkos apsaugos strategijos patvirtinimo“</w:t>
                </w:r>
              </w:p>
            </w:tc>
            <w:tc>
              <w:tcPr>
                <w:tcW w:w="2409" w:type="dxa"/>
                <w:gridSpan w:val="4"/>
                <w:hideMark/>
              </w:tcPr>
              <w:p>
                <w:pPr>
                  <w:ind w:right="43"/>
                  <w:jc w:val="both"/>
                  <w:rPr>
                    <w:b/>
                    <w:color w:val="000000"/>
                    <w:sz w:val="18"/>
                    <w:szCs w:val="18"/>
                    <w:lang w:eastAsia="lt-LT"/>
                  </w:rPr>
                </w:pPr>
                <w:r>
                  <w:rPr>
                    <w:b/>
                    <w:bCs/>
                    <w:color w:val="000000"/>
                    <w:sz w:val="18"/>
                    <w:szCs w:val="18"/>
                    <w:lang w:eastAsia="lt-LT"/>
                  </w:rPr>
                  <w:t xml:space="preserve">Lietuvos Respublikos sveikatos apsaugos ministro </w:t>
                </w:r>
                <w:r>
                  <w:rPr>
                    <w:b/>
                    <w:color w:val="000000"/>
                    <w:sz w:val="18"/>
                    <w:szCs w:val="18"/>
                    <w:lang w:eastAsia="lt-LT"/>
                  </w:rPr>
                  <w:t>2003 m. liepos 23 d.</w:t>
                </w:r>
                <w:r>
                  <w:rPr>
                    <w:b/>
                    <w:bCs/>
                    <w:color w:val="000000"/>
                    <w:sz w:val="18"/>
                    <w:szCs w:val="18"/>
                    <w:lang w:eastAsia="lt-LT"/>
                  </w:rPr>
                  <w:t xml:space="preserve"> įsakymas</w:t>
                </w:r>
                <w:r>
                  <w:rPr>
                    <w:b/>
                    <w:color w:val="000000"/>
                    <w:sz w:val="18"/>
                    <w:szCs w:val="18"/>
                    <w:lang w:eastAsia="lt-LT"/>
                  </w:rPr>
                  <w:t xml:space="preserve"> Nr. V-455 „</w:t>
                </w:r>
                <w:r>
                  <w:rPr>
                    <w:b/>
                    <w:bCs/>
                    <w:color w:val="000000"/>
                    <w:sz w:val="18"/>
                    <w:szCs w:val="18"/>
                    <w:lang w:eastAsia="lt-LT"/>
                  </w:rPr>
                  <w:t>Dėl Lietuvos higienos normos HN 24:2023 „Geriamojo vandens saugos ir kokybės reikalavimai“ patvirtinimo“</w:t>
                </w:r>
              </w:p>
              <w:p>
                <w:pPr>
                  <w:ind w:firstLine="48"/>
                  <w:rPr>
                    <w:b/>
                    <w:bCs/>
                    <w:sz w:val="18"/>
                    <w:szCs w:val="18"/>
                  </w:rPr>
                </w:pPr>
                <w:r>
                  <w:rPr>
                    <w:b/>
                    <w:bCs/>
                    <w:sz w:val="18"/>
                    <w:szCs w:val="18"/>
                  </w:rPr>
                  <w:t>(neatitinkantys rodikliai)</w:t>
                </w:r>
              </w:p>
            </w:tc>
          </w:tr>
          <w:tr>
            <w:trPr>
              <w:trHeight w:val="1269"/>
            </w:trPr>
            <w:tc>
              <w:tcPr>
                <w:tcW w:w="1664" w:type="dxa"/>
                <w:noWrap/>
                <w:hideMark/>
              </w:tcPr>
              <w:p>
                <w:pPr>
                  <w:rPr>
                    <w:b/>
                    <w:sz w:val="18"/>
                    <w:szCs w:val="18"/>
                  </w:rPr>
                </w:pPr>
                <w:r>
                  <w:rPr>
                    <w:b/>
                    <w:sz w:val="18"/>
                    <w:szCs w:val="18"/>
                  </w:rPr>
                  <w:t>Rodiklio pavadinimas</w:t>
                </w:r>
              </w:p>
            </w:tc>
            <w:tc>
              <w:tcPr>
                <w:tcW w:w="1526" w:type="dxa"/>
              </w:tcPr>
              <w:p>
                <w:pPr>
                  <w:ind w:left="-533" w:firstLine="567"/>
                  <w:jc w:val="center"/>
                  <w:rPr>
                    <w:b/>
                    <w:sz w:val="18"/>
                    <w:szCs w:val="18"/>
                  </w:rPr>
                </w:pPr>
              </w:p>
              <w:p>
                <w:pPr>
                  <w:tabs>
                    <w:tab w:val="left" w:pos="1320"/>
                  </w:tabs>
                  <w:ind w:right="152"/>
                  <w:jc w:val="both"/>
                  <w:rPr>
                    <w:sz w:val="18"/>
                    <w:szCs w:val="18"/>
                  </w:rPr>
                </w:pPr>
                <w:r>
                  <w:rPr>
                    <w:sz w:val="18"/>
                    <w:szCs w:val="18"/>
                  </w:rPr>
                  <w:t>Viešoji geriamojo</w:t>
                </w:r>
              </w:p>
              <w:p>
                <w:pPr>
                  <w:tabs>
                    <w:tab w:val="left" w:pos="1320"/>
                  </w:tabs>
                  <w:ind w:right="152"/>
                  <w:jc w:val="both"/>
                  <w:rPr>
                    <w:sz w:val="18"/>
                    <w:szCs w:val="18"/>
                  </w:rPr>
                </w:pPr>
                <w:r>
                  <w:rPr>
                    <w:sz w:val="18"/>
                    <w:szCs w:val="18"/>
                  </w:rPr>
                  <w:t>vandens tiekimo</w:t>
                </w:r>
              </w:p>
              <w:p>
                <w:pPr>
                  <w:tabs>
                    <w:tab w:val="left" w:pos="34"/>
                    <w:tab w:val="left" w:pos="1320"/>
                  </w:tabs>
                  <w:ind w:right="141"/>
                  <w:jc w:val="both"/>
                  <w:rPr>
                    <w:sz w:val="18"/>
                    <w:szCs w:val="18"/>
                  </w:rPr>
                </w:pPr>
                <w:r>
                  <w:rPr>
                    <w:sz w:val="18"/>
                    <w:szCs w:val="18"/>
                  </w:rPr>
                  <w:t>ir nuotekų tvarkymo</w:t>
                </w:r>
              </w:p>
              <w:p>
                <w:pPr>
                  <w:tabs>
                    <w:tab w:val="left" w:pos="1320"/>
                  </w:tabs>
                  <w:ind w:right="152"/>
                  <w:jc w:val="both"/>
                  <w:rPr>
                    <w:b/>
                    <w:sz w:val="18"/>
                    <w:szCs w:val="18"/>
                  </w:rPr>
                </w:pPr>
                <w:r>
                  <w:rPr>
                    <w:sz w:val="18"/>
                    <w:szCs w:val="18"/>
                  </w:rPr>
                  <w:t>teritorija</w:t>
                </w:r>
              </w:p>
            </w:tc>
            <w:tc>
              <w:tcPr>
                <w:tcW w:w="1417" w:type="dxa"/>
                <w:hideMark/>
              </w:tcPr>
              <w:p>
                <w:pPr>
                  <w:ind w:firstLine="1296"/>
                  <w:rPr>
                    <w:sz w:val="18"/>
                    <w:szCs w:val="18"/>
                  </w:rPr>
                </w:pPr>
              </w:p>
              <w:p>
                <w:pPr>
                  <w:rPr>
                    <w:sz w:val="18"/>
                    <w:szCs w:val="18"/>
                  </w:rPr>
                </w:pPr>
                <w:r>
                  <w:rPr>
                    <w:sz w:val="18"/>
                    <w:szCs w:val="18"/>
                  </w:rPr>
                  <w:t xml:space="preserve">Didesnėse nei 2000 gyventojų ekvivalento </w:t>
                </w:r>
              </w:p>
              <w:p>
                <w:pPr>
                  <w:rPr>
                    <w:sz w:val="18"/>
                    <w:szCs w:val="18"/>
                  </w:rPr>
                </w:pPr>
                <w:r>
                  <w:rPr>
                    <w:sz w:val="18"/>
                    <w:szCs w:val="18"/>
                  </w:rPr>
                  <w:t>(toliau – GE) aglomeracijose gyventojai prijungti prie centralizuotos nuotekų tvarkymo sistemos</w:t>
                </w:r>
              </w:p>
            </w:tc>
            <w:tc>
              <w:tcPr>
                <w:tcW w:w="1530" w:type="dxa"/>
                <w:gridSpan w:val="2"/>
                <w:hideMark/>
              </w:tcPr>
              <w:p>
                <w:pPr>
                  <w:ind w:firstLine="1296"/>
                  <w:rPr>
                    <w:sz w:val="18"/>
                    <w:szCs w:val="18"/>
                  </w:rPr>
                </w:pPr>
              </w:p>
              <w:p>
                <w:pPr>
                  <w:rPr>
                    <w:sz w:val="18"/>
                    <w:szCs w:val="18"/>
                  </w:rPr>
                </w:pPr>
                <w:r>
                  <w:rPr>
                    <w:sz w:val="18"/>
                    <w:szCs w:val="18"/>
                  </w:rPr>
                  <w:t xml:space="preserve">Didesnėse nei </w:t>
                </w:r>
              </w:p>
              <w:p>
                <w:pPr>
                  <w:rPr>
                    <w:sz w:val="18"/>
                    <w:szCs w:val="18"/>
                  </w:rPr>
                </w:pPr>
                <w:r>
                  <w:rPr>
                    <w:sz w:val="18"/>
                    <w:szCs w:val="18"/>
                  </w:rPr>
                  <w:t>100 000 GE aglomeracijose gyventojų, neprijungtų prie centralizuotos nuotekų tvarkymo sistemos, tarša</w:t>
                </w:r>
              </w:p>
            </w:tc>
            <w:tc>
              <w:tcPr>
                <w:tcW w:w="2193" w:type="dxa"/>
                <w:gridSpan w:val="3"/>
                <w:hideMark/>
              </w:tcPr>
              <w:p>
                <w:pPr>
                  <w:rPr>
                    <w:sz w:val="18"/>
                    <w:szCs w:val="18"/>
                  </w:rPr>
                </w:pPr>
              </w:p>
              <w:p>
                <w:pPr>
                  <w:rPr>
                    <w:sz w:val="18"/>
                    <w:szCs w:val="18"/>
                  </w:rPr>
                </w:pPr>
                <w:r>
                  <w:rPr>
                    <w:sz w:val="18"/>
                    <w:szCs w:val="18"/>
                  </w:rPr>
                  <w:t>6.7.2. Gyventojų, aprūpinamų geriamojo vandens tiekimo paslaugomis, dalis, palyginti su visais gyventojais</w:t>
                </w:r>
              </w:p>
            </w:tc>
            <w:tc>
              <w:tcPr>
                <w:tcW w:w="2268" w:type="dxa"/>
                <w:gridSpan w:val="4"/>
                <w:hideMark/>
              </w:tcPr>
              <w:p>
                <w:pPr>
                  <w:rPr>
                    <w:sz w:val="18"/>
                    <w:szCs w:val="18"/>
                  </w:rPr>
                </w:pPr>
              </w:p>
              <w:p>
                <w:pPr>
                  <w:rPr>
                    <w:sz w:val="18"/>
                    <w:szCs w:val="18"/>
                  </w:rPr>
                </w:pPr>
                <w:r>
                  <w:rPr>
                    <w:sz w:val="18"/>
                    <w:szCs w:val="18"/>
                  </w:rPr>
                  <w:t>6.7.3. Gyventojų, aprūpinamų centralizuotai teikiamomis nuotekų tvarkymo paslaugomis, dalis, palyginti su visais gyventojais</w:t>
                </w:r>
              </w:p>
            </w:tc>
            <w:tc>
              <w:tcPr>
                <w:tcW w:w="1276" w:type="dxa"/>
                <w:hideMark/>
              </w:tcPr>
              <w:p>
                <w:pPr>
                  <w:jc w:val="both"/>
                  <w:rPr>
                    <w:sz w:val="18"/>
                    <w:szCs w:val="18"/>
                  </w:rPr>
                </w:pPr>
              </w:p>
              <w:p>
                <w:pPr>
                  <w:jc w:val="both"/>
                  <w:rPr>
                    <w:sz w:val="18"/>
                    <w:szCs w:val="18"/>
                  </w:rPr>
                </w:pPr>
                <w:r>
                  <w:rPr>
                    <w:sz w:val="18"/>
                    <w:szCs w:val="18"/>
                  </w:rPr>
                  <w:t>Geriamojo vandens nuostoliai tinkluose (procentais)</w:t>
                </w:r>
              </w:p>
            </w:tc>
            <w:tc>
              <w:tcPr>
                <w:tcW w:w="1134" w:type="dxa"/>
                <w:gridSpan w:val="2"/>
                <w:hideMark/>
              </w:tcPr>
              <w:p>
                <w:pPr>
                  <w:ind w:firstLine="1296"/>
                  <w:rPr>
                    <w:sz w:val="18"/>
                    <w:szCs w:val="18"/>
                  </w:rPr>
                </w:pPr>
                <w:r>
                  <w:rPr>
                    <w:sz w:val="18"/>
                    <w:szCs w:val="18"/>
                  </w:rPr>
                  <w:t>CCheminiai</w:t>
                </w:r>
              </w:p>
            </w:tc>
            <w:tc>
              <w:tcPr>
                <w:tcW w:w="1275" w:type="dxa"/>
                <w:gridSpan w:val="2"/>
                <w:hideMark/>
              </w:tcPr>
              <w:p>
                <w:pPr>
                  <w:rPr>
                    <w:sz w:val="18"/>
                    <w:szCs w:val="18"/>
                  </w:rPr>
                </w:pPr>
              </w:p>
              <w:p>
                <w:pPr>
                  <w:rPr>
                    <w:sz w:val="18"/>
                    <w:szCs w:val="18"/>
                  </w:rPr>
                </w:pPr>
                <w:r>
                  <w:rPr>
                    <w:sz w:val="18"/>
                    <w:szCs w:val="18"/>
                  </w:rPr>
                  <w:t>Indikatoriniai</w:t>
                </w:r>
              </w:p>
            </w:tc>
          </w:tr>
          <w:tr>
            <w:trPr>
              <w:trHeight w:val="519"/>
            </w:trPr>
            <w:tc>
              <w:tcPr>
                <w:tcW w:w="1664" w:type="dxa"/>
                <w:noWrap/>
                <w:hideMark/>
              </w:tcPr>
              <w:p>
                <w:pPr>
                  <w:rPr>
                    <w:b/>
                    <w:sz w:val="18"/>
                    <w:szCs w:val="18"/>
                  </w:rPr>
                </w:pPr>
                <w:r>
                  <w:rPr>
                    <w:b/>
                    <w:sz w:val="18"/>
                    <w:szCs w:val="18"/>
                  </w:rPr>
                  <w:t>Siekiamas rodiklis</w:t>
                </w:r>
              </w:p>
            </w:tc>
            <w:tc>
              <w:tcPr>
                <w:tcW w:w="1526" w:type="dxa"/>
              </w:tcPr>
              <w:p>
                <w:pPr>
                  <w:ind w:firstLine="1296"/>
                  <w:jc w:val="center"/>
                  <w:rPr>
                    <w:b/>
                    <w:sz w:val="18"/>
                    <w:szCs w:val="18"/>
                  </w:rPr>
                </w:pPr>
              </w:p>
            </w:tc>
            <w:tc>
              <w:tcPr>
                <w:tcW w:w="1417" w:type="dxa"/>
                <w:hideMark/>
              </w:tcPr>
              <w:p>
                <w:pPr>
                  <w:jc w:val="center"/>
                  <w:rPr>
                    <w:sz w:val="18"/>
                    <w:szCs w:val="18"/>
                  </w:rPr>
                </w:pPr>
              </w:p>
              <w:p>
                <w:pPr>
                  <w:jc w:val="center"/>
                  <w:rPr>
                    <w:sz w:val="18"/>
                    <w:szCs w:val="18"/>
                  </w:rPr>
                </w:pPr>
                <w:r>
                  <w:rPr>
                    <w:sz w:val="18"/>
                    <w:szCs w:val="18"/>
                  </w:rPr>
                  <w:t>&gt; 98 %</w:t>
                </w:r>
              </w:p>
            </w:tc>
            <w:tc>
              <w:tcPr>
                <w:tcW w:w="1530" w:type="dxa"/>
                <w:gridSpan w:val="2"/>
                <w:hideMark/>
              </w:tcPr>
              <w:p>
                <w:pPr>
                  <w:ind w:firstLine="1296"/>
                  <w:jc w:val="center"/>
                  <w:rPr>
                    <w:sz w:val="18"/>
                    <w:szCs w:val="18"/>
                  </w:rPr>
                </w:pPr>
              </w:p>
              <w:p>
                <w:pPr>
                  <w:jc w:val="center"/>
                  <w:rPr>
                    <w:sz w:val="18"/>
                    <w:szCs w:val="18"/>
                  </w:rPr>
                </w:pPr>
                <w:r>
                  <w:rPr>
                    <w:sz w:val="18"/>
                    <w:szCs w:val="18"/>
                  </w:rPr>
                  <w:t>&lt; 2000 GE</w:t>
                </w:r>
              </w:p>
            </w:tc>
            <w:tc>
              <w:tcPr>
                <w:tcW w:w="1058" w:type="dxa"/>
                <w:gridSpan w:val="2"/>
                <w:hideMark/>
              </w:tcPr>
              <w:p>
                <w:pPr>
                  <w:ind w:firstLine="1296"/>
                  <w:jc w:val="center"/>
                  <w:rPr>
                    <w:sz w:val="18"/>
                    <w:szCs w:val="18"/>
                  </w:rPr>
                </w:pPr>
                <w:r>
                  <w:rPr>
                    <w:sz w:val="18"/>
                    <w:szCs w:val="18"/>
                  </w:rPr>
                  <w:t xml:space="preserve">22025 m. </w:t>
                </w:r>
              </w:p>
              <w:p>
                <w:pPr>
                  <w:ind w:left="-1101" w:firstLine="1296"/>
                  <w:rPr>
                    <w:sz w:val="18"/>
                    <w:szCs w:val="18"/>
                  </w:rPr>
                </w:pPr>
                <w:r>
                  <w:rPr>
                    <w:sz w:val="18"/>
                    <w:szCs w:val="18"/>
                  </w:rPr>
                  <w:t>(86 %)</w:t>
                </w:r>
              </w:p>
            </w:tc>
            <w:tc>
              <w:tcPr>
                <w:tcW w:w="1135" w:type="dxa"/>
                <w:hideMark/>
              </w:tcPr>
              <w:p>
                <w:pPr>
                  <w:ind w:firstLine="1296"/>
                  <w:jc w:val="center"/>
                  <w:rPr>
                    <w:sz w:val="18"/>
                    <w:szCs w:val="18"/>
                  </w:rPr>
                </w:pPr>
                <w:r>
                  <w:rPr>
                    <w:sz w:val="18"/>
                    <w:szCs w:val="18"/>
                  </w:rPr>
                  <w:t xml:space="preserve">22030 m. </w:t>
                </w:r>
              </w:p>
              <w:p>
                <w:pPr>
                  <w:ind w:left="-958" w:firstLine="958"/>
                  <w:jc w:val="center"/>
                  <w:rPr>
                    <w:sz w:val="18"/>
                    <w:szCs w:val="18"/>
                  </w:rPr>
                </w:pPr>
                <w:r>
                  <w:rPr>
                    <w:sz w:val="18"/>
                    <w:szCs w:val="18"/>
                  </w:rPr>
                  <w:t>(90 %)</w:t>
                </w:r>
              </w:p>
            </w:tc>
            <w:tc>
              <w:tcPr>
                <w:tcW w:w="1134" w:type="dxa"/>
                <w:hideMark/>
              </w:tcPr>
              <w:p>
                <w:pPr>
                  <w:ind w:right="-250" w:firstLine="1298"/>
                  <w:jc w:val="center"/>
                  <w:rPr>
                    <w:sz w:val="18"/>
                    <w:szCs w:val="18"/>
                  </w:rPr>
                </w:pPr>
                <w:r>
                  <w:rPr>
                    <w:sz w:val="18"/>
                    <w:szCs w:val="18"/>
                  </w:rPr>
                  <w:t>22025 m.</w:t>
                </w:r>
              </w:p>
              <w:p>
                <w:pPr>
                  <w:ind w:left="-1101" w:right="-250" w:firstLine="1442"/>
                  <w:rPr>
                    <w:sz w:val="18"/>
                    <w:szCs w:val="18"/>
                  </w:rPr>
                </w:pPr>
                <w:r>
                  <w:rPr>
                    <w:sz w:val="18"/>
                    <w:szCs w:val="18"/>
                  </w:rPr>
                  <w:t>(85 %)</w:t>
                </w:r>
              </w:p>
            </w:tc>
            <w:tc>
              <w:tcPr>
                <w:tcW w:w="1134" w:type="dxa"/>
                <w:gridSpan w:val="3"/>
                <w:hideMark/>
              </w:tcPr>
              <w:p>
                <w:pPr>
                  <w:ind w:left="317" w:right="-250" w:firstLine="981"/>
                  <w:rPr>
                    <w:sz w:val="18"/>
                    <w:szCs w:val="18"/>
                  </w:rPr>
                </w:pPr>
                <w:r>
                  <w:rPr>
                    <w:sz w:val="18"/>
                    <w:szCs w:val="18"/>
                  </w:rPr>
                  <w:t>22030 m.</w:t>
                </w:r>
              </w:p>
              <w:p>
                <w:pPr>
                  <w:ind w:right="-250" w:firstLine="336"/>
                  <w:rPr>
                    <w:sz w:val="18"/>
                    <w:szCs w:val="18"/>
                  </w:rPr>
                </w:pPr>
                <w:r>
                  <w:rPr>
                    <w:sz w:val="18"/>
                    <w:szCs w:val="18"/>
                  </w:rPr>
                  <w:t>(95 %)</w:t>
                </w:r>
              </w:p>
            </w:tc>
            <w:tc>
              <w:tcPr>
                <w:tcW w:w="1276" w:type="dxa"/>
                <w:hideMark/>
              </w:tcPr>
              <w:p>
                <w:pPr>
                  <w:ind w:firstLine="884"/>
                  <w:jc w:val="center"/>
                  <w:rPr>
                    <w:sz w:val="18"/>
                    <w:szCs w:val="18"/>
                  </w:rPr>
                </w:pPr>
              </w:p>
              <w:p>
                <w:pPr>
                  <w:jc w:val="center"/>
                  <w:rPr>
                    <w:sz w:val="18"/>
                    <w:szCs w:val="18"/>
                  </w:rPr>
                </w:pPr>
                <w:r>
                  <w:rPr>
                    <w:sz w:val="18"/>
                    <w:szCs w:val="18"/>
                  </w:rPr>
                  <w:t>2030 m.</w:t>
                </w:r>
              </w:p>
              <w:p>
                <w:pPr>
                  <w:jc w:val="center"/>
                  <w:rPr>
                    <w:sz w:val="18"/>
                    <w:szCs w:val="18"/>
                  </w:rPr>
                </w:pPr>
                <w:r>
                  <w:rPr>
                    <w:sz w:val="18"/>
                    <w:szCs w:val="18"/>
                  </w:rPr>
                  <w:t>(18 %)</w:t>
                </w:r>
              </w:p>
            </w:tc>
            <w:tc>
              <w:tcPr>
                <w:tcW w:w="1134" w:type="dxa"/>
                <w:gridSpan w:val="2"/>
                <w:hideMark/>
              </w:tcPr>
              <w:p>
                <w:pPr>
                  <w:ind w:firstLine="1344"/>
                  <w:rPr>
                    <w:sz w:val="18"/>
                    <w:szCs w:val="18"/>
                  </w:rPr>
                </w:pPr>
              </w:p>
            </w:tc>
            <w:tc>
              <w:tcPr>
                <w:tcW w:w="1275" w:type="dxa"/>
                <w:gridSpan w:val="2"/>
                <w:hideMark/>
              </w:tcPr>
              <w:p>
                <w:pPr>
                  <w:ind w:firstLine="1344"/>
                  <w:rPr>
                    <w:sz w:val="18"/>
                    <w:szCs w:val="18"/>
                  </w:rPr>
                </w:pPr>
              </w:p>
            </w:tc>
          </w:tr>
          <w:tr>
            <w:trPr>
              <w:trHeight w:val="336"/>
            </w:trPr>
            <w:tc>
              <w:tcPr>
                <w:tcW w:w="14283" w:type="dxa"/>
                <w:gridSpan w:val="17"/>
                <w:hideMark/>
              </w:tcPr>
              <w:p>
                <w:pPr>
                  <w:ind w:firstLine="1296"/>
                  <w:jc w:val="center"/>
                  <w:rPr>
                    <w:b/>
                    <w:sz w:val="18"/>
                    <w:szCs w:val="18"/>
                  </w:rPr>
                </w:pPr>
              </w:p>
              <w:p>
                <w:pPr>
                  <w:ind w:firstLine="1296"/>
                  <w:jc w:val="center"/>
                  <w:rPr>
                    <w:b/>
                    <w:sz w:val="18"/>
                    <w:szCs w:val="18"/>
                  </w:rPr>
                </w:pPr>
                <w:r>
                  <w:rPr>
                    <w:b/>
                    <w:sz w:val="18"/>
                    <w:szCs w:val="18"/>
                  </w:rPr>
                  <w:t>Finansavimo poreikis ir metai</w:t>
                </w:r>
              </w:p>
              <w:p>
                <w:pPr>
                  <w:ind w:firstLine="1296"/>
                  <w:jc w:val="center"/>
                  <w:rPr>
                    <w:sz w:val="18"/>
                    <w:szCs w:val="18"/>
                  </w:rPr>
                </w:pPr>
              </w:p>
            </w:tc>
          </w:tr>
          <w:tr>
            <w:trPr>
              <w:trHeight w:val="391"/>
            </w:trPr>
            <w:tc>
              <w:tcPr>
                <w:tcW w:w="14283" w:type="dxa"/>
                <w:gridSpan w:val="17"/>
                <w:hideMark/>
              </w:tcPr>
              <w:p>
                <w:pPr>
                  <w:ind w:left="502" w:hanging="360"/>
                  <w:rPr>
                    <w:sz w:val="18"/>
                    <w:szCs w:val="18"/>
                  </w:rPr>
                </w:pPr>
                <w:r>
                  <w:rPr>
                    <w:b/>
                    <w:sz w:val="18"/>
                    <w:szCs w:val="18"/>
                  </w:rPr>
                  <w:t>1.</w:t>
                  <w:tab/>
                </w:r>
                <w:r>
                  <w:rPr>
                    <w:b/>
                    <w:bCs/>
                    <w:sz w:val="18"/>
                    <w:szCs w:val="18"/>
                  </w:rPr>
                  <w:t>Geriamo vandens tiekimo infrastruktūra</w:t>
                </w:r>
                <w:r>
                  <w:rPr>
                    <w:sz w:val="18"/>
                    <w:szCs w:val="18"/>
                  </w:rPr>
                  <w:t> </w:t>
                </w:r>
              </w:p>
            </w:tc>
          </w:tr>
          <w:tr>
            <w:trPr>
              <w:trHeight w:val="305"/>
            </w:trPr>
            <w:tc>
              <w:tcPr>
                <w:tcW w:w="14283" w:type="dxa"/>
                <w:gridSpan w:val="17"/>
                <w:hideMark/>
              </w:tcPr>
              <w:p>
                <w:pPr>
                  <w:ind w:left="502" w:hanging="360"/>
                  <w:rPr>
                    <w:sz w:val="18"/>
                    <w:szCs w:val="18"/>
                  </w:rPr>
                </w:pPr>
                <w:r>
                  <w:rPr>
                    <w:b/>
                    <w:sz w:val="18"/>
                    <w:szCs w:val="18"/>
                  </w:rPr>
                  <w:t>1.1.</w:t>
                  <w:tab/>
                </w:r>
                <w:r>
                  <w:rPr>
                    <w:b/>
                    <w:bCs/>
                    <w:sz w:val="18"/>
                    <w:szCs w:val="18"/>
                  </w:rPr>
                  <w:t>Vandenviečių ir vandens gerinimo įrenginių statyba ir rekonstrukcija</w:t>
                </w:r>
              </w:p>
            </w:tc>
          </w:tr>
          <w:tr>
            <w:trPr>
              <w:trHeight w:val="300"/>
            </w:trPr>
            <w:tc>
              <w:tcPr>
                <w:tcW w:w="1664" w:type="dxa"/>
                <w:hideMark/>
              </w:tcPr>
              <w:p>
                <w:pPr>
                  <w:rPr>
                    <w:sz w:val="18"/>
                    <w:szCs w:val="18"/>
                  </w:rPr>
                </w:pPr>
                <w:r>
                  <w:rPr>
                    <w:sz w:val="18"/>
                    <w:szCs w:val="18"/>
                  </w:rPr>
                  <w:t>„A“ gyvenamoji vietovė</w:t>
                </w:r>
              </w:p>
            </w:tc>
            <w:tc>
              <w:tcPr>
                <w:tcW w:w="1526" w:type="dxa"/>
              </w:tcPr>
              <w:p>
                <w:pPr>
                  <w:ind w:left="-1291" w:firstLine="1296"/>
                  <w:rPr>
                    <w:sz w:val="18"/>
                    <w:szCs w:val="18"/>
                  </w:rPr>
                </w:pPr>
              </w:p>
            </w:tc>
            <w:tc>
              <w:tcPr>
                <w:tcW w:w="1450" w:type="dxa"/>
                <w:gridSpan w:val="2"/>
              </w:tcPr>
              <w:p>
                <w:pPr>
                  <w:ind w:firstLine="1296"/>
                  <w:rPr>
                    <w:b/>
                    <w:bCs/>
                    <w:sz w:val="18"/>
                    <w:szCs w:val="18"/>
                  </w:rPr>
                </w:pPr>
              </w:p>
            </w:tc>
            <w:tc>
              <w:tcPr>
                <w:tcW w:w="1560" w:type="dxa"/>
                <w:gridSpan w:val="2"/>
              </w:tcPr>
              <w:p>
                <w:pPr>
                  <w:ind w:firstLine="1296"/>
                  <w:rPr>
                    <w:b/>
                    <w:bCs/>
                    <w:sz w:val="18"/>
                    <w:szCs w:val="18"/>
                  </w:rPr>
                </w:pPr>
              </w:p>
            </w:tc>
            <w:tc>
              <w:tcPr>
                <w:tcW w:w="995" w:type="dxa"/>
              </w:tcPr>
              <w:p>
                <w:pPr>
                  <w:ind w:firstLine="1296"/>
                  <w:rPr>
                    <w:sz w:val="18"/>
                    <w:szCs w:val="18"/>
                  </w:rPr>
                </w:pPr>
              </w:p>
            </w:tc>
            <w:tc>
              <w:tcPr>
                <w:tcW w:w="1135" w:type="dxa"/>
              </w:tcPr>
              <w:p>
                <w:pPr>
                  <w:ind w:firstLine="1296"/>
                  <w:rPr>
                    <w:sz w:val="18"/>
                    <w:szCs w:val="18"/>
                  </w:rPr>
                </w:pPr>
              </w:p>
            </w:tc>
            <w:tc>
              <w:tcPr>
                <w:tcW w:w="1134" w:type="dxa"/>
              </w:tcPr>
              <w:p>
                <w:pPr>
                  <w:ind w:firstLine="1296"/>
                  <w:rPr>
                    <w:sz w:val="18"/>
                    <w:szCs w:val="18"/>
                  </w:rPr>
                </w:pPr>
              </w:p>
            </w:tc>
            <w:tc>
              <w:tcPr>
                <w:tcW w:w="1134" w:type="dxa"/>
                <w:gridSpan w:val="3"/>
              </w:tcPr>
              <w:p>
                <w:pPr>
                  <w:ind w:firstLine="1296"/>
                  <w:rPr>
                    <w:sz w:val="18"/>
                    <w:szCs w:val="18"/>
                  </w:rPr>
                </w:pPr>
              </w:p>
            </w:tc>
            <w:tc>
              <w:tcPr>
                <w:tcW w:w="1276" w:type="dxa"/>
              </w:tcPr>
              <w:p>
                <w:pPr>
                  <w:ind w:firstLine="1296"/>
                  <w:rPr>
                    <w:sz w:val="18"/>
                    <w:szCs w:val="18"/>
                  </w:rPr>
                </w:pPr>
              </w:p>
            </w:tc>
            <w:tc>
              <w:tcPr>
                <w:tcW w:w="1134" w:type="dxa"/>
                <w:gridSpan w:val="2"/>
                <w:hideMark/>
              </w:tcPr>
              <w:p>
                <w:pPr>
                  <w:ind w:firstLine="1296"/>
                  <w:rPr>
                    <w:sz w:val="18"/>
                    <w:szCs w:val="18"/>
                  </w:rPr>
                </w:pPr>
                <w:r>
                  <w:rPr>
                    <w:sz w:val="18"/>
                    <w:szCs w:val="18"/>
                  </w:rPr>
                  <w:t>.</w:t>
                </w:r>
              </w:p>
            </w:tc>
            <w:tc>
              <w:tcPr>
                <w:tcW w:w="1275" w:type="dxa"/>
                <w:gridSpan w:val="2"/>
                <w:hideMark/>
              </w:tcPr>
              <w:p>
                <w:pPr>
                  <w:ind w:firstLine="1344"/>
                  <w:rPr>
                    <w:sz w:val="18"/>
                    <w:szCs w:val="18"/>
                  </w:rPr>
                </w:pPr>
              </w:p>
            </w:tc>
          </w:tr>
          <w:tr>
            <w:trPr>
              <w:trHeight w:val="300"/>
            </w:trPr>
            <w:tc>
              <w:tcPr>
                <w:tcW w:w="1664" w:type="dxa"/>
                <w:hideMark/>
              </w:tcPr>
              <w:p>
                <w:pPr>
                  <w:rPr>
                    <w:sz w:val="18"/>
                    <w:szCs w:val="18"/>
                  </w:rPr>
                </w:pPr>
                <w:r>
                  <w:rPr>
                    <w:sz w:val="18"/>
                    <w:szCs w:val="18"/>
                  </w:rPr>
                  <w:t xml:space="preserve">„B“  gyvenamoji vietovė</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b/>
                    <w:bCs/>
                    <w:sz w:val="18"/>
                    <w:szCs w:val="18"/>
                  </w:rPr>
                </w:pPr>
              </w:p>
            </w:tc>
            <w:tc>
              <w:tcPr>
                <w:tcW w:w="1560" w:type="dxa"/>
                <w:gridSpan w:val="2"/>
                <w:hideMark/>
              </w:tcPr>
              <w:p>
                <w:pPr>
                  <w:ind w:firstLine="1344"/>
                  <w:rPr>
                    <w:b/>
                    <w:bCs/>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134" w:type="dxa"/>
                <w:hideMark/>
              </w:tcPr>
              <w:p>
                <w:pPr>
                  <w:ind w:firstLine="1344"/>
                  <w:rPr>
                    <w:sz w:val="18"/>
                    <w:szCs w:val="18"/>
                  </w:rPr>
                </w:pPr>
              </w:p>
            </w:tc>
            <w:tc>
              <w:tcPr>
                <w:tcW w:w="1134" w:type="dxa"/>
                <w:gridSpan w:val="3"/>
                <w:hideMark/>
              </w:tcPr>
              <w:p>
                <w:pPr>
                  <w:ind w:firstLine="1344"/>
                  <w:rPr>
                    <w:sz w:val="18"/>
                    <w:szCs w:val="18"/>
                  </w:rPr>
                </w:pPr>
              </w:p>
            </w:tc>
            <w:tc>
              <w:tcPr>
                <w:tcW w:w="1276" w:type="dxa"/>
                <w:hideMark/>
              </w:tcPr>
              <w:p>
                <w:pPr>
                  <w:ind w:firstLine="1344"/>
                  <w:rPr>
                    <w:sz w:val="18"/>
                    <w:szCs w:val="18"/>
                  </w:rPr>
                </w:pPr>
              </w:p>
            </w:tc>
            <w:tc>
              <w:tcPr>
                <w:tcW w:w="1134" w:type="dxa"/>
                <w:gridSpan w:val="2"/>
                <w:hideMark/>
              </w:tcPr>
              <w:p>
                <w:pPr>
                  <w:ind w:firstLine="1344"/>
                  <w:rPr>
                    <w:sz w:val="18"/>
                    <w:szCs w:val="18"/>
                  </w:rPr>
                </w:pPr>
              </w:p>
            </w:tc>
            <w:tc>
              <w:tcPr>
                <w:tcW w:w="1275" w:type="dxa"/>
                <w:gridSpan w:val="2"/>
                <w:hideMark/>
              </w:tcPr>
              <w:p>
                <w:pPr>
                  <w:ind w:firstLine="1344"/>
                  <w:rPr>
                    <w:sz w:val="18"/>
                    <w:szCs w:val="18"/>
                  </w:rPr>
                </w:pPr>
              </w:p>
            </w:tc>
          </w:tr>
          <w:tr>
            <w:trPr>
              <w:trHeight w:val="300"/>
            </w:trPr>
            <w:tc>
              <w:tcPr>
                <w:tcW w:w="1664" w:type="dxa"/>
                <w:hideMark/>
              </w:tcPr>
              <w:p>
                <w:pPr>
                  <w:ind w:firstLine="142"/>
                  <w:rPr>
                    <w:sz w:val="18"/>
                    <w:szCs w:val="18"/>
                  </w:rPr>
                </w:pPr>
                <w:r>
                  <w:rPr>
                    <w:sz w:val="18"/>
                    <w:szCs w:val="18"/>
                  </w:rPr>
                  <w:t>….</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b/>
                    <w:bCs/>
                    <w:sz w:val="18"/>
                    <w:szCs w:val="18"/>
                  </w:rPr>
                </w:pPr>
              </w:p>
            </w:tc>
            <w:tc>
              <w:tcPr>
                <w:tcW w:w="1560" w:type="dxa"/>
                <w:gridSpan w:val="2"/>
                <w:hideMark/>
              </w:tcPr>
              <w:p>
                <w:pPr>
                  <w:ind w:firstLine="1344"/>
                  <w:rPr>
                    <w:b/>
                    <w:bCs/>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134" w:type="dxa"/>
                <w:hideMark/>
              </w:tcPr>
              <w:p>
                <w:pPr>
                  <w:ind w:firstLine="1344"/>
                  <w:rPr>
                    <w:sz w:val="18"/>
                    <w:szCs w:val="18"/>
                  </w:rPr>
                </w:pPr>
              </w:p>
            </w:tc>
            <w:tc>
              <w:tcPr>
                <w:tcW w:w="1134" w:type="dxa"/>
                <w:gridSpan w:val="3"/>
                <w:hideMark/>
              </w:tcPr>
              <w:p>
                <w:pPr>
                  <w:ind w:firstLine="1344"/>
                  <w:rPr>
                    <w:sz w:val="18"/>
                    <w:szCs w:val="18"/>
                  </w:rPr>
                </w:pPr>
              </w:p>
            </w:tc>
            <w:tc>
              <w:tcPr>
                <w:tcW w:w="1276" w:type="dxa"/>
                <w:hideMark/>
              </w:tcPr>
              <w:p>
                <w:pPr>
                  <w:ind w:firstLine="1344"/>
                  <w:rPr>
                    <w:sz w:val="18"/>
                    <w:szCs w:val="18"/>
                  </w:rPr>
                </w:pPr>
              </w:p>
            </w:tc>
            <w:tc>
              <w:tcPr>
                <w:tcW w:w="1134" w:type="dxa"/>
                <w:gridSpan w:val="2"/>
                <w:hideMark/>
              </w:tcPr>
              <w:p>
                <w:pPr>
                  <w:ind w:firstLine="1344"/>
                  <w:rPr>
                    <w:sz w:val="18"/>
                    <w:szCs w:val="18"/>
                  </w:rPr>
                </w:pPr>
              </w:p>
            </w:tc>
            <w:tc>
              <w:tcPr>
                <w:tcW w:w="1275" w:type="dxa"/>
                <w:gridSpan w:val="2"/>
                <w:hideMark/>
              </w:tcPr>
              <w:p>
                <w:pPr>
                  <w:ind w:firstLine="1344"/>
                  <w:rPr>
                    <w:sz w:val="18"/>
                    <w:szCs w:val="18"/>
                  </w:rPr>
                </w:pPr>
              </w:p>
            </w:tc>
          </w:tr>
          <w:tr>
            <w:trPr>
              <w:trHeight w:val="327"/>
            </w:trPr>
            <w:tc>
              <w:tcPr>
                <w:tcW w:w="14283" w:type="dxa"/>
                <w:gridSpan w:val="17"/>
                <w:hideMark/>
              </w:tcPr>
              <w:p>
                <w:pPr>
                  <w:ind w:left="502" w:hanging="360"/>
                  <w:rPr>
                    <w:sz w:val="18"/>
                    <w:szCs w:val="18"/>
                  </w:rPr>
                </w:pPr>
                <w:r>
                  <w:rPr>
                    <w:b/>
                    <w:sz w:val="18"/>
                    <w:szCs w:val="18"/>
                  </w:rPr>
                  <w:t>1.2.</w:t>
                  <w:tab/>
                </w:r>
                <w:r>
                  <w:rPr>
                    <w:b/>
                    <w:bCs/>
                    <w:sz w:val="18"/>
                    <w:szCs w:val="18"/>
                  </w:rPr>
                  <w:t>Geriamo vandens tinklų statyba ir rekonstrukcija </w:t>
                </w:r>
              </w:p>
            </w:tc>
          </w:tr>
          <w:tr>
            <w:trPr>
              <w:trHeight w:val="312"/>
            </w:trPr>
            <w:tc>
              <w:tcPr>
                <w:tcW w:w="1664" w:type="dxa"/>
                <w:hideMark/>
              </w:tcPr>
              <w:p>
                <w:pPr>
                  <w:rPr>
                    <w:sz w:val="18"/>
                    <w:szCs w:val="18"/>
                  </w:rPr>
                </w:pPr>
                <w:r>
                  <w:rPr>
                    <w:sz w:val="18"/>
                    <w:szCs w:val="18"/>
                  </w:rPr>
                  <w:t>„A“ gyvenamoji vietovė</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sz w:val="18"/>
                    <w:szCs w:val="18"/>
                  </w:rPr>
                </w:pPr>
              </w:p>
            </w:tc>
            <w:tc>
              <w:tcPr>
                <w:tcW w:w="1560" w:type="dxa"/>
                <w:gridSpan w:val="2"/>
                <w:hideMark/>
              </w:tcPr>
              <w:p>
                <w:pPr>
                  <w:ind w:firstLine="1344"/>
                  <w:rPr>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134" w:type="dxa"/>
                <w:hideMark/>
              </w:tcPr>
              <w:p>
                <w:pPr>
                  <w:ind w:firstLine="1344"/>
                  <w:rPr>
                    <w:sz w:val="18"/>
                    <w:szCs w:val="18"/>
                  </w:rPr>
                </w:pPr>
              </w:p>
            </w:tc>
            <w:tc>
              <w:tcPr>
                <w:tcW w:w="1134" w:type="dxa"/>
                <w:gridSpan w:val="3"/>
                <w:hideMark/>
              </w:tcPr>
              <w:p>
                <w:pPr>
                  <w:ind w:firstLine="1344"/>
                  <w:rPr>
                    <w:sz w:val="18"/>
                    <w:szCs w:val="18"/>
                  </w:rPr>
                </w:pPr>
              </w:p>
            </w:tc>
            <w:tc>
              <w:tcPr>
                <w:tcW w:w="1305" w:type="dxa"/>
                <w:gridSpan w:val="2"/>
                <w:hideMark/>
              </w:tcPr>
              <w:p>
                <w:pPr>
                  <w:ind w:firstLine="1344"/>
                  <w:rPr>
                    <w:sz w:val="18"/>
                    <w:szCs w:val="18"/>
                  </w:rPr>
                </w:pPr>
              </w:p>
            </w:tc>
            <w:tc>
              <w:tcPr>
                <w:tcW w:w="1105" w:type="dxa"/>
                <w:hideMark/>
              </w:tcPr>
              <w:p>
                <w:pPr>
                  <w:ind w:firstLine="1344"/>
                  <w:rPr>
                    <w:sz w:val="18"/>
                    <w:szCs w:val="18"/>
                  </w:rPr>
                </w:pPr>
              </w:p>
            </w:tc>
            <w:tc>
              <w:tcPr>
                <w:tcW w:w="1275" w:type="dxa"/>
                <w:gridSpan w:val="2"/>
                <w:hideMark/>
              </w:tcPr>
              <w:p>
                <w:pPr>
                  <w:ind w:firstLine="1344"/>
                  <w:rPr>
                    <w:sz w:val="18"/>
                    <w:szCs w:val="18"/>
                  </w:rPr>
                </w:pPr>
              </w:p>
            </w:tc>
          </w:tr>
          <w:tr>
            <w:trPr>
              <w:trHeight w:val="312"/>
            </w:trPr>
            <w:tc>
              <w:tcPr>
                <w:tcW w:w="1664" w:type="dxa"/>
                <w:hideMark/>
              </w:tcPr>
              <w:p>
                <w:pPr>
                  <w:rPr>
                    <w:sz w:val="18"/>
                    <w:szCs w:val="18"/>
                  </w:rPr>
                </w:pPr>
                <w:r>
                  <w:rPr>
                    <w:sz w:val="18"/>
                    <w:szCs w:val="18"/>
                  </w:rPr>
                  <w:t>„B“ gyvenamoji vietovė</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sz w:val="18"/>
                    <w:szCs w:val="18"/>
                  </w:rPr>
                </w:pPr>
              </w:p>
            </w:tc>
            <w:tc>
              <w:tcPr>
                <w:tcW w:w="1560" w:type="dxa"/>
                <w:gridSpan w:val="2"/>
                <w:hideMark/>
              </w:tcPr>
              <w:p>
                <w:pPr>
                  <w:ind w:firstLine="1344"/>
                  <w:rPr>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134" w:type="dxa"/>
                <w:hideMark/>
              </w:tcPr>
              <w:p>
                <w:pPr>
                  <w:ind w:firstLine="1344"/>
                  <w:rPr>
                    <w:sz w:val="18"/>
                    <w:szCs w:val="18"/>
                  </w:rPr>
                </w:pPr>
              </w:p>
            </w:tc>
            <w:tc>
              <w:tcPr>
                <w:tcW w:w="1134" w:type="dxa"/>
                <w:gridSpan w:val="3"/>
                <w:hideMark/>
              </w:tcPr>
              <w:p>
                <w:pPr>
                  <w:ind w:firstLine="1344"/>
                  <w:rPr>
                    <w:sz w:val="18"/>
                    <w:szCs w:val="18"/>
                  </w:rPr>
                </w:pPr>
              </w:p>
            </w:tc>
            <w:tc>
              <w:tcPr>
                <w:tcW w:w="1305" w:type="dxa"/>
                <w:gridSpan w:val="2"/>
                <w:hideMark/>
              </w:tcPr>
              <w:p>
                <w:pPr>
                  <w:ind w:firstLine="1344"/>
                  <w:rPr>
                    <w:sz w:val="18"/>
                    <w:szCs w:val="18"/>
                  </w:rPr>
                </w:pPr>
              </w:p>
            </w:tc>
            <w:tc>
              <w:tcPr>
                <w:tcW w:w="1105" w:type="dxa"/>
                <w:hideMark/>
              </w:tcPr>
              <w:p>
                <w:pPr>
                  <w:ind w:firstLine="1344"/>
                  <w:rPr>
                    <w:sz w:val="18"/>
                    <w:szCs w:val="18"/>
                  </w:rPr>
                </w:pPr>
              </w:p>
            </w:tc>
            <w:tc>
              <w:tcPr>
                <w:tcW w:w="1275" w:type="dxa"/>
                <w:gridSpan w:val="2"/>
                <w:hideMark/>
              </w:tcPr>
              <w:p>
                <w:pPr>
                  <w:ind w:firstLine="1344"/>
                  <w:rPr>
                    <w:sz w:val="18"/>
                    <w:szCs w:val="18"/>
                  </w:rPr>
                </w:pPr>
              </w:p>
            </w:tc>
          </w:tr>
          <w:tr>
            <w:trPr>
              <w:trHeight w:val="312"/>
            </w:trPr>
            <w:tc>
              <w:tcPr>
                <w:tcW w:w="1664" w:type="dxa"/>
                <w:hideMark/>
              </w:tcPr>
              <w:p>
                <w:pPr>
                  <w:ind w:firstLine="142"/>
                  <w:rPr>
                    <w:sz w:val="18"/>
                    <w:szCs w:val="18"/>
                  </w:rPr>
                </w:pPr>
                <w:r>
                  <w:rPr>
                    <w:sz w:val="18"/>
                    <w:szCs w:val="18"/>
                  </w:rPr>
                  <w:t>….</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sz w:val="18"/>
                    <w:szCs w:val="18"/>
                  </w:rPr>
                </w:pPr>
              </w:p>
            </w:tc>
            <w:tc>
              <w:tcPr>
                <w:tcW w:w="1560" w:type="dxa"/>
                <w:gridSpan w:val="2"/>
                <w:hideMark/>
              </w:tcPr>
              <w:p>
                <w:pPr>
                  <w:ind w:firstLine="1344"/>
                  <w:rPr>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134" w:type="dxa"/>
                <w:hideMark/>
              </w:tcPr>
              <w:p>
                <w:pPr>
                  <w:ind w:firstLine="1344"/>
                  <w:rPr>
                    <w:sz w:val="18"/>
                    <w:szCs w:val="18"/>
                  </w:rPr>
                </w:pPr>
              </w:p>
            </w:tc>
            <w:tc>
              <w:tcPr>
                <w:tcW w:w="1134" w:type="dxa"/>
                <w:gridSpan w:val="3"/>
                <w:hideMark/>
              </w:tcPr>
              <w:p>
                <w:pPr>
                  <w:ind w:firstLine="1344"/>
                  <w:rPr>
                    <w:sz w:val="18"/>
                    <w:szCs w:val="18"/>
                  </w:rPr>
                </w:pPr>
              </w:p>
            </w:tc>
            <w:tc>
              <w:tcPr>
                <w:tcW w:w="1305" w:type="dxa"/>
                <w:gridSpan w:val="2"/>
                <w:hideMark/>
              </w:tcPr>
              <w:p>
                <w:pPr>
                  <w:ind w:firstLine="1344"/>
                  <w:rPr>
                    <w:sz w:val="18"/>
                    <w:szCs w:val="18"/>
                  </w:rPr>
                </w:pPr>
              </w:p>
            </w:tc>
            <w:tc>
              <w:tcPr>
                <w:tcW w:w="1105" w:type="dxa"/>
                <w:hideMark/>
              </w:tcPr>
              <w:p>
                <w:pPr>
                  <w:ind w:firstLine="1344"/>
                  <w:rPr>
                    <w:sz w:val="18"/>
                    <w:szCs w:val="18"/>
                  </w:rPr>
                </w:pPr>
              </w:p>
            </w:tc>
            <w:tc>
              <w:tcPr>
                <w:tcW w:w="1275" w:type="dxa"/>
                <w:gridSpan w:val="2"/>
                <w:hideMark/>
              </w:tcPr>
              <w:p>
                <w:pPr>
                  <w:ind w:firstLine="1344"/>
                  <w:rPr>
                    <w:sz w:val="18"/>
                    <w:szCs w:val="18"/>
                  </w:rPr>
                </w:pPr>
              </w:p>
            </w:tc>
          </w:tr>
          <w:tr>
            <w:trPr>
              <w:trHeight w:val="336"/>
            </w:trPr>
            <w:tc>
              <w:tcPr>
                <w:tcW w:w="14283" w:type="dxa"/>
                <w:gridSpan w:val="17"/>
                <w:hideMark/>
              </w:tcPr>
              <w:p>
                <w:pPr>
                  <w:ind w:left="502" w:hanging="360"/>
                  <w:rPr>
                    <w:sz w:val="18"/>
                    <w:szCs w:val="18"/>
                  </w:rPr>
                </w:pPr>
                <w:r>
                  <w:rPr>
                    <w:b/>
                    <w:sz w:val="18"/>
                    <w:szCs w:val="18"/>
                  </w:rPr>
                  <w:t>2.</w:t>
                  <w:tab/>
                </w:r>
                <w:r>
                  <w:rPr>
                    <w:b/>
                    <w:bCs/>
                    <w:sz w:val="18"/>
                    <w:szCs w:val="18"/>
                  </w:rPr>
                  <w:t>Nuotekų tvarkymo infrastruktūra</w:t>
                </w:r>
                <w:r>
                  <w:rPr>
                    <w:sz w:val="18"/>
                    <w:szCs w:val="18"/>
                  </w:rPr>
                  <w:t> </w:t>
                </w:r>
              </w:p>
            </w:tc>
          </w:tr>
          <w:tr>
            <w:trPr>
              <w:trHeight w:val="447"/>
            </w:trPr>
            <w:tc>
              <w:tcPr>
                <w:tcW w:w="14283" w:type="dxa"/>
                <w:gridSpan w:val="17"/>
                <w:hideMark/>
              </w:tcPr>
              <w:p>
                <w:pPr>
                  <w:ind w:left="502" w:hanging="360"/>
                  <w:rPr>
                    <w:sz w:val="18"/>
                    <w:szCs w:val="18"/>
                  </w:rPr>
                </w:pPr>
                <w:r>
                  <w:rPr>
                    <w:b/>
                    <w:sz w:val="18"/>
                    <w:szCs w:val="18"/>
                  </w:rPr>
                  <w:t>2.1.</w:t>
                  <w:tab/>
                </w:r>
                <w:r>
                  <w:rPr>
                    <w:b/>
                    <w:bCs/>
                    <w:sz w:val="18"/>
                    <w:szCs w:val="18"/>
                  </w:rPr>
                  <w:t>Nuotekų valymo įrenginių statyba ir rekonstrukcija</w:t>
                </w:r>
              </w:p>
            </w:tc>
          </w:tr>
          <w:tr>
            <w:trPr>
              <w:trHeight w:val="300"/>
            </w:trPr>
            <w:tc>
              <w:tcPr>
                <w:tcW w:w="1664" w:type="dxa"/>
                <w:hideMark/>
              </w:tcPr>
              <w:p>
                <w:pPr>
                  <w:rPr>
                    <w:sz w:val="18"/>
                    <w:szCs w:val="18"/>
                  </w:rPr>
                </w:pPr>
                <w:r>
                  <w:rPr>
                    <w:sz w:val="18"/>
                    <w:szCs w:val="18"/>
                  </w:rPr>
                  <w:t>„A“ gyvenamoji vietovė</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sz w:val="18"/>
                    <w:szCs w:val="18"/>
                  </w:rPr>
                </w:pPr>
              </w:p>
            </w:tc>
            <w:tc>
              <w:tcPr>
                <w:tcW w:w="1560" w:type="dxa"/>
                <w:gridSpan w:val="2"/>
                <w:hideMark/>
              </w:tcPr>
              <w:p>
                <w:pPr>
                  <w:ind w:firstLine="1344"/>
                  <w:rPr>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256" w:type="dxa"/>
                <w:gridSpan w:val="2"/>
                <w:hideMark/>
              </w:tcPr>
              <w:p>
                <w:pPr>
                  <w:ind w:firstLine="1344"/>
                  <w:rPr>
                    <w:sz w:val="18"/>
                    <w:szCs w:val="18"/>
                  </w:rPr>
                </w:pPr>
              </w:p>
            </w:tc>
            <w:tc>
              <w:tcPr>
                <w:tcW w:w="1012" w:type="dxa"/>
                <w:gridSpan w:val="2"/>
                <w:hideMark/>
              </w:tcPr>
              <w:p>
                <w:pPr>
                  <w:ind w:firstLine="1344"/>
                  <w:rPr>
                    <w:sz w:val="18"/>
                    <w:szCs w:val="18"/>
                  </w:rPr>
                </w:pPr>
              </w:p>
            </w:tc>
            <w:tc>
              <w:tcPr>
                <w:tcW w:w="1305" w:type="dxa"/>
                <w:gridSpan w:val="2"/>
                <w:hideMark/>
              </w:tcPr>
              <w:p>
                <w:pPr>
                  <w:ind w:firstLine="1344"/>
                  <w:rPr>
                    <w:sz w:val="18"/>
                    <w:szCs w:val="18"/>
                  </w:rPr>
                </w:pPr>
              </w:p>
            </w:tc>
            <w:tc>
              <w:tcPr>
                <w:tcW w:w="1105" w:type="dxa"/>
                <w:hideMark/>
              </w:tcPr>
              <w:p>
                <w:pPr>
                  <w:ind w:firstLine="1344"/>
                  <w:rPr>
                    <w:sz w:val="18"/>
                    <w:szCs w:val="18"/>
                  </w:rPr>
                </w:pPr>
              </w:p>
            </w:tc>
            <w:tc>
              <w:tcPr>
                <w:tcW w:w="1275" w:type="dxa"/>
                <w:gridSpan w:val="2"/>
                <w:hideMark/>
              </w:tcPr>
              <w:p>
                <w:pPr>
                  <w:ind w:firstLine="1344"/>
                  <w:rPr>
                    <w:sz w:val="18"/>
                    <w:szCs w:val="18"/>
                  </w:rPr>
                </w:pPr>
              </w:p>
            </w:tc>
          </w:tr>
          <w:tr>
            <w:trPr>
              <w:trHeight w:val="300"/>
            </w:trPr>
            <w:tc>
              <w:tcPr>
                <w:tcW w:w="1664" w:type="dxa"/>
                <w:hideMark/>
              </w:tcPr>
              <w:p>
                <w:pPr>
                  <w:rPr>
                    <w:sz w:val="18"/>
                    <w:szCs w:val="18"/>
                  </w:rPr>
                </w:pPr>
                <w:r>
                  <w:rPr>
                    <w:sz w:val="18"/>
                    <w:szCs w:val="18"/>
                  </w:rPr>
                  <w:t>„B“ gyvenamoji vietovė</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sz w:val="18"/>
                    <w:szCs w:val="18"/>
                  </w:rPr>
                </w:pPr>
              </w:p>
            </w:tc>
            <w:tc>
              <w:tcPr>
                <w:tcW w:w="1560" w:type="dxa"/>
                <w:gridSpan w:val="2"/>
                <w:hideMark/>
              </w:tcPr>
              <w:p>
                <w:pPr>
                  <w:ind w:firstLine="1344"/>
                  <w:rPr>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256" w:type="dxa"/>
                <w:gridSpan w:val="2"/>
                <w:hideMark/>
              </w:tcPr>
              <w:p>
                <w:pPr>
                  <w:ind w:firstLine="1344"/>
                  <w:rPr>
                    <w:sz w:val="18"/>
                    <w:szCs w:val="18"/>
                  </w:rPr>
                </w:pPr>
              </w:p>
            </w:tc>
            <w:tc>
              <w:tcPr>
                <w:tcW w:w="1012" w:type="dxa"/>
                <w:gridSpan w:val="2"/>
                <w:hideMark/>
              </w:tcPr>
              <w:p>
                <w:pPr>
                  <w:ind w:firstLine="1344"/>
                  <w:rPr>
                    <w:sz w:val="18"/>
                    <w:szCs w:val="18"/>
                  </w:rPr>
                </w:pPr>
              </w:p>
            </w:tc>
            <w:tc>
              <w:tcPr>
                <w:tcW w:w="1305" w:type="dxa"/>
                <w:gridSpan w:val="2"/>
                <w:hideMark/>
              </w:tcPr>
              <w:p>
                <w:pPr>
                  <w:ind w:firstLine="1344"/>
                  <w:rPr>
                    <w:sz w:val="18"/>
                    <w:szCs w:val="18"/>
                  </w:rPr>
                </w:pPr>
              </w:p>
            </w:tc>
            <w:tc>
              <w:tcPr>
                <w:tcW w:w="1105" w:type="dxa"/>
                <w:hideMark/>
              </w:tcPr>
              <w:p>
                <w:pPr>
                  <w:ind w:firstLine="1344"/>
                  <w:rPr>
                    <w:sz w:val="18"/>
                    <w:szCs w:val="18"/>
                  </w:rPr>
                </w:pPr>
              </w:p>
            </w:tc>
            <w:tc>
              <w:tcPr>
                <w:tcW w:w="1275" w:type="dxa"/>
                <w:gridSpan w:val="2"/>
                <w:hideMark/>
              </w:tcPr>
              <w:p>
                <w:pPr>
                  <w:ind w:firstLine="1344"/>
                  <w:rPr>
                    <w:sz w:val="18"/>
                    <w:szCs w:val="18"/>
                  </w:rPr>
                </w:pPr>
              </w:p>
            </w:tc>
          </w:tr>
          <w:tr>
            <w:trPr>
              <w:trHeight w:val="300"/>
            </w:trPr>
            <w:tc>
              <w:tcPr>
                <w:tcW w:w="1664" w:type="dxa"/>
                <w:hideMark/>
              </w:tcPr>
              <w:p>
                <w:pPr>
                  <w:ind w:firstLine="142"/>
                  <w:rPr>
                    <w:sz w:val="18"/>
                    <w:szCs w:val="18"/>
                  </w:rPr>
                </w:pPr>
                <w:r>
                  <w:rPr>
                    <w:sz w:val="18"/>
                    <w:szCs w:val="18"/>
                  </w:rPr>
                  <w:t>….</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sz w:val="18"/>
                    <w:szCs w:val="18"/>
                  </w:rPr>
                </w:pPr>
              </w:p>
            </w:tc>
            <w:tc>
              <w:tcPr>
                <w:tcW w:w="1560" w:type="dxa"/>
                <w:gridSpan w:val="2"/>
                <w:hideMark/>
              </w:tcPr>
              <w:p>
                <w:pPr>
                  <w:ind w:firstLine="1344"/>
                  <w:rPr>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256" w:type="dxa"/>
                <w:gridSpan w:val="2"/>
                <w:hideMark/>
              </w:tcPr>
              <w:p>
                <w:pPr>
                  <w:ind w:firstLine="1344"/>
                  <w:rPr>
                    <w:sz w:val="18"/>
                    <w:szCs w:val="18"/>
                  </w:rPr>
                </w:pPr>
              </w:p>
            </w:tc>
            <w:tc>
              <w:tcPr>
                <w:tcW w:w="1012" w:type="dxa"/>
                <w:gridSpan w:val="2"/>
                <w:hideMark/>
              </w:tcPr>
              <w:p>
                <w:pPr>
                  <w:ind w:firstLine="1344"/>
                  <w:rPr>
                    <w:sz w:val="18"/>
                    <w:szCs w:val="18"/>
                  </w:rPr>
                </w:pPr>
              </w:p>
            </w:tc>
            <w:tc>
              <w:tcPr>
                <w:tcW w:w="1305" w:type="dxa"/>
                <w:gridSpan w:val="2"/>
                <w:hideMark/>
              </w:tcPr>
              <w:p>
                <w:pPr>
                  <w:ind w:firstLine="1344"/>
                  <w:rPr>
                    <w:sz w:val="18"/>
                    <w:szCs w:val="18"/>
                  </w:rPr>
                </w:pPr>
              </w:p>
            </w:tc>
            <w:tc>
              <w:tcPr>
                <w:tcW w:w="1105" w:type="dxa"/>
                <w:hideMark/>
              </w:tcPr>
              <w:p>
                <w:pPr>
                  <w:ind w:firstLine="1344"/>
                  <w:rPr>
                    <w:sz w:val="18"/>
                    <w:szCs w:val="18"/>
                  </w:rPr>
                </w:pPr>
              </w:p>
            </w:tc>
            <w:tc>
              <w:tcPr>
                <w:tcW w:w="1275" w:type="dxa"/>
                <w:gridSpan w:val="2"/>
                <w:hideMark/>
              </w:tcPr>
              <w:p>
                <w:pPr>
                  <w:ind w:firstLine="1344"/>
                  <w:rPr>
                    <w:sz w:val="18"/>
                    <w:szCs w:val="18"/>
                  </w:rPr>
                </w:pPr>
              </w:p>
            </w:tc>
          </w:tr>
          <w:tr>
            <w:trPr>
              <w:trHeight w:val="399"/>
            </w:trPr>
            <w:tc>
              <w:tcPr>
                <w:tcW w:w="14283" w:type="dxa"/>
                <w:gridSpan w:val="17"/>
                <w:hideMark/>
              </w:tcPr>
              <w:p>
                <w:pPr>
                  <w:ind w:left="502" w:hanging="360"/>
                  <w:rPr>
                    <w:sz w:val="18"/>
                    <w:szCs w:val="18"/>
                  </w:rPr>
                </w:pPr>
                <w:r>
                  <w:rPr>
                    <w:b/>
                    <w:sz w:val="18"/>
                    <w:szCs w:val="18"/>
                  </w:rPr>
                  <w:t>2.2.</w:t>
                  <w:tab/>
                </w:r>
                <w:r>
                  <w:rPr>
                    <w:b/>
                    <w:bCs/>
                    <w:sz w:val="18"/>
                    <w:szCs w:val="18"/>
                  </w:rPr>
                  <w:t>Nuotekų tinklų statyba ir rekonstrukcija</w:t>
                </w:r>
                <w:r>
                  <w:rPr>
                    <w:sz w:val="18"/>
                    <w:szCs w:val="18"/>
                  </w:rPr>
                  <w:t> </w:t>
                </w:r>
              </w:p>
            </w:tc>
          </w:tr>
          <w:tr>
            <w:trPr>
              <w:trHeight w:val="300"/>
            </w:trPr>
            <w:tc>
              <w:tcPr>
                <w:tcW w:w="1664" w:type="dxa"/>
                <w:hideMark/>
              </w:tcPr>
              <w:p>
                <w:pPr>
                  <w:rPr>
                    <w:sz w:val="18"/>
                    <w:szCs w:val="18"/>
                  </w:rPr>
                </w:pPr>
                <w:r>
                  <w:rPr>
                    <w:sz w:val="18"/>
                    <w:szCs w:val="18"/>
                  </w:rPr>
                  <w:t>„A“ gyvenamoji vietovė</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sz w:val="18"/>
                    <w:szCs w:val="18"/>
                  </w:rPr>
                </w:pPr>
              </w:p>
            </w:tc>
            <w:tc>
              <w:tcPr>
                <w:tcW w:w="1560" w:type="dxa"/>
                <w:gridSpan w:val="2"/>
                <w:hideMark/>
              </w:tcPr>
              <w:p>
                <w:pPr>
                  <w:ind w:firstLine="1344"/>
                  <w:rPr>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256" w:type="dxa"/>
                <w:gridSpan w:val="2"/>
                <w:hideMark/>
              </w:tcPr>
              <w:p>
                <w:pPr>
                  <w:ind w:firstLine="1344"/>
                  <w:rPr>
                    <w:sz w:val="18"/>
                    <w:szCs w:val="18"/>
                  </w:rPr>
                </w:pPr>
              </w:p>
            </w:tc>
            <w:tc>
              <w:tcPr>
                <w:tcW w:w="1012" w:type="dxa"/>
                <w:gridSpan w:val="2"/>
                <w:hideMark/>
              </w:tcPr>
              <w:p>
                <w:pPr>
                  <w:ind w:firstLine="1344"/>
                  <w:rPr>
                    <w:sz w:val="18"/>
                    <w:szCs w:val="18"/>
                  </w:rPr>
                </w:pPr>
              </w:p>
            </w:tc>
            <w:tc>
              <w:tcPr>
                <w:tcW w:w="1305" w:type="dxa"/>
                <w:gridSpan w:val="2"/>
                <w:hideMark/>
              </w:tcPr>
              <w:p>
                <w:pPr>
                  <w:ind w:firstLine="1344"/>
                  <w:rPr>
                    <w:sz w:val="18"/>
                    <w:szCs w:val="18"/>
                  </w:rPr>
                </w:pPr>
              </w:p>
            </w:tc>
            <w:tc>
              <w:tcPr>
                <w:tcW w:w="1105" w:type="dxa"/>
                <w:hideMark/>
              </w:tcPr>
              <w:p>
                <w:pPr>
                  <w:ind w:firstLine="1344"/>
                  <w:rPr>
                    <w:sz w:val="18"/>
                    <w:szCs w:val="18"/>
                  </w:rPr>
                </w:pPr>
              </w:p>
            </w:tc>
            <w:tc>
              <w:tcPr>
                <w:tcW w:w="1275" w:type="dxa"/>
                <w:gridSpan w:val="2"/>
                <w:hideMark/>
              </w:tcPr>
              <w:p>
                <w:pPr>
                  <w:ind w:firstLine="1344"/>
                  <w:rPr>
                    <w:sz w:val="18"/>
                    <w:szCs w:val="18"/>
                  </w:rPr>
                </w:pPr>
              </w:p>
            </w:tc>
          </w:tr>
          <w:tr>
            <w:trPr>
              <w:trHeight w:val="300"/>
            </w:trPr>
            <w:tc>
              <w:tcPr>
                <w:tcW w:w="1664" w:type="dxa"/>
                <w:hideMark/>
              </w:tcPr>
              <w:p>
                <w:pPr>
                  <w:rPr>
                    <w:sz w:val="18"/>
                    <w:szCs w:val="18"/>
                  </w:rPr>
                </w:pPr>
                <w:r>
                  <w:rPr>
                    <w:sz w:val="18"/>
                    <w:szCs w:val="18"/>
                  </w:rPr>
                  <w:t xml:space="preserve">„B“  gyvenamoji vietovė</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sz w:val="18"/>
                    <w:szCs w:val="18"/>
                  </w:rPr>
                </w:pPr>
              </w:p>
            </w:tc>
            <w:tc>
              <w:tcPr>
                <w:tcW w:w="1560" w:type="dxa"/>
                <w:gridSpan w:val="2"/>
                <w:hideMark/>
              </w:tcPr>
              <w:p>
                <w:pPr>
                  <w:ind w:firstLine="1344"/>
                  <w:rPr>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256" w:type="dxa"/>
                <w:gridSpan w:val="2"/>
                <w:hideMark/>
              </w:tcPr>
              <w:p>
                <w:pPr>
                  <w:ind w:firstLine="1344"/>
                  <w:rPr>
                    <w:sz w:val="18"/>
                    <w:szCs w:val="18"/>
                  </w:rPr>
                </w:pPr>
              </w:p>
            </w:tc>
            <w:tc>
              <w:tcPr>
                <w:tcW w:w="1012" w:type="dxa"/>
                <w:gridSpan w:val="2"/>
                <w:hideMark/>
              </w:tcPr>
              <w:p>
                <w:pPr>
                  <w:ind w:firstLine="1344"/>
                  <w:rPr>
                    <w:sz w:val="18"/>
                    <w:szCs w:val="18"/>
                  </w:rPr>
                </w:pPr>
              </w:p>
            </w:tc>
            <w:tc>
              <w:tcPr>
                <w:tcW w:w="1305" w:type="dxa"/>
                <w:gridSpan w:val="2"/>
                <w:hideMark/>
              </w:tcPr>
              <w:p>
                <w:pPr>
                  <w:ind w:firstLine="1344"/>
                  <w:rPr>
                    <w:sz w:val="18"/>
                    <w:szCs w:val="18"/>
                  </w:rPr>
                </w:pPr>
              </w:p>
            </w:tc>
            <w:tc>
              <w:tcPr>
                <w:tcW w:w="1105" w:type="dxa"/>
                <w:hideMark/>
              </w:tcPr>
              <w:p>
                <w:pPr>
                  <w:ind w:firstLine="1344"/>
                  <w:rPr>
                    <w:sz w:val="18"/>
                    <w:szCs w:val="18"/>
                  </w:rPr>
                </w:pPr>
              </w:p>
            </w:tc>
            <w:tc>
              <w:tcPr>
                <w:tcW w:w="1275" w:type="dxa"/>
                <w:gridSpan w:val="2"/>
                <w:hideMark/>
              </w:tcPr>
              <w:p>
                <w:pPr>
                  <w:ind w:firstLine="1344"/>
                  <w:rPr>
                    <w:sz w:val="18"/>
                    <w:szCs w:val="18"/>
                  </w:rPr>
                </w:pPr>
              </w:p>
            </w:tc>
          </w:tr>
          <w:tr>
            <w:trPr>
              <w:trHeight w:val="300"/>
            </w:trPr>
            <w:tc>
              <w:tcPr>
                <w:tcW w:w="1664" w:type="dxa"/>
                <w:hideMark/>
              </w:tcPr>
              <w:p>
                <w:pPr>
                  <w:ind w:firstLine="142"/>
                  <w:rPr>
                    <w:sz w:val="18"/>
                    <w:szCs w:val="18"/>
                  </w:rPr>
                </w:pPr>
                <w:r>
                  <w:rPr>
                    <w:sz w:val="18"/>
                    <w:szCs w:val="18"/>
                  </w:rPr>
                  <w:t>….</w:t>
                </w:r>
              </w:p>
            </w:tc>
            <w:tc>
              <w:tcPr>
                <w:tcW w:w="1526" w:type="dxa"/>
                <w:hideMark/>
              </w:tcPr>
              <w:p>
                <w:pPr>
                  <w:ind w:firstLine="1344"/>
                  <w:rPr>
                    <w:sz w:val="18"/>
                    <w:szCs w:val="18"/>
                  </w:rPr>
                </w:pPr>
              </w:p>
              <w:p>
                <w:pPr>
                  <w:ind w:firstLine="1344"/>
                  <w:rPr>
                    <w:sz w:val="18"/>
                    <w:szCs w:val="18"/>
                  </w:rPr>
                </w:pPr>
              </w:p>
            </w:tc>
            <w:tc>
              <w:tcPr>
                <w:tcW w:w="1450" w:type="dxa"/>
                <w:gridSpan w:val="2"/>
                <w:hideMark/>
              </w:tcPr>
              <w:p>
                <w:pPr>
                  <w:ind w:firstLine="1344"/>
                  <w:rPr>
                    <w:sz w:val="18"/>
                    <w:szCs w:val="18"/>
                  </w:rPr>
                </w:pPr>
              </w:p>
            </w:tc>
            <w:tc>
              <w:tcPr>
                <w:tcW w:w="1560" w:type="dxa"/>
                <w:gridSpan w:val="2"/>
                <w:hideMark/>
              </w:tcPr>
              <w:p>
                <w:pPr>
                  <w:ind w:firstLine="1344"/>
                  <w:rPr>
                    <w:sz w:val="18"/>
                    <w:szCs w:val="18"/>
                  </w:rPr>
                </w:pPr>
              </w:p>
            </w:tc>
            <w:tc>
              <w:tcPr>
                <w:tcW w:w="995" w:type="dxa"/>
                <w:hideMark/>
              </w:tcPr>
              <w:p>
                <w:pPr>
                  <w:ind w:firstLine="1344"/>
                  <w:rPr>
                    <w:sz w:val="18"/>
                    <w:szCs w:val="18"/>
                  </w:rPr>
                </w:pPr>
              </w:p>
            </w:tc>
            <w:tc>
              <w:tcPr>
                <w:tcW w:w="1135" w:type="dxa"/>
                <w:hideMark/>
              </w:tcPr>
              <w:p>
                <w:pPr>
                  <w:ind w:firstLine="1344"/>
                  <w:rPr>
                    <w:sz w:val="18"/>
                    <w:szCs w:val="18"/>
                  </w:rPr>
                </w:pPr>
              </w:p>
            </w:tc>
            <w:tc>
              <w:tcPr>
                <w:tcW w:w="1256" w:type="dxa"/>
                <w:gridSpan w:val="2"/>
                <w:hideMark/>
              </w:tcPr>
              <w:p>
                <w:pPr>
                  <w:ind w:firstLine="1344"/>
                  <w:rPr>
                    <w:sz w:val="18"/>
                    <w:szCs w:val="18"/>
                  </w:rPr>
                </w:pPr>
              </w:p>
            </w:tc>
            <w:tc>
              <w:tcPr>
                <w:tcW w:w="1012" w:type="dxa"/>
                <w:gridSpan w:val="2"/>
                <w:hideMark/>
              </w:tcPr>
              <w:p>
                <w:pPr>
                  <w:ind w:firstLine="1344"/>
                  <w:rPr>
                    <w:sz w:val="18"/>
                    <w:szCs w:val="18"/>
                  </w:rPr>
                </w:pPr>
              </w:p>
            </w:tc>
            <w:tc>
              <w:tcPr>
                <w:tcW w:w="1305" w:type="dxa"/>
                <w:gridSpan w:val="2"/>
                <w:hideMark/>
              </w:tcPr>
              <w:p>
                <w:pPr>
                  <w:ind w:firstLine="1344"/>
                  <w:rPr>
                    <w:sz w:val="18"/>
                    <w:szCs w:val="18"/>
                  </w:rPr>
                </w:pPr>
              </w:p>
            </w:tc>
            <w:tc>
              <w:tcPr>
                <w:tcW w:w="1105" w:type="dxa"/>
                <w:hideMark/>
              </w:tcPr>
              <w:p>
                <w:pPr>
                  <w:ind w:firstLine="1344"/>
                  <w:rPr>
                    <w:sz w:val="18"/>
                    <w:szCs w:val="18"/>
                  </w:rPr>
                </w:pPr>
              </w:p>
            </w:tc>
            <w:tc>
              <w:tcPr>
                <w:tcW w:w="1275" w:type="dxa"/>
                <w:gridSpan w:val="2"/>
                <w:hideMark/>
              </w:tcPr>
              <w:p>
                <w:pPr>
                  <w:ind w:firstLine="1344"/>
                  <w:rPr>
                    <w:sz w:val="18"/>
                    <w:szCs w:val="18"/>
                  </w:rPr>
                </w:pPr>
              </w:p>
            </w:tc>
          </w:tr>
        </w:tbl>
        <w:p>
          <w:pPr>
            <w:ind w:firstLine="1296"/>
          </w:pPr>
          <w:r>
            <w:rPr>
              <w:sz w:val="18"/>
              <w:szCs w:val="18"/>
            </w:rPr>
            <w:br w:type="textWrapping" w:clear="all"/>
          </w:r>
        </w:p>
        <w:sdt>
          <w:sdtPr>
            <w:alias w:val="pabaiga"/>
            <w:tag w:val="part_bb9c2f7335644e4fb260a1d535910a30"/>
            <w:lock w:val="sdtLocked"/>
            <w:richText/>
          </w:sdtPr>
          <w:sdtContent>
            <w:p>
              <w:pPr>
                <w:widowControl w:val="0"/>
                <w:jc w:val="center"/>
              </w:pPr>
              <w:r>
                <w:t>_______________________</w:t>
              </w:r>
            </w:p>
            <w:p>
              <w:pPr>
                <w:widowControl w:val="0"/>
                <w:jc w:val="cente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1927C91311DE">
            <w:r w:rsidRPr="00532B9F">
              <w:rPr>
                <w:rFonts w:ascii="Arial" w:eastAsia="MS Mincho" w:hAnsi="Arial"/>
                <w:sz w:val="20"/>
                <w:iCs/>
                <w:color w:val="0000FF" w:themeColor="hyperlink"/>
                <w:u w:val="single"/>
              </w:rPr>
              <w:t>D1-380</w:t>
            </w:r>
          </w:fldSimple>
          <w:r>
            <w:rPr>
              <w:rFonts w:ascii="Arial" w:eastAsia="MS Mincho" w:hAnsi="Arial"/>
              <w:sz w:val="20"/>
              <w:iCs/>
            </w:rPr>
            <w:t>,
2009-07-02,
Žin., 2009, Nr.
83-3472 (2009-07-14), i. k. 109301MISAK00D1-380                </w:t>
          </w:r>
        </w:p>
        <w:p>
          <w:pPr>
            <w:jc w:val="both"/>
            <w:rPr>
              <w:rFonts w:ascii="Arial" w:hAnsi="Arial"/>
            </w:rPr>
          </w:pPr>
          <w:r>
            <w:rPr>
              <w:rFonts w:ascii="Arial" w:hAnsi="Arial"/>
              <w:sz w:val="20"/>
            </w:rPr>
            <w:t>Dėl Lietuvos Respublikos aplinkos ministro 2006 m. gruodžio 29 d. įsakymo Nr. D1-636 "Dėl Vandens tiekimo ir nuotekų tvarkymo infrastruktūros plėtros planų rengimo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570678B3F948">
            <w:r w:rsidRPr="00532B9F">
              <w:rPr>
                <w:rFonts w:ascii="Arial" w:eastAsia="MS Mincho" w:hAnsi="Arial"/>
                <w:sz w:val="20"/>
                <w:iCs/>
                <w:color w:val="0000FF" w:themeColor="hyperlink"/>
                <w:u w:val="single"/>
              </w:rPr>
              <w:t>D1-627</w:t>
            </w:r>
          </w:fldSimple>
          <w:r>
            <w:rPr>
              <w:rFonts w:ascii="Arial" w:eastAsia="MS Mincho" w:hAnsi="Arial"/>
              <w:sz w:val="20"/>
              <w:iCs/>
            </w:rPr>
            <w:t>,
2010-07-20,
Žin., 2010, Nr.
89-4722 (2010-07-27), i. k. 110301MISAK00D1-627                </w:t>
          </w:r>
        </w:p>
        <w:p>
          <w:pPr>
            <w:jc w:val="both"/>
            <w:rPr>
              <w:rFonts w:ascii="Arial" w:hAnsi="Arial"/>
            </w:rPr>
          </w:pPr>
          <w:r>
            <w:rPr>
              <w:rFonts w:ascii="Arial" w:hAnsi="Arial"/>
              <w:sz w:val="20"/>
            </w:rPr>
            <w:t>Dėl Lietuvos Respublikos aplinkos ministro 2006 m. gruodžio 29 d. įsakymo Nr. D1-636 "Dėl Vandens tiekimo ir nuotekų tvarkymo infrastruktūros plėtros planų rengimo taisyklių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F0C712C5ED06">
            <w:r w:rsidRPr="00532B9F">
              <w:rPr>
                <w:rFonts w:ascii="Arial" w:eastAsia="MS Mincho" w:hAnsi="Arial"/>
                <w:sz w:val="20"/>
                <w:iCs/>
                <w:color w:val="0000FF" w:themeColor="hyperlink"/>
                <w:u w:val="single"/>
              </w:rPr>
              <w:t>D1-923</w:t>
            </w:r>
          </w:fldSimple>
          <w:r>
            <w:rPr>
              <w:rFonts w:ascii="Arial" w:eastAsia="MS Mincho" w:hAnsi="Arial"/>
              <w:sz w:val="20"/>
              <w:iCs/>
            </w:rPr>
            <w:t>,
2010-11-16,
Žin., 2010, Nr.
137-7048 (2010-11-23), i. k. 110301MISAK00D1-923                </w:t>
          </w:r>
        </w:p>
        <w:p>
          <w:pPr>
            <w:jc w:val="both"/>
            <w:rPr>
              <w:rFonts w:ascii="Arial" w:hAnsi="Arial"/>
            </w:rPr>
          </w:pPr>
          <w:r>
            <w:rPr>
              <w:rFonts w:ascii="Arial" w:hAnsi="Arial"/>
              <w:sz w:val="20"/>
            </w:rPr>
            <w:t>Dėl Lietuvos Respublikos aplinkos ministro 2006 m. gruodžio 29 d. įsakymo Nr. D1-636 "Dėl Vandens tiekimo ir nuotekų tvarkymo infrastruktūros plėtros planų rengimo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5b911130665311e4b6b89037654e22b1">
            <w:r w:rsidRPr="00532B9F">
              <w:rPr>
                <w:rFonts w:ascii="Arial" w:eastAsia="MS Mincho" w:hAnsi="Arial"/>
                <w:sz w:val="20"/>
                <w:iCs/>
                <w:color w:val="0000FF" w:themeColor="hyperlink"/>
                <w:u w:val="single"/>
              </w:rPr>
              <w:t>D1-885</w:t>
            </w:r>
          </w:fldSimple>
          <w:r>
            <w:rPr>
              <w:rFonts w:ascii="Arial" w:eastAsia="MS Mincho" w:hAnsi="Arial"/>
              <w:sz w:val="20"/>
              <w:iCs/>
            </w:rPr>
            <w:t>,
2014-11-06,
paskelbta TAR 2014-11-07, i. k. 2014-16187                </w:t>
          </w:r>
        </w:p>
        <w:p>
          <w:pPr>
            <w:jc w:val="both"/>
            <w:rPr>
              <w:rFonts w:ascii="Arial" w:hAnsi="Arial"/>
            </w:rPr>
          </w:pPr>
          <w:r>
            <w:rPr>
              <w:rFonts w:ascii="Arial" w:hAnsi="Arial"/>
              <w:sz w:val="20"/>
            </w:rPr>
            <w:t>Dėl Lietuvos Respublikos aplinkos ministro 2006 m. gruodžio 29 d. įsakymo Nr. D1-636 „Dėl Vandens tiekimo ir nuotekų tvarkymo infrastruktūros plėtros planų rengimo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41a582601e5811e69446a4bedc730fe6">
            <w:r w:rsidRPr="00532B9F">
              <w:rPr>
                <w:rFonts w:ascii="Arial" w:eastAsia="MS Mincho" w:hAnsi="Arial"/>
                <w:sz w:val="20"/>
                <w:iCs/>
                <w:color w:val="0000FF" w:themeColor="hyperlink"/>
                <w:u w:val="single"/>
              </w:rPr>
              <w:t>D1-364</w:t>
            </w:r>
          </w:fldSimple>
          <w:r>
            <w:rPr>
              <w:rFonts w:ascii="Arial" w:eastAsia="MS Mincho" w:hAnsi="Arial"/>
              <w:sz w:val="20"/>
              <w:iCs/>
            </w:rPr>
            <w:t>,
2016-05-19,
paskelbta TAR 2016-05-20, i. k. 2016-13718                </w:t>
          </w:r>
        </w:p>
        <w:p>
          <w:pPr>
            <w:jc w:val="both"/>
            <w:rPr>
              <w:rFonts w:ascii="Arial" w:hAnsi="Arial"/>
            </w:rPr>
          </w:pPr>
          <w:r>
            <w:rPr>
              <w:rFonts w:ascii="Arial" w:hAnsi="Arial"/>
              <w:sz w:val="20"/>
            </w:rPr>
            <w:t>Dėl Lietuvos Respublikos aplinkos ministro 2014 m. lapkričio 6 d. įsakymo Nr. D1-885 „Dėl Geriamojo vandens tiekimo ir nuotekų tvarkymo infrastruktūros plėtros planų rengimo taisyklių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6b6fbc40e19d11e89acab3ff12d77081">
            <w:r w:rsidRPr="00532B9F">
              <w:rPr>
                <w:rFonts w:ascii="Arial" w:eastAsia="MS Mincho" w:hAnsi="Arial"/>
                <w:sz w:val="20"/>
                <w:iCs/>
                <w:color w:val="0000FF" w:themeColor="hyperlink"/>
                <w:u w:val="single"/>
              </w:rPr>
              <w:t>D1-927</w:t>
            </w:r>
          </w:fldSimple>
          <w:r>
            <w:rPr>
              <w:rFonts w:ascii="Arial" w:eastAsia="MS Mincho" w:hAnsi="Arial"/>
              <w:sz w:val="20"/>
              <w:iCs/>
            </w:rPr>
            <w:t>,
2018-11-02,
paskelbta TAR 2018-11-06, i. k. 2018-17916                </w:t>
          </w:r>
        </w:p>
        <w:p>
          <w:pPr>
            <w:jc w:val="both"/>
            <w:rPr>
              <w:rFonts w:ascii="Arial" w:hAnsi="Arial"/>
            </w:rPr>
          </w:pPr>
          <w:r>
            <w:rPr>
              <w:rFonts w:ascii="Arial" w:hAnsi="Arial"/>
              <w:sz w:val="20"/>
            </w:rPr>
            <w:t>Dėl Lietuvos Respublikos aplinkos ministro 2006 m. gruodžio 29 d. įsakymo Nr. D1-636 „Dėl Geriamojo vandens tiekimo ir nuotekų tvarkymo infrastruktūros plėtros planų rengimo taisyklių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dabfc4082b411e993ffd4361ddf8976">
            <w:r w:rsidRPr="00532B9F">
              <w:rPr>
                <w:rFonts w:ascii="Arial" w:eastAsia="MS Mincho" w:hAnsi="Arial"/>
                <w:sz w:val="20"/>
                <w:iCs/>
                <w:color w:val="0000FF" w:themeColor="hyperlink"/>
                <w:u w:val="single"/>
              </w:rPr>
              <w:t>D1-332</w:t>
            </w:r>
          </w:fldSimple>
          <w:r>
            <w:rPr>
              <w:rFonts w:ascii="Arial" w:eastAsia="MS Mincho" w:hAnsi="Arial"/>
              <w:sz w:val="20"/>
              <w:iCs/>
            </w:rPr>
            <w:t>,
2019-05-29,
paskelbta TAR 2019-05-30, i. k. 2019-08562                </w:t>
          </w:r>
        </w:p>
        <w:p>
          <w:pPr>
            <w:jc w:val="both"/>
            <w:rPr>
              <w:rFonts w:ascii="Arial" w:hAnsi="Arial"/>
            </w:rPr>
          </w:pPr>
          <w:r>
            <w:rPr>
              <w:rFonts w:ascii="Arial" w:hAnsi="Arial"/>
              <w:sz w:val="20"/>
            </w:rPr>
            <w:t>Dėl Lietuvos Respublikos aplinkos ministro 2006 m. gruodžio 29 d. įsakymo Nr. D1-636 „Dėl Geriamojo vandens tiekimo ir nuotekų tvarkymo infrastruktūros plėtros planų rengimo taisyklių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f0ba7670768211eb9601893677bfd7d8">
            <w:r w:rsidRPr="00532B9F">
              <w:rPr>
                <w:rFonts w:ascii="Arial" w:eastAsia="MS Mincho" w:hAnsi="Arial"/>
                <w:sz w:val="20"/>
                <w:iCs/>
                <w:color w:val="0000FF" w:themeColor="hyperlink"/>
                <w:u w:val="single"/>
              </w:rPr>
              <w:t>D1-109</w:t>
            </w:r>
          </w:fldSimple>
          <w:r>
            <w:rPr>
              <w:rFonts w:ascii="Arial" w:eastAsia="MS Mincho" w:hAnsi="Arial"/>
              <w:sz w:val="20"/>
              <w:iCs/>
            </w:rPr>
            <w:t>,
2021-02-24,
paskelbta TAR 2021-02-24, i. k. 2021-03459                </w:t>
          </w:r>
        </w:p>
        <w:p>
          <w:pPr>
            <w:jc w:val="both"/>
            <w:rPr>
              <w:rFonts w:ascii="Arial" w:hAnsi="Arial"/>
            </w:rPr>
          </w:pPr>
          <w:r>
            <w:rPr>
              <w:rFonts w:ascii="Arial" w:hAnsi="Arial"/>
              <w:sz w:val="20"/>
            </w:rPr>
            <w:t>Dėl Lietuvos Respublikos aplinkos ministro 2006 m. gruodžio 29 d. įsakymo Nr. D1-636 „Dėl Geriamojo vandens tiekimo ir nuotekų tvarkymo infrastruktūros plėtros planų rengimo taisyklių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b097ee0560d11efbdaea558de59136c">
            <w:r w:rsidRPr="00532B9F">
              <w:rPr>
                <w:rFonts w:ascii="Arial" w:eastAsia="MS Mincho" w:hAnsi="Arial"/>
                <w:sz w:val="20"/>
                <w:iCs/>
                <w:color w:val="0000FF" w:themeColor="hyperlink"/>
                <w:u w:val="single"/>
              </w:rPr>
              <w:t>D1-268</w:t>
            </w:r>
          </w:fldSimple>
          <w:r>
            <w:rPr>
              <w:rFonts w:ascii="Arial" w:eastAsia="MS Mincho" w:hAnsi="Arial"/>
              <w:sz w:val="20"/>
              <w:iCs/>
            </w:rPr>
            <w:t>,
2024-08-09,
paskelbta TAR 2024-08-09, i. k. 2024-14357                </w:t>
          </w:r>
        </w:p>
        <w:p>
          <w:pPr>
            <w:jc w:val="both"/>
            <w:rPr>
              <w:rFonts w:ascii="Arial" w:hAnsi="Arial"/>
            </w:rPr>
          </w:pPr>
          <w:r>
            <w:rPr>
              <w:rFonts w:ascii="Arial" w:hAnsi="Arial"/>
              <w:sz w:val="20"/>
            </w:rPr>
            <w:t>Dėl Lietuvos Respublikos aplinkos ministro 2006 m. gruodžio 29 d. įsakymo Nr. D1-636 „Dėl Geriamojo vandens tiekimo ir nuotekų tvarkymo infrastruktūros plėtros planų rengimo taisyklių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code="9"/>
      <w:pgMar w:top="1701" w:right="1134" w:bottom="567" w:left="1134"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egoe UI">
    <w:panose1 w:val="020B0502040204020203"/>
    <w:charset w:val="BA"/>
    <w:family w:val="swiss"/>
    <w:pitch w:val="variable"/>
    <w:sig w:usb0="E4002EFF" w:usb1="C000E47F"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Narrow">
    <w:panose1 w:val="020B0606020202030204"/>
    <w:charset w:val="BA"/>
    <w:family w:val="swiss"/>
    <w:pitch w:val="variable"/>
    <w:sig w:usb0="00000287" w:usb1="000008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9100"/>
      </w:tabs>
      <w:suppressAutoHyphens/>
      <w:rPr>
        <w:rFonts w:ascii="Tahoma" w:hAnsi="Tahoma"/>
        <w:spacing w:val="10"/>
        <w:sz w:val="20"/>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153"/>
        <w:tab w:val="right" w:pos="9100"/>
      </w:tabs>
      <w:suppressAutoHyphens/>
      <w:rPr>
        <w:rFonts w:ascii="Tahoma" w:hAnsi="Tahoma"/>
        <w:spacing w:val="10"/>
        <w:sz w:val="20"/>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9100"/>
      </w:tabs>
      <w:suppressAutoHyphens/>
      <w:rPr>
        <w:rFonts w:ascii="Tahoma" w:hAnsi="Tahoma"/>
        <w:spacing w:val="10"/>
        <w:sz w:val="20"/>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350"/>
      </w:tabs>
    </w:pPr>
    <w:r>
      <w:tab/>
    </w: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9100"/>
      </w:tabs>
      <w:suppressAutoHyphens/>
      <w:rPr>
        <w:rFonts w:ascii="Tahoma" w:hAnsi="Tahoma"/>
        <w:spacing w:val="10"/>
        <w:sz w:val="20"/>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153"/>
        <w:tab w:val="right" w:pos="9100"/>
      </w:tabs>
      <w:suppressAutoHyphens/>
      <w:rPr>
        <w:rFonts w:ascii="Tahoma" w:hAnsi="Tahoma"/>
        <w:spacing w:val="10"/>
        <w:sz w:val="20"/>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350"/>
      </w:tabs>
    </w:pPr>
    <w:r>
      <w:tab/>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5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64A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24F09D-1745-4B42-B1FE-30BD37610C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37.xml"/>
  <Relationship Id="rId15" Type="http://schemas.openxmlformats.org/officeDocument/2006/relationships/header" Target="header41.xml"/>
  <Relationship Id="rId16" Type="http://schemas.openxmlformats.org/officeDocument/2006/relationships/header" Target="header42.xml"/>
  <Relationship Id="rId17" Type="http://schemas.openxmlformats.org/officeDocument/2006/relationships/footer" Target="footer34.xml"/>
  <Relationship Id="rId18" Type="http://schemas.openxmlformats.org/officeDocument/2006/relationships/footer" Target="footer35.xml"/>
  <Relationship Id="rId19" Type="http://schemas.openxmlformats.org/officeDocument/2006/relationships/header" Target="header43.xml"/>
  <Relationship Id="rId2" Type="http://schemas.openxmlformats.org/officeDocument/2006/relationships/header" Target="header23.xml"/>
  <Relationship Id="rId20" Type="http://schemas.openxmlformats.org/officeDocument/2006/relationships/footer" Target="footer36.xml"/>
  <Relationship Id="rId21" Type="http://schemas.openxmlformats.org/officeDocument/2006/relationships/image" Target="media/image33.png"/>
  <Relationship Id="rId22" Type="http://schemas.openxmlformats.org/officeDocument/2006/relationships/image" Target="media/image34.png"/>
  <Relationship Id="rId23" Type="http://schemas.openxmlformats.org/officeDocument/2006/relationships/image" Target="media/image35.png"/>
  <Relationship Id="rId24" Type="http://schemas.openxmlformats.org/officeDocument/2006/relationships/image" Target="media/image39.png"/>
  <Relationship Id="rId25" Type="http://schemas.openxmlformats.org/officeDocument/2006/relationships/image" Target="media/image40.png"/>
  <Relationship Id="rId26" Type="http://schemas.openxmlformats.org/officeDocument/2006/relationships/image" Target="media/image41.png"/>
  <Relationship Id="rId27" Type="http://schemas.openxmlformats.org/officeDocument/2006/relationships/header" Target="header47.xml"/>
  <Relationship Id="rId28" Type="http://schemas.openxmlformats.org/officeDocument/2006/relationships/header" Target="header48.xml"/>
  <Relationship Id="rId29" Type="http://schemas.openxmlformats.org/officeDocument/2006/relationships/footer" Target="footer40.xml"/>
  <Relationship Id="rId3" Type="http://schemas.openxmlformats.org/officeDocument/2006/relationships/footer" Target="footer22.xml"/>
  <Relationship Id="rId30" Type="http://schemas.openxmlformats.org/officeDocument/2006/relationships/footer" Target="footer41.xml"/>
  <Relationship Id="rId31" Type="http://schemas.openxmlformats.org/officeDocument/2006/relationships/header" Target="header49.xml"/>
  <Relationship Id="rId32" Type="http://schemas.openxmlformats.org/officeDocument/2006/relationships/footer" Target="footer42.xml"/>
  <Relationship Id="rId33" Type="http://schemas.openxmlformats.org/officeDocument/2006/relationships/image" Target="media/image42.png"/>
  <Relationship Id="rId34" Type="http://schemas.openxmlformats.org/officeDocument/2006/relationships/header" Target="header50.xml"/>
  <Relationship Id="rId35" Type="http://schemas.openxmlformats.org/officeDocument/2006/relationships/customXml" Target="../customXml/item1.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cc9ae20ec6943e595f7abe5b9181de7" PartId="cb95bee7b6484bfea6fd71f75b980cfa">
    <Part Type="preambule" DocPartId="68c98262fcb54953a9f9ec08c2ffa2d6" PartId="b065d8f4ae3d4fd99255130deb3bc557"/>
    <Part Type="pastraipa" DocPartId="684c483fd0514fc1967f598d3b3f5153" PartId="e98b9ea7f16c48f3ab1e8344a6de0765"/>
    <Part Type="signatura" DocPartId="645a8d2984cd46c89073c8699a340e5b" PartId="2b668078985c40b5a2f35d229f8b4555"/>
  </Part>
  <Part Type="patvirtinta" Title="GERIAMOJO VANDENS TIEKIMO IR NUOTEKŲ TVARKYMO INFRASTRUKTŪROS PLĖTROS PLANŲ RENGIMO TAISYKLĖS" DocPartId="523d6e295dc043f598930241015da44f" PartId="b402f1e72dfe40f7b457258d414348c2">
    <Part Type="skyrius" Nr="1" Title="BENDROSIOS NUOSTATOS" DocPartId="353319ba03da477b97e25d004f7a2840" PartId="0db2661a8805412586a49661908f1cff">
      <Part Type="punktas" Nr="1" Abbr="1 p." DocPartId="b22410a7137f400ea26eb4de3fd78f92" PartId="395827e7662b46739d84744fe8c03195"/>
      <Part Type="punktas" Nr="2" Abbr="2 p." DocPartId="87a4bd3e97ec459c9178c6666d2aaf8f" PartId="d352d0d491314d3da9552055953734f2"/>
      <Part Type="punktas" Nr="3" Abbr="3 p." DocPartId="aface2d8aba44e1d8b08181deda009ca" PartId="72fc18d361084fe19b73701cca84d5d4"/>
      <Part Type="punktas" Nr="4" Abbr="4 p." DocPartId="2ebce06349a2475b88db059338461b93" PartId="7586da6306fc4fefa3660a23d474c486"/>
    </Part>
    <Part Type="skyrius" Nr="2" Title="PLANAVIMO TIKSLAI IR OBJEKTAS" DocPartId="3728509b2ee54bc6b04b08a9b7589b2a" PartId="8b9875cde29243ff8eaea7d8bef226dd">
      <Part Type="punktas" Nr="5" Abbr="5 p." DocPartId="f6779f93c0114252882e0dca8348ea59" PartId="f51583cc0ea04c63abf8f8a07ec355f1"/>
      <Part Type="punktas" Nr="6" Abbr="6 p." DocPartId="55474919e34849469e9cdbe4c36212c7" PartId="942b9862f4be4371ada6947c19e19953"/>
    </Part>
    <Part Type="skyrius" Nr="3" Title="PLANAVIMO ORGANIZATORIAI IR PLANŲ RENGĖJAI" DocPartId="85d75d98dfc44f1683712a1a7db34a05" PartId="523fd72355ee4cdd8c8c866cb9d89c52">
      <Part Type="punktas" Nr="7" Abbr="7 p." DocPartId="86d80a7827cc4605a9f0e0815d94c27a" PartId="872e9ead97844cfcbce72dbce9cf5c22"/>
      <Part Type="punktas" Nr="8" Abbr="8 p." DocPartId="6a584adbac3c46b38888b8b614ef0600" PartId="a3e8eb0847cb44408d0fad8eb9b3b5d1"/>
    </Part>
    <Part Type="skyrius" Nr="4" Title="PLANAVIMO PROCESAS" DocPartId="d4a26be58957470192c2b3f609a34a83" PartId="afbda7c2bca94565a9cdaea2e981a0a2">
      <Part Type="punktas" Nr="9" Abbr="9 p." DocPartId="e9bf3a35070c43fb8b08dde847baba39" PartId="fccc30a5902b40639e9bcec273573248"/>
      <Part Type="punktas" Nr="10" Abbr="10 p." DocPartId="8a1c598cc49d452bbd6a59d999b3036a" PartId="37eb4a642d8249f9a80898d84536e255">
        <Part Type="papunktis" Nr="10.1" Abbr="10.1 pp." DocPartId="b5f0f73e5ee549b18e77784b1c904c67" PartId="f54090a7017c45d8848cafe0d7d644d3"/>
        <Part Type="papunktis" Nr="10.2" Abbr="10.2 pp." DocPartId="eb6bb880eec145a5933668f992317d67" PartId="550c5517d7f04cdb81ebdf54002e837d"/>
        <Part Type="papunktis" Nr="10.3" Abbr="10.3 pp." DocPartId="28bafbf6d7414798bb3605ee0e6321fc" PartId="81dfd37464cd444e8b28d09977fdaffb"/>
      </Part>
      <Part Type="punktas" Nr="11" Abbr="11 p." DocPartId="b3694c4558e841bca29880e4b12f1670" PartId="4612f041b8db46b7a39f68855f216143"/>
    </Part>
    <Part Type="skyrius" Nr="5" Title="PARENGIAMASIS ETAPAS" DocPartId="f2e4c744b4c043dda29a9eea837daf85" PartId="8fb72e3fa7654192a1e2055351c85c37">
      <Part Type="punktas" Nr="12" Abbr="12 p." DocPartId="bc43963fef084067a8ede5a2c5255e42" PartId="7647c65551e341508fa99bc100f526f8"/>
      <Part Type="punktas" Nr="13" Abbr="13 p." DocPartId="a6f075e0345d446787ec32c55059bb2c" PartId="fb772d3cb5b34a0e861a6668336198af">
        <Part Type="papunktis" Nr="13.1" Abbr="13.1 pp." DocPartId="30fc73381fce4c1ca347bfea1cd58190" PartId="ef7d495dc8ac4beebb689787cb705236">
          <Part Type="papunktis" Nr="13.1.1" Abbr="13.1.1 pp." DocPartId="df7f92a0d1d44fe2bebd54fdd71ee96a" PartId="e3e7993969b1474bbc11a2c4fd9c4b88"/>
          <Part Type="papunktis" Nr="13.1.2" Abbr="13.1.2 pp." DocPartId="bb1fb046055b4572b2553159f2b9fb58" PartId="3c7794c720de4d52b9eae3f8a838bdda"/>
          <Part Type="papunktis" Nr="13.1.3" Abbr="13.1.3 pp." DocPartId="bcf871568a4746c79484f31738c8d5b5" PartId="e15540fb562e4e889d3adf18f76b579e"/>
          <Part Type="papunktis" Nr="13.1.4" Abbr="13.1.4 pp." DocPartId="fe117492c84d4b3da75736fb4bc49c6c" PartId="c5fcb35ca0c34bac9352ffadc249e5f2"/>
          <Part Type="papunktis" Nr="13.1.5" Abbr="13.1.5 pp." DocPartId="22b61f5e18844567a19b7b23bb60890b" PartId="128ee9736fe049d5b1376de787134047"/>
          <Part Type="papunktis" Nr="13.1.6" Abbr="13.1.6 pp." DocPartId="8c4dce76169f49c2bc2e2f0220d45a8d" PartId="0d3f46f5f43b4af8ada022d1e6b20eb4"/>
          <Part Type="papunktis" Nr="13.1.7" Abbr="13.1.7 pp." DocPartId="98873ab6165647afb3d4192c8ffe485d" PartId="b0f98ea499474712adedccdb86d84771"/>
          <Part Type="papunktis" Nr="13.1.8" Abbr="13.1.8 pp." DocPartId="8998d45835744bc8b964ec58f6b7b0fc" PartId="73128f081cbe4204b85e2bb3c71c4da9"/>
          <Part Type="papunktis" Nr="13.1.9" Abbr="13.1.9 pp." DocPartId="6552527dd7cf421bb2ad18c9e5a80698" PartId="93c4427dfc5346bb8b1f649a9c765962"/>
        </Part>
        <Part Type="papunktis" Nr="13.2" Abbr="13.2 pp." DocPartId="c9ceb46c66c04ff7a45b4aea075fa33e" PartId="c4c54850b97842bbb233253b4d068fc3">
          <Part Type="papunktis" Nr="13.2.1" Abbr="13.2.1 pp." DocPartId="549e607206fc4be19d12f457d4855ba4" PartId="1ee3247a976041508df4e3e67e5acb08"/>
          <Part Type="papunktis" Nr="13.2.2" Abbr="13.2.2 pp." DocPartId="1f1749d16d0b486a8a02b75239863a1f" PartId="53535bcb84d247959d335731721a9da9"/>
          <Part Type="papunktis" Nr="13.2.3" Abbr="13.2.3 pp." DocPartId="9688759e5f864ec1bf2fd4239fb204f1" PartId="d9673b103ead498f9c820d7aedac772e"/>
          <Part Type="papunktis" Nr="13.2.4" Abbr="13.2.4 pp." DocPartId="6f96a5d026074604b4adec97b0f349e9" PartId="341f46ab5a7a4bd4bf4d1201896a52e6"/>
          <Part Type="papunktis" Nr="13.2.5" Abbr="13.2.5 pp." DocPartId="68c24d8d9e384bf09c5e72682192b25d" PartId="a08108092fd24301bf5c37eea3f9d471"/>
        </Part>
        <Part Type="papunktis" Nr="13.3" Abbr="13.3 pp." DocPartId="446e6366f842432595bf295f7f70763a" PartId="375511fb0bf545ce8cbaadd8a542e72b"/>
        <Part Type="papunktis" Nr="13.4" Abbr="13.4 pp." DocPartId="36742f8f314c443a9733ec93ad941aa3" PartId="7a56dacd909f4a4d8ff38b51ca177d19"/>
      </Part>
      <Part Type="punktas" Nr="14" Abbr="14 p." DocPartId="0b455cef80ed40188761aad10c9a8286" PartId="7d655574f5ef4837b9d00a6d4977dde4"/>
      <Part Type="punktas" Nr="15" Abbr="15 p." DocPartId="7d5cc1aa1b3541cb8ad268503568e74f" PartId="d41d3f004eb84dc0a066da00fdc85de2"/>
      <Part Type="punktas" Nr="16" Abbr="16 p." DocPartId="ea41bad60a9c408eb5f20e65f10aa567" PartId="3eaecc7cc8374765902a02c7b13fca8d">
        <Part Type="papunktis" Nr="16.1" Abbr="16.1 pp." DocPartId="81d8c109e5bb46c8b0905215a8f0ef6a" PartId="d3660330afc74bee9cd707f35eb55717"/>
        <Part Type="papunktis" Nr="16.2" Abbr="16.2 pp." DocPartId="e258a5cc57e74f659333d328abf179a6" PartId="a6aeb25978b34b59aafd7a2664704820"/>
        <Part Type="papunktis" Nr="16.3" Abbr="16.3 pp." DocPartId="50a4f78676bc4e8f8c3b81f93eb20767" PartId="a57e33ee7e2445b290d194596e7a6ea0"/>
        <Part Type="papunktis" Nr="16.4" Abbr="16.4 pp." DocPartId="5ead7a5f4dd94efc925f5f95fb8a6c6a" PartId="aa6f052c5fa7470986b47be5b65b17ca"/>
        <Part Type="papunktis" Nr="16.5" Abbr="16.5 pp." DocPartId="844beda4f2ed475e8a050696a2a5cac3" PartId="a7a8cd9a365d4f879fe64cf2414c1a1f"/>
        <Part Type="papunktis" Nr="16.6" Abbr="16.6 pp." DocPartId="8185eab3d35f49109da77c9b27486e2b" PartId="98e65932c36a434da7e6766c0309c85c"/>
        <Part Type="papunktis" Nr="16.7" Abbr="16.7 pp." DocPartId="8905ed44e5034442a33ce90dcc4de5d2" PartId="45d531ca748844c1a76f86fcf4930ef1"/>
        <Part Type="papunktis" Nr="16.8" Abbr="16.8 pp." DocPartId="a0d0b303f27446c689c1470e8a38eb73" PartId="2cc8e78bb0ee4b1e98bc47e078a53f49"/>
        <Part Type="papunktis" Nr="16.9" Abbr="16.9 pp." DocPartId="6a33089454464712bf7eda5a7c872fb7" PartId="3a6efc6cea1f4366ba2291f3808c7f51"/>
        <Part Type="papunktis" Nr="16.10" Abbr="16.10 pp." DocPartId="177be131e23941b7ba53e2c8d21e1870" PartId="69b62b4deea34485a79d754c4d8976c3"/>
        <Part Type="papunktis" Nr="16.11" Abbr="16.11 pp." DocPartId="671501de83b449f58f296205f8508330" PartId="239768317678444dbdc5eccbff1042f5"/>
        <Part Type="papunktis" Nr="16.12" Abbr="16.12 pp." DocPartId="bcabce1340124ca7aaff9ff5799ac6e7" PartId="21fefe2412144cc699ae932d17a8b7fd"/>
        <Part Type="papunktis" Nr="16.13" Abbr="16.13 pp." DocPartId="689db70bd7ee40568032291e560fedda" PartId="71d50cae875849209f18383238ae1583"/>
        <Part Type="papunktis" Nr="16.14" Abbr="16.14 pp." DocPartId="0a29065cd7db4494b701932155050236" PartId="ad02d5bcb9a8437eb0aacfb221dd5d99"/>
        <Part Type="papunktis" Nr="16.15" Abbr="16.15 pp." DocPartId="4031dec0405a4c2faec1fc0827c73eb8" PartId="05e6de6bbfc945f09c3200e3d44949c7"/>
      </Part>
      <Part Type="punktas" Nr="17" Abbr="17 p." DocPartId="775a05efd2514dab817bfd8706f5bb27" PartId="36ac50ad499e409ea0a3e8088b6967b2"/>
      <Part Type="punktas" Nr="18" Abbr="18 p." DocPartId="d77497ec920e45c6a17b1135cf9e8c4b" PartId="ef8e9e9669aa4a249b89867bdb955839"/>
      <Part Type="punktas" Nr="19" Abbr="19 p." DocPartId="37cb7813b2ae4feeb94d5e1ba5fde299" PartId="49f1ad8f056d4191bc4c03135338c6ee"/>
    </Part>
    <Part Type="skyrius" Nr="6" Title="RENGIMO ETAPAS" DocPartId="22725482074a425f9f98270922d46b5d" PartId="1fc52ea941d5454c822366b353ed6307">
      <Part Type="punktas" Nr="20" Abbr="20 p." DocPartId="2165c73e47b244588848b2cfc77527a7" PartId="c7cf270b1c914c08ac4df6cf1e7e39b1"/>
      <Part Type="punktas" Nr="21" Abbr="21 p." DocPartId="7132987fbee1472c888ca37bdb803197" PartId="e45b820efa19448890c4a83c724524db">
        <Part Type="papunktis" Nr="21.1" Abbr="21.1 pp." DocPartId="d79fc37c588644e1a8e3ddfa3fc83727" PartId="d19d61e3723348edabf2bac587e02b1b"/>
        <Part Type="papunktis" Nr="21.2" Abbr="21.2 pp." DocPartId="8120eec352ce4e4ba988a5ce35286428" PartId="c7431596098244bd86517843a2dc9597"/>
        <Part Type="papunktis" Nr="21.3" Abbr="21.3 pp." DocPartId="92acd3ea2f80444da827843cc3c63d7c" PartId="3cd22f60ec124a61b97aae768b0433d0"/>
        <Part Type="papunktis" Nr="21.4" Abbr="21.4 pp." DocPartId="f2bf3f29bbca4121b4b57cfc7e1f6b99" PartId="01214803725d44ef8dbaeb0f9e1a2722">
          <Part Type="papunktis" Nr="21.4.1" Abbr="21.4.1 pp." DocPartId="6de1508d31434a74a1d7e08cf53fb7d7" PartId="e02550eee4764d3dae370fd04fe71826"/>
          <Part Type="papunktis" Nr="21.4.2" Abbr="21.4.2 pp." DocPartId="26b75fe01af94bc4ae189a94e5d00b38" PartId="c0b5061491934d178231d9e5bb6ae89c"/>
        </Part>
        <Part Type="papunktis" Nr="21.5" Abbr="21.5 pp." DocPartId="e8c78eb7be5c413d8616e2e58355c9fe" PartId="6320f7d283dc4c3c94369727e308d48b"/>
      </Part>
      <Part Type="punktas" Nr="22" Abbr="22 p." DocPartId="2f919aa1559b4160a9150b96c8c045bd" PartId="d958185ecfb247dc90037e07eec006d0"/>
      <Part Type="punktas" Nr="23" Abbr="23 p." DocPartId="42706f2119734c14a72e9837ee259a58" PartId="a2d0add2ccdc4eb8b956b0e348c97d5a">
        <Part Type="papunktis" Nr="23.1" Abbr="23.1 pp." DocPartId="f7c277a81d4941eab5f861e6126e73b0" PartId="8544229db03e4c72b33797ef3db8cc35"/>
        <Part Type="papunktis" Nr="23.2" Abbr="23.2 pp." DocPartId="b3586b9fb0d348c786b780262a5c0b5c" PartId="14ed0d8ab0a84a41b3adf69e4d7f3d2b"/>
        <Part Type="papunktis" Nr="23.3" Abbr="23.3 pp." DocPartId="4025d257e65e45c5b1a1bf7582d55eeb" PartId="cd70d7f7061b4a6faacde5032664983f"/>
        <Part Type="papunktis" Nr="23.4" Abbr="23.4 pp." DocPartId="cc26a446a7c0473ca4d52ebcb2643e17" PartId="e5d5b883741047078f5b0ef5c91ae83c"/>
        <Part Type="papunktis" Nr="23.5" Abbr="23.5 pp." DocPartId="9becca4f895341b0b7ec97c093b54682" PartId="b44d3be1c8f74a709234eaf24d31288e"/>
        <Part Type="papunktis" Nr="23.6" Abbr="23.6 pp." DocPartId="b5c560602c07421daf2ae3b1bce8847a" PartId="69bf4476e57e4fbba32b53829a98de99">
          <Part Type="papunktis" Nr="23.6.1" Abbr="23.6.1 pp." DocPartId="c11b8e854ea3486c8b2492056c56951d" PartId="b7c14a8045174cc089f35bced4b0b5f3"/>
          <Part Type="papunktis" Nr="23.6.2" Abbr="23.6.2 pp." DocPartId="b0ba51e1aea6408eaf29b1203c1d087b" PartId="733fec198a434670bd3cdf67a73d23b0"/>
          <Part Type="papunktis" Nr="23.6.3" Abbr="23.6.3 pp." DocPartId="45779ecb9e2c4ada864ec1084db7eb94" PartId="7d67b8e7c69743c0ad089642f0b60ba0"/>
          <Part Type="papunktis" Nr="23.6.4" Abbr="23.6.4 pp." DocPartId="0380f7e6f00441d8afe009b96a9848f4" PartId="be66d541301e43168c5d36c1455d7cff"/>
        </Part>
        <Part Type="papunktis" Nr="23.7" Abbr="23.7 pp." DocPartId="ea82bad9629547c5b67333e5c0577dac" PartId="ab0b138187244c638d26f194668f30ff"/>
        <Part Type="papunktis" Nr="23.8" Abbr="23.8 pp." DocPartId="77ac1eed474a4ebd9127928db045bc06" PartId="409bdcf1bf0d4e09b4ef4161359c26c2"/>
        <Part Type="papunktis" Nr="23.9" Abbr="23.9 pp." DocPartId="b80a70aa0c8a4d6a9e435d0aaee14e34" PartId="4627c90eda1f4a3e8b2ab9d24f053e4a"/>
      </Part>
      <Part Type="punktas" Nr="24" Abbr="24 p." DocPartId="87522492237b448d9b31fce2a1a45079" PartId="468f66cee35e47d8868815c0b6c29d5b"/>
    </Part>
    <Part Type="skyrius" Nr="7" Title="PLANO SUDĖTIS IR TURINYS" DocPartId="2b104dcefcfc4aba95e058bd0380b888" PartId="417d4b30b2fc40dfbd01d92ec43c76aa">
      <Part Type="punktas" Nr="25" Abbr="25 p." DocPartId="fdb1a8b6d9a14c10911e05bd1d96027f" PartId="e1e444babd5b4ff2a6c5fa29a0edf0ce"/>
      <Part Type="punktas" Nr="26" Abbr="26 p." DocPartId="24e54867fcb84050a929d2ea8b31b3a2" PartId="734fc91aeae644b39fa86b4ae56d9c86"/>
      <Part Type="punktas" Nr="27" Abbr="27 p." DocPartId="c2ecc0f747aa41a7bdc3d8da31111fd1" PartId="e6504ada808545a0a524a1fc2248771c"/>
      <Part Type="punktas" Nr="28" Abbr="28 p." DocPartId="4bb3e28a6c31438a92649196b6b9030a" PartId="c55916c821e2451d89cba9a5816ffa18">
        <Part Type="papunktis" Nr="28.1" Abbr="28.1 pp." DocPartId="9c6665bfb1dd4ce4bff77aa3edc00671" PartId="daacc58f0f294888aa96bccbd0cc6184"/>
        <Part Type="papunktis" Nr="28.2" Abbr="28.2 pp." DocPartId="96aade7d562a4405ab21f320ab2bb0ba" PartId="ac6fcd290bc6493bb68490777c15a593"/>
        <Part Type="papunktis" Nr="28.3" Abbr="28.3 pp." DocPartId="e9c01f34ab6145fb8f76f764016da21e" PartId="8a623ee65ae6462885a9078b8fd54b3b"/>
        <Part Type="papunktis" Nr="28.4" Abbr="28.4 pp." DocPartId="b697361645304a6596a3bfd6612fe35c" PartId="c166ee11a58b48dfb4185aac03c5068e"/>
        <Part Type="papunktis" Nr="28.5" Abbr="28.5 pp." DocPartId="a1eb62f788534983af6eb12b5fd02e23" PartId="1690e4a922ca43bca9dec991d7e8ea49"/>
        <Part Type="papunktis" Nr="28.6" Abbr="28.6 pp." DocPartId="34f3a0fbea51442c960a29f10a608ec3" PartId="5110998058a64a23b8f395de3cb94964"/>
        <Part Type="papunktis" Nr="28.7" Abbr="28.7 pp." DocPartId="0bec2bdf84104649bee8c98860f23ae8" PartId="560c74e2d2844910a355f762bb60f47c"/>
      </Part>
      <Part Type="punktas" Nr="29" Abbr="29 p." DocPartId="bf97984af0134a4a8fb51cd37c7e34f7" PartId="166abe856d4c4fe99770f342e7176089"/>
      <Part Type="punktas" Nr="30" Abbr="30 p." DocPartId="c269ca4bec53481ab3079e4fc0b84fbd" PartId="a4d6a83baad348e5bee1a2e1593f3fd7">
        <Part Type="papunktis" Nr="30.1" Abbr="30.1 pp." DocPartId="374747848ca84b66b0914984d0f1ec9d" PartId="70955d00a0a1443690c8698def0cc1e7"/>
        <Part Type="papunktis" Nr="30.2" Abbr="30.2 pp." DocPartId="e3fc7bc7a5804b4da06ba20c185c2d55" PartId="8af8b8b5f6fb4278bf46f0e1fb3d1bac"/>
        <Part Type="papunktis" Nr="30.3" Abbr="30.3 pp." DocPartId="bdfcbe60b66b40ecb2bd8eaeff8ddd83" PartId="d4ca5d39279f4a9184aff3519e0c0618"/>
        <Part Type="papunktis" Nr="30.4" Abbr="30.4 pp." DocPartId="315931c15d7548e182fc1bf3f8a95388" PartId="e7e555d963534012a417bbae2651ac23"/>
        <Part Type="papunktis" Nr="30.5" Abbr="30.5 pp." DocPartId="d17c2e3911bc4785bb1f3264f71a6bcc" PartId="e4af79fd25c14c998848d171a7d971b5"/>
        <Part Type="papunktis" Nr="30.6" Abbr="30.6 pp." DocPartId="79ae221242344e3ebbacd064cb633122" PartId="f63acd3eb9184ad59da63db606971a61"/>
        <Part Type="papunktis" Nr="30.7" Abbr="30.7 pp." DocPartId="4bc33beec15643dba6be9384017501ba" PartId="9408251460ac4425a5b765ba9289c8f0"/>
        <Part Type="papunktis" Nr="30.8" Abbr="30.8 pp." DocPartId="5031e5746744451a9b2deedde7b01a5d" PartId="6053bba68c004edfacb3ad30a2bb6a66"/>
        <Part Type="papunktis" Nr="30.9" Abbr="30.9 pp." DocPartId="b40329adaf1b41f9ad1a46ea05352fec" PartId="0c8beb23099e4040bc88a81e07782c76"/>
        <Part Type="papunktis" Nr="30.10" Abbr="30.10 pp." DocPartId="ec3f711e38c840519af11657fff0c59d" PartId="165468bca6374e438ecab723e388f976"/>
      </Part>
    </Part>
    <Part Type="skyrius" Nr="8" Title="BAIGIAMASIS ETAPAS" DocPartId="3097b8272ac24a72aa595cfd61bb6e85" PartId="e9a8241f62924e6b88c10cc74ae60886">
      <Part Type="punktas" Nr="31" Abbr="31 p." DocPartId="cffcd839b5594188812dad3dc68727d6" PartId="253866cf6086460dac5c6cf6f3b9f68f">
        <Part Type="papunktis" Nr="31.1" Abbr="31.1 pp." DocPartId="fb6067f3f67947ce8801191e3e09e435" PartId="ed1b0af61c424d8885ad09ea9d282232"/>
        <Part Type="papunktis" Nr="31.2" Abbr="31.2 pp." DocPartId="ec0e7af0f93643e2bf6fea1d1e057852" PartId="0c6d2a49a53d4e1e86908c66bab4aa72"/>
        <Part Type="papunktis" Nr="31.3" Abbr="31.3 pp." DocPartId="f5220a6ee49d46b18c73d3f52c8893d5" PartId="cf5ca585567542309ad7b5fc004b291e"/>
        <Part Type="papunktis" Nr="31.4" Abbr="31.4 pp." DocPartId="54fdf7e5e7e14fa9b34d481390f61839" PartId="a9e81184295f4d8896cd165a578275ba"/>
      </Part>
      <Part Type="punktas" Nr="32" Abbr="32 p." DocPartId="cd37088c88874ae89ac3bc2f0670531a" PartId="e25930ec632a4c8c82466420f02b8378"/>
      <Part Type="punktas" Nr="33" Abbr="33 p." DocPartId="7bceca37109c47a492b99c4a6ce8dd23" PartId="74707706bc6f4a43bb786039c19c6fae"/>
      <Part Type="punktas" Nr="34" Abbr="34 p." DocPartId="6807013d927f4742b2ce8e3b98ae3732" PartId="519f686c2fe74dd49c7b17fc6b01b3fc"/>
      <Part Type="punktas" Nr="35" Abbr="35 p." DocPartId="d2d0d3c0973d4300843db76fa22edfa6" PartId="6b7f455a1a4f4af4a99c20b8513f4704"/>
      <Part Type="punktas" Nr="36" Abbr="36 p." DocPartId="fcc93b15bb0d47ce8de19deb80435bcb" PartId="47bcc38117b5430180b224e578afe6f0"/>
    </Part>
    <Part Type="skyrius" Nr="9" Title="PLANO GALIOJIMAS, KEITIMAS, KOREGAVIMAS IR ĮGYVENDINIMAS" DocPartId="2447183618e94b4c82feb1131763cbb7" PartId="1c9389b274fc4ffbbfdadfeb350745ef">
      <Part Type="punktas" Nr="37" Abbr="37 p." DocPartId="5407ff3e417548ccb5a6ee9a77eb7663" PartId="826416105759483fadfbfdb1e8856904"/>
      <Part Type="punktas" Nr="38" Abbr="38 p." DocPartId="7fb5037e1a04456c84c8ce352faeb05e" PartId="4184df97cebc4600ad0e9a1dd5df1078"/>
      <Part Type="punktas" Nr="39" Abbr="39 p." DocPartId="5a10de9786994ab1b6343127213476cb" PartId="035a84419121447886c11143a34c8e6d"/>
      <Part Type="punktas" Nr="40" Abbr="40 p." DocPartId="354ede4689eb4ed1be3ad1950c9df5cd" PartId="985781ec5d4d4019aa29923eb2c2c887"/>
      <Part Type="punktas" Nr="41" Abbr="41 p." DocPartId="303f0e3e431d4246b9ef81170e678e29" PartId="12c082a70f8a44c59c9badc75e9c1891"/>
      <Part Type="punktas" Nr="42" Abbr="42 p." DocPartId="c9271a46ec7d4182802ac689c2921a6f" PartId="9d1a9c68d55d469b9fdb11b82da25372">
        <Part Type="papunktis" Nr="42.1" Abbr="42.1 pp." DocPartId="be512c4f65d643e9a288c68b734b17f2" PartId="6c8e7c3f55c245b08ffbd55a6f75b119"/>
        <Part Type="papunktis" Nr="42.2" Abbr="42.2 pp." DocPartId="d6d59bc4ca71489bb45f31d31ab3fb60" PartId="654bf14d7aac4805a9a14b81d2129c59"/>
        <Part Type="papunktis" Nr="42.3" Abbr="42.3 pp." DocPartId="d98fce81b2f543cf9f0966290b0bd4b6" PartId="4ef66e7198094237a2b7c6c61e9609af"/>
        <Part Type="papunktis" Nr="42.4" Abbr="42.4 pp." DocPartId="96197701f9864d658abf2a20dd975fb5" PartId="8ef7a1ff82674b098c961ca2f0770422"/>
      </Part>
      <Part Type="punktas" Nr="43" Abbr="43 p." DocPartId="d5ed16fb3ee94992beeda63c647bd10f" PartId="284041ca376a4806857cc8d120328b03"/>
      <Part Type="punktas" Nr="44" Abbr="44 p." DocPartId="6ccf55167d464a73b18f60dc54e71611" PartId="9e30e60a6831464fa765688dd1cc4bf7"/>
      <Part Type="punktas" Nr="45" Abbr="45 p." DocPartId="b3907beb11bf46b491e11084c4effff9" PartId="dd2b107de75c4df3a7267db065544238"/>
      <Part Type="punktas" Nr="46" Abbr="46 p." DocPartId="4c83b32c302241ae9cebefdc549a5335" PartId="2d314f5d20274dc4b2d37a96d081bd08"/>
    </Part>
    <Part Type="skyrius" Nr="10" Title="BAIGIAMOSIOS NUOSTATOS" DocPartId="c7b2064543c145c49fcd14f1b96a78cb" PartId="e28f002ae87b47edb79044400e9ab109">
      <Part Type="punktas" Nr="47" Abbr="47 p." DocPartId="fbc2ec9eea304ea1815d49d6a703bd4f" PartId="06eeb255585a4d939fcc97db93ba16e9"/>
      <Part Type="punktas" Nr="48" Abbr="48 p." DocPartId="c5b6b98ab16d46babfea3cbe7f885e44" PartId="8e07211fe1de4bfab6c481bfb0305fe2"/>
      <Part Type="punktas" Nr="49" Abbr="49 p." DocPartId="6091bc86c3684e59b70f80e15035f490" PartId="0354cdf043424d48856b521a1b07d445"/>
    </Part>
    <Part Type="pabaiga" DocPartId="ee26660d29c641598a2e3bd0dac2e391" PartId="51d393eb825f4f9fa8735d319a11ef01"/>
  </Part>
  <Part Type="priedas" Nr="1" Abbr="1 pr." Title="GERIAMOJO VANDENS TIEKIMO IR NUOTEKŲ TVARKYMO INFRASTRUKTŪROS PLĖTROS ALTERNATYVOS" DocPartId="d8989edc07e246cbab82037332efac6c" PartId="654bebb8d7c54871bb728ffb15f9d060">
    <Part Type="skyrius" Nr="1" Title="GERIAMOJO VANDENS TIEKIMO INFRASTRUKTŪROS PLĖTRA" DocPartId="bc033e937dd54c23a0d8bfdcd64becb2" PartId="e9e21acd09cf4191be69c71a6d494072">
      <Part Type="punktas" Nr="1" Abbr="1 pr. 1 p." DocPartId="a50777c6091d49e3aa5f9ae44de74f55" PartId="6d58173778c4420e9bcb5507b45a9cd6">
        <Part Type="papunktis" Nr="1.1" Abbr="1 pr. 1.1 pp." DocPartId="cceb76b5ede240cb8acde72ff31f7791" PartId="9e6dc306d73943e385ea861d11dea833"/>
        <Part Type="papunktis" Nr="1.2" Abbr="1 pr. 1.2 pp." DocPartId="2a39c5d9392a49849e56d65957c00626" PartId="6eadd3e63d7c4b1391b30a780900ee2f"/>
        <Part Type="papunktis" Nr="1.3" Abbr="1 pr. 1.3 pp." DocPartId="552715d347484eb4b672a14916bc0364" PartId="068a8e8f0a234daaa49c20fdd0b1129a"/>
        <Part Type="papunktis" Nr="1.4" Abbr="1 pr. 1.4 pp." DocPartId="1ddb09f288db4e7896af108415aaaecb" PartId="3e8dbc69ffc247c58c0caed24a70dc84"/>
        <Part Type="papunktis" Nr="1.5" Abbr="1 pr. 1.5 pp." DocPartId="8c7690b301ae49c189528a9113c1b074" PartId="2ce2f1198b6a4af7a1710762f3624d39"/>
      </Part>
      <Part Type="punktas" Nr="2" Abbr="1 pr. 2 p." DocPartId="1d0e61adcb3c4c84845d1b767e467e12" PartId="2125e18adf2c40a0a825d4bbb98982da"/>
      <Part Type="punktas" Nr="3" Abbr="1 pr. 3 p." DocPartId="21a25fa66e0b43cb9e64122295b64a78" PartId="30a126e5d1f249f09ed740b871fcc859"/>
    </Part>
    <Part Type="skyrius" Nr="2" Title="GERIAMOJO VANDENS TIEKIMO INFRASTRUKTŪROS PLĖTROS ALTERNATYVŲ SCHEMOS" DocPartId="403b296a7d35412e8d8eab5e0355bfcf" PartId="6c96f9aba2854ae9b58af50698b230c9"/>
    <Part Type="skyrius" Nr="3" Title="NUOTEKŲ TVARKYMO INFRASTRUKTŪROS PLĖTRA" DocPartId="b2d2885a27794091a33f1931072124ed" PartId="66b987147fae4585ab95df3b9d21dc3f">
      <Part Type="punktas" Nr="4" Abbr="1 pr. 4 p." DocPartId="69cf199fd7104b96b90c2cd0cb62be35" PartId="20d56c4087e140788d81772d560bd076">
        <Part Type="papunktis" Nr="4.1" Abbr="1 pr. 4.1 pp." DocPartId="512ed3aea09b4f28bd0d9a791d863fe9" PartId="173f1612a08c404697a0aa2fb3c77265"/>
        <Part Type="papunktis" Nr="4.2" Abbr="1 pr. 4.2 pp." DocPartId="1d718caa88b84e32ae5f65e64a4456a0" PartId="05a37be8f17347c9bcdf3d5962222ba1"/>
        <Part Type="papunktis" Nr="4.3" Abbr="1 pr. 4.3 pp." DocPartId="0ecd55aa4b8247148e9d1479ff18ded3" PartId="75fd3e77ca9a42a5b9b6e34ef355028d"/>
        <Part Type="papunktis" Nr="4.4" Abbr="1 pr. 4.4 pp." DocPartId="827e0f0109a34dc097aaf62853a0a958" PartId="b2f6dca224c14276bcada70173e731cf"/>
      </Part>
      <Part Type="punktas" Nr="5" Abbr="1 pr. 5 p." DocPartId="8cadf3a867f749c3ac3a48d783311c82" PartId="ca225182f2d1489989c3e4caa5acb4aa"/>
      <Part Type="punktas" Nr="6" Abbr="1 pr. 6 p." DocPartId="a1698db647c44aa7b5fc6c8c8004b110" PartId="38ecee2f72cf47bab77f205bb4667898"/>
      <Part Type="punktas" Nr="7" Abbr="1 pr. 7 p." DocPartId="823b76c80611432790566f8af74fb5bb" PartId="1f0e2092b4d7486ab439d54c06f6bc5a"/>
    </Part>
    <Part Type="skyrius" Nr="4" Title="NUOTEKŲ TVARKYMO INFRASTRUKTŪROS PLĖTROS ALTERNATYVŲ SCHEMOS" DocPartId="93ffa842f12946208e0656bb7ecd3787" PartId="6b71801b3e1c4eada5f376164cbb6354"/>
    <Part Type="pabaiga" DocPartId="ebb2977ff5974af7989e0e9ce261ae25" PartId="a75f9c26e3164ed58c99cbeffb062699"/>
  </Part>
  <Part Type="priedas" Nr="2" Abbr="2 pr." Title="AGLOMERACIJŲ RIBŲ NUSTATYMO METODIKA" DocPartId="55f1b50e3ba74b3da66d5d4a0ad8a8be" PartId="0b8ec4fa50cb426ca6e1c43adfd33977">
    <Part Type="punktas" Nr="1" Abbr="2 pr. 1 p." DocPartId="e64fad7f670a49c3bbb4fcee8d8e56d6" PartId="3f873e34f0e14025990a0282c009e6b0">
      <Part Type="papunktis" Nr="1.1" Abbr="2 pr. 1.1 pp." DocPartId="9dd80f750bcb4e37b99257b3bcb8b188" PartId="c99be26970b840f19661050b1d9da35a"/>
      <Part Type="papunktis" Nr="1.2" Abbr="2 pr. 1.2 pp." DocPartId="1ef220dfdec34ecbba8fef8ceb2967c2" PartId="600f7a6a86f844508e690d12b79690ab"/>
      <Part Type="papunktis" Nr="1.3" Abbr="2 pr. 1.3 pp." DocPartId="238b27b2ab0649efbf07dd96ec2cef53" PartId="df86f60163ab417bb8eaa965917e6b3b"/>
      <Part Type="papunktis" Nr="1.4" Abbr="2 pr. 1.4 pp." DocPartId="3eaf76cc5cd5410591b3ea075472195a" PartId="3d3e740568e84ab5a86de0596762db85"/>
      <Part Type="papunktis" Nr="1.5" Abbr="2 pr. 1.5 pp." DocPartId="e8bfc71450024c8fa5f43eb3682e0b9c" PartId="294d027ea5f140a6a4c69138961aafe0"/>
      <Part Type="papunktis" Nr="1.6" Abbr="2 pr. 1.6 pp." DocPartId="2fb20f710b96429283722f1360e820f2" PartId="e470bf73e3fa42fabb724d325c060a61"/>
    </Part>
    <Part Type="punktas" Nr="2" Abbr="2 pr. 2 p." DocPartId="72159b6c5df449e1a79e40710a4785e8" PartId="912de89f3c4445f396fa0e6e6ebb6b57">
      <Part Type="papunktis" Nr="2.1" Abbr="2 pr. 2.1 pp." DocPartId="37fb8260b01040a9b14d800d87b8d032" PartId="e2777d4a19a44aeb9feb06028ac3c965"/>
      <Part Type="papunktis" Nr="2.2" Abbr="2 pr. 2.2 pp." DocPartId="e1affb82ee61450ead0e0726c3ba43e9" PartId="c4ac02f169e34921883afe67dbcc6d31"/>
    </Part>
    <Part Type="punktas" Nr="3" Abbr="2 pr. 3 p." DocPartId="a2875f9733594c929f8d4e3033c5f79e" PartId="264f3f01e1ff4b3a9233cd144676a581">
      <Part Type="papunktis" Nr="3.1" Abbr="2 pr. 3.1 pp." DocPartId="91e3f614f381485c97748fb94589d0a7" PartId="0cfe562615574b5db46f9e973bcab10c"/>
      <Part Type="papunktis" Nr="3.2" Abbr="2 pr. 3.2 pp." DocPartId="275cd5f9c02843768e8084edbd758bf0" PartId="55ccd17102be4a0a89fec96ad02c15bb">
        <Part Type="papunktis" Nr="3.2.1" Abbr="2 pr. 3.2.1 pp." DocPartId="2eb98134257341d1bc9052c07a8e0d91" PartId="daa0f697a4324dc9ac30ce9b30e28640"/>
        <Part Type="papunktis" Nr="3.2.2" Abbr="2 pr. 3.2.2 pp." DocPartId="95d2aa3482de459395c0a93714d31bf7" PartId="d9e78107b20c4eb19d8eec369a1870e2"/>
      </Part>
      <Part Type="papunktis" Nr="3.3" Abbr="2 pr. 3.3 pp." DocPartId="87228a3995e747fdb3fe0dce6cc58972" PartId="69b50ca5f39d41d99d8279c23e568207">
        <Part Type="papunktis" Nr="3.3.1" Abbr="2 pr. 3.3.1 pp." DocPartId="297f5ef59a2d4c5aaf3a04e00fc7c573" PartId="9db781deae9548b5a67ea5b762071b91"/>
        <Part Type="papunktis" Nr="3.3.2" Abbr="2 pr. 3.3.2 pp." DocPartId="3560b176532d4506b92c3fa9f11bcf76" PartId="15b96e31bda04466acc36e680638fa52">
          <Part Type="papunktis" Nr="3.3.2.1" Abbr="2 pr. 3.3.2.1 pp." DocPartId="23e740c8e17b4cc59da0b5a44c004910" PartId="a602107635964da7bedc8e55e20c933a"/>
          <Part Type="papunktis" Nr="3.3.2.2" Abbr="2 pr. 3.3.2.2 pp." DocPartId="648e83912a2143e1869ed9046f15f42a" PartId="0532625ae4f040149cf3aba19bb87249"/>
          <Part Type="papunktis" Nr="3.3.2.3" Abbr="2 pr. 3.3.2.3 pp." DocPartId="53c083340d7e464d9eb7fa2d69f54d8f" PartId="fec289ef17754e9ba63b38e6c7171fbf"/>
          <Part Type="papunktis" Nr="3.3.2.4" Abbr="2 pr. 3.3.2.4 pp." DocPartId="89069fd362914d6e98a030699a291846" PartId="1cf2cf6706db4ff4b729105028d62300"/>
        </Part>
      </Part>
    </Part>
    <Part Type="punktas" Nr="4" Abbr="2 pr. 4 p." DocPartId="fe51954a00b94dc4b2e0ce5742ef3e94" PartId="06ebcbade8604f63bc73c6e75f58aa4f">
      <Part Type="papunktis" Nr="4.1" Abbr="2 pr. 4.1 pp." DocPartId="0b4969c57d314a2e915883dfb43c5ab2" PartId="6074c7914226417f829657dd15e0ea75"/>
      <Part Type="papunktis" Nr="4.2" Abbr="2 pr. 4.2 pp." DocPartId="f6af5ae9dcbb4a958380e8a5a92239ce" PartId="c7dacd4db63342d680928e666401b1cb"/>
      <Part Type="papunktis" Nr="4.3" Abbr="2 pr. 4.3 pp." DocPartId="70953c9b11bb4fa897f8cbe8fb919128" PartId="8b2ed8305aa948deb356f43d2ffa4b38"/>
      <Part Type="papunktis" Nr="4.4" Abbr="2 pr. 4.4 pp." DocPartId="61e0f8fc6ffd4ae0aa0121bb8ad67626" PartId="660d726c5a7f4e17be35bafd1fee88b2"/>
      <Part Type="papunktis" Nr="4.5" Abbr="2 pr. 4.5 pp." DocPartId="af69df2508734afe822d4f96f87773f2" PartId="e42aa83c6e7e4fb1b9015d440e3247e8"/>
    </Part>
    <Part Type="punktas" Nr="5" Abbr="2 pr. 5 p." DocPartId="4711499bcb634e319477f6b5122285fe" PartId="06d5d2841ed84c7ba33f5d4dce7b4884"/>
    <Part Type="pabaiga" DocPartId="b508995e033e4e8ead9bb640e0d39510" PartId="a13771290ece43e5b2f8d97f5f772089"/>
  </Part>
  <Part Type="priedas" Nr="3" Abbr="3 pr." Title="AGLOMERACIJŲ ERDVINIŲ DUOMENŲ RINKINIO SPECIFIKACIJA" DocPartId="0b7be3da73ac498b9cc22f6de0297987" PartId="703acc955b6f4c39a439f6ecaad01ffd">
    <Part Type="skyrius" Nr="1" Title="BENDROSIOS NUOSTATOS" DocPartId="2ad284d3964b4d71a133ce30600fb4af" PartId="ca123673d6684e00b9cad98b355d8a4f">
      <Part Type="punktas" Nr="1" Abbr="3 pr. 1 p." DocPartId="657af600babc49b08f4f194627680611" PartId="3f4d10ba4e914c2691cda5a16aede667"/>
      <Part Type="punktas" Nr="2" Abbr="3 pr. 2 p." DocPartId="9414c4ec42804953b2e8a27f9a1ac47e" PartId="239afcf60f7940948f9ea37a11d2496a"/>
      <Part Type="punktas" Nr="3" Abbr="3 pr. 3 p." DocPartId="041ca6730429407c99a17e9052cdf76b" PartId="697a288fb66d43ff9ff7f1009d011853"/>
      <Part Type="punktas" Nr="4" Abbr="3 pr. 4 p." DocPartId="3cf6b201b4e24321aacb36530751690e" PartId="05e4f87dad3b4afb896082e4f7389663"/>
      <Part Type="punktas" Nr="5" Abbr="3 pr. 5 p." DocPartId="93b67ee17bc14ae6a5de614f1a210eb6" PartId="123ffbafae60408f950b2ba49f42a901"/>
      <Part Type="punktas" Nr="6" Abbr="3 pr. 6 p." DocPartId="b8397105667746f3962c64eee781ba82" PartId="abdf87edef1449a68be728175b091de7"/>
      <Part Type="punktas" Nr="7" Abbr="3 pr. 7 p." DocPartId="2c62862b9724470eb77268d87f071276" PartId="494dd4ff18de43f1b0e578b8fa813a47"/>
      <Part Type="punktas" Nr="8" Abbr="3 pr. 8 p." DocPartId="17ec51b2480440e89fa4dd8f237ac05b" PartId="e44fb65e27d4491787a2f4839367e904"/>
      <Part Type="punktas" Nr="9" Abbr="3 pr. 9 p." DocPartId="8a7a5f1411b74f04975edb93ac414f01" PartId="68e55ee08b5447248b08e2bde605549e">
        <Part Type="papunktis" Nr="9.1" Abbr="3 pr. 9.1 pp." DocPartId="ffb9b656cd01474caf558238fb246106" PartId="c3bbe80b5a0644dfb3572152c842a1c5"/>
        <Part Type="papunktis" Nr="9.2" Abbr="3 pr. 9.2 pp." DocPartId="8aecf223a47945548af6e88191acedcf" PartId="057e113c0e9644c0b419f8787d04ba1b"/>
      </Part>
      <Part Type="punktas" Nr="10" Abbr="3 pr. 10 p." DocPartId="66210b69cf294b5d978aab2e6f77e5e5" PartId="840fcfbae6534fc9ae599641103c522a"/>
    </Part>
    <Part Type="skyrius" Nr="2" Title="REIKALAVIMAI AEDR DUOMENŲ TEIKIMUI IR TVARKYMUI" DocPartId="ee0bb914a72f4245bc839e7ed2bfa284" PartId="7685cd5ff9714aa4acfdd537bc51b5a4">
      <Part Type="punktas" Nr="11" Abbr="3 pr. 11 p." DocPartId="a7da34c162864319b1649ff7871081ca" PartId="d6d4308b586a4573bb1f8e3383b413f8"/>
      <Part Type="punktas" Nr="12" Abbr="3 pr. 12 p." DocPartId="9a6a1122898b413f911415c93dd7e536" PartId="80aa868c8521480a96657ba6d8b4d450">
        <Part Type="papunktis" Nr="12.1" Abbr="3 pr. 12.1 pp." DocPartId="dd5d0bfe6daa46c9abed21023fb7ed35" PartId="748253f89816495582563c8552ac665f"/>
        <Part Type="papunktis" Nr="12.2" Abbr="3 pr. 12.2 pp." DocPartId="c6be6c3e5ca34b349f207d1178b396c0" PartId="82c3c1a2efc04983a93eb53295f76113"/>
        <Part Type="papunktis" Nr="12.3" Abbr="3 pr. 12.3 pp." DocPartId="1d6f15ea29c3486fbcd10fcf354f631e" PartId="4e8418bd18b14319ab2a6f112f36046f"/>
        <Part Type="papunktis" Nr="12.4" Abbr="3 pr. 12.4 pp." DocPartId="01588056652b482297bd8466c3ef4b2e" PartId="f0dad03415e440caaad36feca843f511"/>
        <Part Type="papunktis" Nr="12.5" Abbr="3 pr. 12.5 pp." DocPartId="c4cfa7454eff47ddac2017d6f059568d" PartId="bbf48298a1ca4f1186c6d2521a9f829a"/>
        <Part Type="papunktis" Nr="12.6" Abbr="3 pr. 12.6 pp." DocPartId="f86d2c75cc634f2c8dec5af5db9bc939" PartId="9870e93137944fd8a16d33a0a1dbb25f"/>
      </Part>
      <Part Type="punktas" Nr="13" Abbr="3 pr. 13 p." DocPartId="35149a0467ad4fafa76be9fde47d07a3" PartId="0e55e5c4ee10476daf27d970b3f800d4"/>
    </Part>
    <Part Type="skyrius" Nr="3" Title="AEDR TAIKOMI KLASIFIKATORIAI" DocPartId="87678b3157da46989a1b864b4805c4fb" PartId="8c7552d846734cb1bf2a3049383971a9">
      <Part Type="punktas" Nr="14" Abbr="3 pr. 14 p." DocPartId="af1296175ec9420c89f1942a2f0d7c9d" PartId="5da661959a3344318995efe119d6cd60"/>
    </Part>
    <Part Type="skyrius" Nr="4" Title="AEDR DUOMENŲ TEIKIMO ŠABLONAI IR PAVYZDŽIAI" DocPartId="2e86c26260b247e59fb184f7d7459684" PartId="5569cd379d0345a89acedf39c134d3fd">
      <Part Type="punktas" Nr="15" Abbr="3 pr. 15 p." DocPartId="97aaf7422797474bb822f8aeb4010932" PartId="a631a621220c4358a2c63b4107dcfd04">
        <Part Type="papunktis" Nr="15.1" Abbr="3 pr. 15.1 pp." DocPartId="268227627ed744018ee893486fe306e0" PartId="993be6f5b0254977b7298c086186cd41"/>
        <Part Type="papunktis" Nr="15.2" Abbr="3 pr. 15.2 pp." DocPartId="78d2181be9494150b302cff46f60673d" PartId="8b036528d74d404db8151df7f1f38ebd"/>
      </Part>
    </Part>
    <Part Type="pabaiga" DocPartId="d2dd1e2249504da4969239bb1dda8e5e" PartId="2035cc05f5a6432e9a791a6eb609006e"/>
  </Part>
  <Part Type="priedas" Nr="4" Abbr="4 pr." Title="FINANSAVIMO GERIAMOJO VANDENS TIEKIMO IR NUOTEKŲ TVARKYMO PASLAUGOMS TEIKTI POREIKIS" DocPartId="6f1f2c4edd054b91bf7b66d1dccbd07f" PartId="25a60399d0714ede9ccc6a944d02e751">
    <Part Type="pabaiga" DocPartId="051378762d5542c8b144171411670323" PartId="bb9c2f7335644e4fb260a1d535910a30"/>
  </Part>
</Parts>
</file>

<file path=customXml/itemProps1.xml><?xml version="1.0" encoding="utf-8"?>
<ds:datastoreItem xmlns:ds="http://schemas.openxmlformats.org/officeDocument/2006/customXml" ds:itemID="{8ABBA555-FB06-4BBE-B17F-EF186C348FB3}">
  <ds:schemaRefs>
    <ds:schemaRef ds:uri="http://lrs.lt/TAIS/DocParts"/>
  </ds:schemaRefs>
</ds:datastoreItem>
</file>

<file path=docProps/app.xml><?xml version="1.0" encoding="utf-8"?>
<Properties xmlns="http://schemas.openxmlformats.org/officeDocument/2006/extended-properties">
  <Template>Normal.dotm</Template>
  <TotalTime>46</TotalTime>
  <Pages>30</Pages>
  <Words>40358</Words>
  <Characters>23005</Characters>
  <Application>Microsoft Office Word</Application>
  <DocSecurity>0</DocSecurity>
  <Lines>191</Lines>
  <Paragraphs>126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MINISTRAS</vt:lpstr>
    </vt:vector>
  </TitlesOfParts>
  <Company>Teisines informacijos centras</Company>
  <LinksUpToDate>false</LinksUpToDate>
  <CharactersWithSpaces>63237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2015-09-29T20:21:00Z</dcterms:created>
  <dc:creator>Sandra</dc:creator>
  <lastModifiedBy>DINDIENĖ Laura</lastModifiedBy>
  <dcterms:modified xsi:type="dcterms:W3CDTF">2024-08-12T07:47:00Z</dcterms:modified>
  <revision>17</revision>
  <dc:title>LIETUVOS RESPUBLIKOS APLINKOS MINISTRAS</dc:title>
</coreProperties>
</file>