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dbff6716e6724902bc2e8ce64f65ccd3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2024-04-01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2006, Nr. </w:t>
          </w:r>
          <w:fldSimple w:instr="HYPERLINK https://www.e-tar.lt/portal/legalAct.html?documentId=TAR.0705CD84AE9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118-4486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1061100NUTA00001088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b/>
              <w:sz w:val="20"/>
              <w:i/>
              <w:u w:val="single"/>
            </w:rPr>
            <w:t>TAR pastaba.</w:t>
          </w:r>
          <w:r>
            <w:rPr>
              <w:rFonts w:ascii="Times New Roman" w:hAnsi="Times New Roman"/>
              <w:sz w:val="20"/>
              <w:i/>
            </w:rPr>
            <w:t xml:space="preserve"> Apskaičiuojant tarptautinių oro uostų žemės nuomos mokesčio dydį K, vidutinis metinis vartotojų kainų pokytis „i“ taikomas nuo 2025 m. sausio 1 d.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Lietuvos Respublikos Vyriausybė, Nutarimas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d1b81c09fd1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981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2023-12-20,
paskelbta TAR 2023-12-21, i. k. 2023-24834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Dėl Lietuvos Respublikos Vyriausybės 2006 m. spalio 31 d. nutarimo Nr. 1088 „Dėl Tarptautinių oro uostų žemės nuomos mokesčio apskaičiavimo tvarkos ir dydžių aprašo patvirtinimo“ pakeitimo</w:t>
          </w:r>
        </w:p>
        <w:p/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2015-12-18: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8d5fee0a4be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1296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2015-12-16,
paskelbta TAR 2015-12-17, i. k. 2015-19908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tabs>
              <w:tab w:val="left" w:pos="0"/>
              <w:tab w:val="left" w:pos="1134"/>
            </w:tabs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>
          <w:pPr>
            <w:tabs>
              <w:tab w:val="left" w:pos="0"/>
              <w:tab w:val="left" w:pos="1134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0"/>
              <w:tab w:val="left" w:pos="1134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TARPTAUTINIŲ ORO UOSTŲ ŽEMĖS NUOMOS MOKESČIO APSKAIČIAVIMO TVARKOS IR DYDŽIŲ APRAŠO PATVIRTINIMO</w:t>
          </w:r>
        </w:p>
        <w:p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</w:p>
        <w:p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color w:val="000000"/>
            </w:rPr>
            <w:t>2006 m. spalio 31 d. Nr. 1088</w:t>
          </w:r>
        </w:p>
        <w:p>
          <w:pPr>
            <w:keepNext/>
            <w:jc w:val="center"/>
            <w:outlineLvl w:val="1"/>
            <w:rPr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tabs>
              <w:tab w:val="left" w:pos="0"/>
              <w:tab w:val="left" w:pos="993"/>
            </w:tabs>
            <w:ind w:right="-1" w:firstLine="709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1ff4ee493b1540da8a8c64af3ca61489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pacing w:val="20"/>
                  <w:szCs w:val="24"/>
                  <w:lang w:eastAsia="lt-LT"/>
                </w:rPr>
              </w:pPr>
              <w:r>
                <w:rPr>
                  <w:color w:val="000000"/>
                </w:rPr>
                <w:t xml:space="preserve">Vadovaudamasi Lietuvos Respublikos aviacijos įstatymo </w:t>
              </w:r>
              <w:r>
                <w:rPr>
                  <w:color w:val="000000"/>
                  <w:spacing w:val="-1"/>
                </w:rPr>
                <w:t xml:space="preserve">33 straipsnio 4 dalimi, </w:t>
              </w:r>
              <w:r>
                <w:rPr>
                  <w:color w:val="000000"/>
                </w:rPr>
                <w:t xml:space="preserve">Lietuvos Respublikos Vyriausybė </w:t>
              </w:r>
              <w:r>
                <w:rPr>
                  <w:color w:val="000000"/>
                  <w:spacing w:val="100"/>
                </w:rPr>
                <w:t>nutari</w:t>
              </w:r>
              <w:r>
                <w:rPr>
                  <w:color w:val="000000"/>
                </w:rPr>
                <w:t>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56d7c20222e11eabe008ea93139d5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1281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2019-12-11,
paskelbta TAR 2019-12-19, i. k. 2019-20560            </w:t>
              </w:r>
            </w:p>
            <w:p/>
          </w:sdtContent>
        </w:sdt>
        <w:sdt>
          <w:sdtPr>
            <w:alias w:val="pastraipa"/>
            <w:tag w:val="part_882cfade257b4d6fa12e910150990c5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rPr>
                  <w:szCs w:val="24"/>
                  <w:lang w:eastAsia="lt-LT"/>
                </w:rPr>
                <w:t>Patvirtinti Tarptautinių oro uostų žemės nuomos mokesčio apskaičiavimo tvarkos ir dydžių aprašą (pridedama).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d9bec2cd1b1e43fd9e501cc2f123946f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Ministrą Pirmininką</w:t>
              </w:r>
            </w:p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pavaduojantis susisiekimo ministras</w:t>
                <w:tab/>
                <w:t>Algirdas Butkevičius</w:t>
              </w:r>
            </w:p>
            <w:p>
              <w:pPr>
                <w:tabs>
                  <w:tab w:val="right" w:pos="9639"/>
                </w:tabs>
                <w:jc w:val="center"/>
                <w:rPr>
                  <w:caps/>
                </w:rPr>
              </w:pPr>
            </w:p>
          </w:sdtContent>
        </w:sdt>
        <w:p/>
      </w:sdtContent>
    </w:sdt>
    <w:sdt>
      <w:sdtPr>
        <w:alias w:val="patvirtinta"/>
        <w:tag w:val="part_56ff2f4927084884a2be3037d2d99843"/>
        <w:lock w:val="sdtLocked"/>
        <w:richText/>
      </w:sdtPr>
      <w:sdtContent>
        <w:p>
          <w:pPr>
            <w:ind w:left="4820"/>
          </w:pPr>
        </w:p>
        <w:p>
          <w:pPr>
            <w:ind w:left="4820"/>
            <w:rPr>
              <w:lang w:eastAsia="ar-SA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39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ind w:left="4820"/>
            <w:rPr>
              <w:lang w:eastAsia="lt-LT"/>
            </w:rPr>
          </w:pPr>
          <w:r>
            <w:rPr>
              <w:lang w:eastAsia="ar-SA"/>
            </w:rPr>
            <w:t>PATVIRTINTA</w:t>
            <w:br/>
          </w:r>
          <w:r>
            <w:rPr>
              <w:szCs w:val="24"/>
              <w:lang w:eastAsia="lt-LT"/>
            </w:rPr>
            <w:t>Lietuvos Respublikos Vyriausybės</w:t>
          </w:r>
          <w:r>
            <w:rPr>
              <w:lang w:eastAsia="ar-SA"/>
            </w:rPr>
            <w:br/>
          </w:r>
          <w:r>
            <w:rPr>
              <w:szCs w:val="24"/>
              <w:lang w:eastAsia="lt-LT"/>
            </w:rPr>
            <w:t>2006 m. spalio 31 d. nutarimu Nr. 1088</w:t>
          </w:r>
          <w:r>
            <w:rPr>
              <w:lang w:eastAsia="ar-SA"/>
            </w:rPr>
            <w:br/>
            <w:t>(Lietuvos Respublikos Vyriausybės</w:t>
            <w:br/>
          </w:r>
          <w:r>
            <w:rPr>
              <w:lang w:eastAsia="lt-LT"/>
            </w:rPr>
            <w:t>2015 m. gruodžio 16 d.</w:t>
          </w:r>
          <w:r>
            <w:rPr>
              <w:lang w:eastAsia="ar-SA"/>
            </w:rPr>
            <w:t xml:space="preserve"> nutarimo Nr. </w:t>
          </w:r>
          <w:r>
            <w:rPr>
              <w:lang w:eastAsia="lt-LT"/>
            </w:rPr>
            <w:t>1296</w:t>
            <w:br/>
            <w:t>redakcija)</w:t>
          </w:r>
        </w:p>
        <w:p>
          <w:pPr>
            <w:tabs>
              <w:tab w:val="left" w:pos="-426"/>
            </w:tabs>
            <w:rPr>
              <w:lang w:eastAsia="lt-LT"/>
            </w:rPr>
          </w:pPr>
        </w:p>
        <w:p>
          <w:pPr>
            <w:tabs>
              <w:tab w:val="left" w:pos="6237"/>
            </w:tabs>
            <w:rPr>
              <w:color w:val="000000"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sdt>
            <w:sdtPr>
              <w:alias w:val="Pavadinimas"/>
              <w:tag w:val="title_56ff2f4927084884a2be3037d2d99843"/>
              <w:lock w:val="sdtLocked"/>
              <w:richText/>
            </w:sdtPr>
            <w:sdtContent>
              <w:r>
                <w:rPr>
                  <w:b/>
                  <w:caps/>
                  <w:lang w:eastAsia="lt-LT"/>
                </w:rPr>
                <w:t>tarptautinių oro uostų žemės nuomos mokesčio apskaičiavimo tvarkos ir dydžiŲ aprašas</w:t>
              </w:r>
            </w:sdtContent>
          </w:sdt>
        </w:p>
        <w:p>
          <w:pPr>
            <w:ind w:firstLine="60"/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ba4f523f2efd4a7a97e3b03558a3124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a4f523f2efd4a7a97e3b03558a3124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Tarptautinių oro uostų žemės nuomos mokesčio apskaičiavimo tvarkos ir dydžių aprašas nustato tarptautinių oro uostų žemės nuomos mokesčio (toliau – žemės nuomos mokestis) apskaičiavimo tvarką ir oro uosto žemės nuomos mokesčio dydžius.</w:t>
              </w:r>
            </w:p>
          </w:sdtContent>
        </w:sdt>
        <w:sdt>
          <w:sdtPr>
            <w:alias w:val="2 p."/>
            <w:tag w:val="part_74b9ea771536463da4358006ff583880"/>
            <w:lock w:val="sdtLocked"/>
            <w:richText/>
          </w:sdtPr>
          <w:sdtContent>
            <w:p>
              <w:pPr>
                <w:tabs>
                  <w:tab w:val="left" w:pos="709"/>
                  <w:tab w:val="left" w:pos="993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b9ea771536463da4358006ff58388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lang w:eastAsia="lt-LT"/>
                </w:rPr>
                <w:t>Tarptautinį oro uostą valdanti įmonė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bCs/>
                  <w:szCs w:val="24"/>
                  <w:lang w:eastAsia="lt-LT"/>
                </w:rPr>
                <w:t>valstybės institucija ar įstaiga</w:t>
              </w:r>
              <w:r>
                <w:rPr>
                  <w:lang w:eastAsia="lt-LT"/>
                </w:rPr>
                <w:t xml:space="preserve"> apskaičiuoja tarptautinio oro uosto žemės sklypo ar žemės sklypo dalies, numatomo (-os) išnuomoti aukciono būdu, pradinį metinį žemės nuomos mokestį, o numatomo (-os) išnuomoti ne aukciono būdu – metinį žemės nuomos mokestį pagal formulę</w:t>
              </w:r>
              <w:r>
                <w:rPr>
                  <w:szCs w:val="24"/>
                  <w:lang w:eastAsia="lt-LT"/>
                </w:rPr>
                <w:t>:</w:t>
              </w:r>
            </w:p>
            <w:p>
              <w:pPr>
                <w:tabs>
                  <w:tab w:val="left" w:pos="709"/>
                  <w:tab w:val="left" w:pos="993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 = K x S, kur:</w:t>
              </w:r>
            </w:p>
            <w:p>
              <w:pPr>
                <w:tabs>
                  <w:tab w:val="left" w:pos="0"/>
                  <w:tab w:val="left" w:pos="993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 – pradinis metinis žemės nuomos mokestis (nuomojant žemę aukciono būdu) arba metinis žemės nuomos mokestis (nuomojant žemę ne aukciono būdu), eurais;</w:t>
              </w:r>
            </w:p>
            <w:p>
              <w:pPr>
                <w:tabs>
                  <w:tab w:val="left" w:pos="709"/>
                  <w:tab w:val="left" w:pos="993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 – žemės nuomos mokesčio dydis, eurais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už kv. metrą;</w:t>
              </w:r>
            </w:p>
            <w:p>
              <w:pPr>
                <w:tabs>
                  <w:tab w:val="left" w:pos="709"/>
                  <w:tab w:val="left" w:pos="993"/>
                </w:tabs>
                <w:ind w:firstLine="720"/>
                <w:jc w:val="both"/>
              </w:pPr>
              <w:r>
                <w:rPr>
                  <w:szCs w:val="24"/>
                  <w:lang w:eastAsia="lt-LT"/>
                </w:rPr>
                <w:t>S – žemės sklypo ar žemės sklypo dalies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plotas, kv. metrais.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56d7c20222e11eabe008ea93139d5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1281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2019-12-11,
paskelbta TAR 2019-12-19, i. k. 2019-20560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e57efa040a111ec992fe4cdfceb566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914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2021-11-03,
paskelbta TAR 2021-11-08, i. k. 2021-23194            </w:t>
              </w:r>
            </w:p>
            <w:p/>
          </w:sdtContent>
        </w:sdt>
        <w:sdt>
          <w:sdtPr>
            <w:alias w:val="3 p."/>
            <w:tag w:val="part_87e839b5b308413fbb7e24a292fbb566"/>
            <w:lock w:val="sdtLocked"/>
            <w:richText/>
          </w:sdtPr>
          <w:sdtContent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7e839b5b308413fbb7e24a292fbb56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Išnuomojant tarptautinių oro uostų žemę, žemės nuomos mokesčio dydis K apskaičiuojamas taip: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K =  0,04344 x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>eu</w:t>
              </w:r>
              <w:r>
                <w:rPr>
                  <w:color w:val="000000"/>
                  <w:szCs w:val="24"/>
                  <w:lang w:eastAsia="lt-LT"/>
                </w:rPr>
                <w:t xml:space="preserve"> x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>sg</w:t>
              </w:r>
              <w:r>
                <w:rPr>
                  <w:color w:val="000000"/>
                  <w:szCs w:val="24"/>
                  <w:lang w:eastAsia="lt-LT"/>
                </w:rPr>
                <w:t xml:space="preserve"> x 1,6 x t x i, kur:</w:t>
              </w:r>
            </w:p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K</w:t>
              </w:r>
              <w:r>
                <w:rPr>
                  <w:color w:val="000000"/>
                  <w:vertAlign w:val="subscript"/>
                  <w:lang w:eastAsia="lt-LT"/>
                </w:rPr>
                <w:t>eu</w:t>
              </w:r>
              <w:r>
                <w:rPr>
                  <w:color w:val="000000"/>
                  <w:lang w:eastAsia="lt-LT"/>
                </w:rPr>
                <w:t> – bazinės žemės sklypo vertės suvestinis pataisos koeficientas sklypo padėčiai įvertinti kompleksiniu urbanistiniu ekologiniu požiūriu, apskaičiuojamas pagal formulę:</w:t>
              </w:r>
            </w:p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eu </w:t>
              </w:r>
              <w:r>
                <w:rPr>
                  <w:color w:val="000000"/>
                  <w:szCs w:val="24"/>
                  <w:lang w:eastAsia="lt-LT"/>
                </w:rPr>
                <w:t>=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f </w:t>
              </w:r>
              <w:r>
                <w:rPr>
                  <w:color w:val="000000"/>
                  <w:szCs w:val="24"/>
                  <w:lang w:eastAsia="lt-LT"/>
                </w:rPr>
                <w:t>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p </w:t>
              </w:r>
              <w:r>
                <w:rPr>
                  <w:color w:val="000000"/>
                  <w:szCs w:val="24"/>
                  <w:lang w:eastAsia="lt-LT"/>
                </w:rPr>
                <w:t>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r </w:t>
              </w:r>
              <w:r>
                <w:rPr>
                  <w:color w:val="000000"/>
                  <w:szCs w:val="24"/>
                  <w:lang w:eastAsia="lt-LT"/>
                </w:rPr>
                <w:t>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e </w:t>
              </w:r>
              <w:r>
                <w:rPr>
                  <w:color w:val="000000"/>
                  <w:szCs w:val="24"/>
                  <w:lang w:eastAsia="lt-LT"/>
                </w:rPr>
                <w:t>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g </w:t>
              </w:r>
              <w:r>
                <w:rPr>
                  <w:color w:val="000000"/>
                  <w:szCs w:val="24"/>
                  <w:lang w:eastAsia="lt-LT"/>
                </w:rPr>
                <w:t>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>v</w:t>
              </w:r>
              <w:r>
                <w:rPr>
                  <w:color w:val="000000"/>
                  <w:szCs w:val="24"/>
                  <w:lang w:eastAsia="lt-LT"/>
                </w:rPr>
                <w:t xml:space="preserve"> + 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 xml:space="preserve">k </w:t>
              </w:r>
              <w:r>
                <w:rPr>
                  <w:color w:val="000000"/>
                  <w:szCs w:val="24"/>
                  <w:lang w:eastAsia="lt-LT"/>
                </w:rPr>
                <w:t>– 4, kur:</w:t>
              </w:r>
            </w:p>
            <w:tbl>
              <w:tblPr>
                <w:tblW w:w="5000" w:type="pct"/>
                <w:tblLook w:val="01E0" w:firstRow="1" w:lastRow="1" w:firstColumn="1" w:lastColumn="1" w:noHBand="0" w:noVBand="0"/>
              </w:tblPr>
              <w:tblGrid>
                <w:gridCol w:w="3515"/>
                <w:gridCol w:w="273"/>
                <w:gridCol w:w="336"/>
                <w:gridCol w:w="1260"/>
                <w:gridCol w:w="1601"/>
                <w:gridCol w:w="1599"/>
                <w:gridCol w:w="1271"/>
              </w:tblGrid>
              <w:tr>
                <w:tc>
                  <w:tcPr>
                    <w:tcW w:w="1788" w:type="pct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644" w:type="pct"/>
                  </w:tcPr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tarptau-</w:t>
                    </w:r>
                  </w:p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tiniam Vilniaus oro uostui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tarptau-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tiniam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Kauno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uostui</w:t>
                    </w:r>
                  </w:p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816" w:type="pct"/>
                  </w:tcPr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tarptau-</w:t>
                    </w:r>
                  </w:p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tiniam Palangos </w:t>
                    </w:r>
                  </w:p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oro uostui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tarptau-tiniam Šiaulių kariniam oro uostui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teritorijos funkcinio patogumo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f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4,1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2,7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2,1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1,5;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teritorijos patrauklumo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p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1,6;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teritorijos prestižo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r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teritorijos urbanistinės taršos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1,1;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koeficientas galimiems grėsmės veiksniams įvertinti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g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2,6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2,6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2,6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1,1;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teritorijos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ekonominio vertingumo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v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15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1;</w:t>
                    </w:r>
                  </w:p>
                </w:tc>
              </w:tr>
              <w:tr>
                <w:tc>
                  <w:tcPr>
                    <w:tcW w:w="1788" w:type="pct"/>
                  </w:tcPr>
                  <w:p>
                    <w:pPr>
                      <w:ind w:left="-107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teritorijos patrauklumo ūkiniu komerciniu požiūriu koeficientas (K</w:t>
                    </w:r>
                    <w:r>
                      <w:rPr>
                        <w:color w:val="000000"/>
                        <w:szCs w:val="24"/>
                        <w:vertAlign w:val="subscript"/>
                        <w:lang w:eastAsia="lt-LT"/>
                      </w:rPr>
                      <w:t>k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–</w:t>
                    </w:r>
                  </w:p>
                </w:tc>
                <w:tc>
                  <w:tcPr>
                    <w:tcW w:w="644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817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816" w:type="pct"/>
                  </w:tcPr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650" w:type="pct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9;</w:t>
                    </w:r>
                  </w:p>
                </w:tc>
              </w:tr>
            </w:tbl>
            <w:p>
              <w:pPr>
                <w:ind w:firstLine="708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K</w:t>
              </w:r>
              <w:r>
                <w:rPr>
                  <w:color w:val="000000"/>
                  <w:szCs w:val="24"/>
                  <w:vertAlign w:val="subscript"/>
                  <w:lang w:eastAsia="lt-LT"/>
                </w:rPr>
                <w:t>sg</w:t>
              </w:r>
              <w:r>
                <w:rPr>
                  <w:color w:val="000000"/>
                  <w:szCs w:val="24"/>
                  <w:lang w:eastAsia="lt-LT"/>
                </w:rPr>
                <w:t xml:space="preserve"> – bazinės žemės sklypo vertės pataisos koeficientas teritorijos socialiniam gamybiniam </w:t>
              </w:r>
              <w:r>
                <w:rPr>
                  <w:szCs w:val="24"/>
                  <w:lang w:eastAsia="lt-LT"/>
                </w:rPr>
                <w:t>potencialui įvertinti:</w:t>
              </w:r>
            </w:p>
            <w:tbl>
              <w:tblPr>
                <w:tblW w:w="5000" w:type="pct"/>
                <w:tblLook w:val="01E0" w:firstRow="1" w:lastRow="1" w:firstColumn="1" w:lastColumn="1" w:noHBand="0" w:noVBand="0"/>
              </w:tblPr>
              <w:tblGrid>
                <w:gridCol w:w="5629"/>
                <w:gridCol w:w="4226"/>
              </w:tblGrid>
              <w:tr>
                <w:tc>
                  <w:tcPr>
                    <w:tcW w:w="2856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tarptautiniam Vilniaus oro uostui – 25;</w:t>
                    </w:r>
                  </w:p>
                </w:tc>
                <w:tc>
                  <w:tcPr>
                    <w:tcW w:w="2144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2856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tarptautiniam Kauno oro uostui – 20;</w:t>
                    </w:r>
                  </w:p>
                </w:tc>
                <w:tc>
                  <w:tcPr>
                    <w:tcW w:w="2144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2856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tarptautiniam Palangos oro uostui – 20;</w:t>
                    </w:r>
                  </w:p>
                </w:tc>
                <w:tc>
                  <w:tcPr>
                    <w:tcW w:w="2144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2856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tarptautiniam Šiaulių kariniam oro uostui – 17;</w:t>
                    </w:r>
                  </w:p>
                </w:tc>
                <w:tc>
                  <w:tcPr>
                    <w:tcW w:w="2144" w:type="pct"/>
                  </w:tcPr>
                  <w:p>
                    <w:pPr>
                      <w:ind w:firstLine="708"/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1,6 – žemės pabrangimo indeksas;</w:t>
              </w:r>
            </w:p>
            <w:p>
              <w:pPr>
                <w:ind w:firstLine="70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 – žemės nuomos mokesčio tarifas, metams nustatomas 4 procentų;</w:t>
              </w:r>
            </w:p>
            <w:p>
              <w:pPr>
                <w:ind w:firstLine="708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i – vidutinis metinis Valstybės duomenų agentūros skelbiamas pasibaigusių kalendorinių metų, palyginti su prieš juos ėjusiais kalendoriniais metais, vartotojų kainų pokytis, apskaičiuotas pagal vartotojų kainų indeksą (toliau – vidutinis metinis vartotojų kainų pokytis), bet ne mažesnis kaip 1 proc. ir ne didesnis kaip 10 proc. Jeigu vidutinis metinis vartotojų kainų pokytis yra neigiamas arba mažesnis kaip 1 proc., einamiesiems metams nustatomas 1 proc. pokytis.</w:t>
              </w:r>
              <w:r>
                <w:rPr>
                  <w:szCs w:val="24"/>
                  <w:lang w:eastAsia="lt-LT"/>
                </w:rPr>
                <w:t xml:space="preserve"> </w:t>
              </w:r>
            </w:p>
            <w:p>
              <w:pPr>
                <w:ind w:firstLine="708"/>
                <w:jc w:val="both"/>
                <w:rPr>
                  <w:color w:val="000000"/>
                  <w:lang w:eastAsia="lt-LT"/>
                </w:rPr>
              </w:pPr>
              <w:r>
                <w:rPr>
                  <w:szCs w:val="24"/>
                  <w:lang w:eastAsia="lt-LT"/>
                </w:rPr>
                <w:t>K</w:t>
              </w:r>
              <w:r>
                <w:rPr>
                  <w:szCs w:val="24"/>
                  <w:vertAlign w:val="subscript"/>
                  <w:lang w:eastAsia="lt-LT"/>
                </w:rPr>
                <w:t>f</w:t>
              </w:r>
              <w:r>
                <w:rPr>
                  <w:szCs w:val="24"/>
                  <w:lang w:eastAsia="lt-LT"/>
                </w:rPr>
                <w:t>, K</w:t>
              </w:r>
              <w:r>
                <w:rPr>
                  <w:szCs w:val="24"/>
                  <w:vertAlign w:val="subscript"/>
                  <w:lang w:eastAsia="lt-LT"/>
                </w:rPr>
                <w:t>p</w:t>
              </w:r>
              <w:r>
                <w:rPr>
                  <w:szCs w:val="24"/>
                  <w:lang w:eastAsia="lt-LT"/>
                </w:rPr>
                <w:t>, K</w:t>
              </w:r>
              <w:r>
                <w:rPr>
                  <w:szCs w:val="24"/>
                  <w:vertAlign w:val="subscript"/>
                  <w:lang w:eastAsia="lt-LT"/>
                </w:rPr>
                <w:t>r</w:t>
              </w:r>
              <w:r>
                <w:rPr>
                  <w:szCs w:val="24"/>
                  <w:lang w:eastAsia="lt-LT"/>
                </w:rPr>
                <w:t>, K</w:t>
              </w:r>
              <w:r>
                <w:rPr>
                  <w:szCs w:val="24"/>
                  <w:vertAlign w:val="subscript"/>
                  <w:lang w:eastAsia="lt-LT"/>
                </w:rPr>
                <w:t>e</w:t>
              </w:r>
              <w:r>
                <w:rPr>
                  <w:szCs w:val="24"/>
                  <w:lang w:eastAsia="lt-LT"/>
                </w:rPr>
                <w:t>, K</w:t>
              </w:r>
              <w:r>
                <w:rPr>
                  <w:szCs w:val="24"/>
                  <w:vertAlign w:val="subscript"/>
                  <w:lang w:eastAsia="lt-LT"/>
                </w:rPr>
                <w:t>g</w:t>
              </w:r>
              <w:r>
                <w:rPr>
                  <w:szCs w:val="24"/>
                  <w:lang w:eastAsia="lt-LT"/>
                </w:rPr>
                <w:t>, K</w:t>
              </w:r>
              <w:r>
                <w:rPr>
                  <w:szCs w:val="24"/>
                  <w:vertAlign w:val="subscript"/>
                  <w:lang w:eastAsia="lt-LT"/>
                </w:rPr>
                <w:t>k</w:t>
              </w:r>
              <w:r>
                <w:rPr>
                  <w:szCs w:val="24"/>
                  <w:lang w:eastAsia="lt-LT"/>
                </w:rPr>
                <w:t xml:space="preserve"> – pataisos koeficientai sklypo padėčiai įvertinti kompleksiniu urbanistiniu </w:t>
              </w:r>
              <w:r>
                <w:rPr>
                  <w:lang w:eastAsia="lt-LT"/>
                </w:rPr>
                <w:t>ekologiniu</w:t>
              </w:r>
              <w:r>
                <w:rPr>
                  <w:szCs w:val="24"/>
                  <w:lang w:eastAsia="lt-LT"/>
                </w:rPr>
                <w:t xml:space="preserve"> požiūriu, apskaičiuoti pagal </w:t>
              </w:r>
              <w:r>
                <w:rPr>
                  <w:lang w:eastAsia="lt-LT"/>
                </w:rPr>
                <w:t>Žemės įvertinimo metodiką, patvirtintą Lietuvos Respublikos Vyriausybės 1999 m. vasario 24 d. nutarimu Nr. 205 „Dėl žemės įvertinimo tvarkos“</w:t>
              </w:r>
              <w:r>
                <w:rPr>
                  <w:szCs w:val="24"/>
                  <w:lang w:eastAsia="lt-LT"/>
                </w:rPr>
                <w:t>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d1b81c09fd111eea5a28c81c82193a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981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2023-12-20,
paskelbta TAR 2023-12-21, i. k. 2023-24834            </w:t>
              </w:r>
            </w:p>
            <w:p/>
          </w:sdtContent>
        </w:sdt>
        <w:sdt>
          <w:sdtPr>
            <w:alias w:val="pabaiga"/>
            <w:tag w:val="part_9d24bd87096543a6b941b0239f6a00b4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8d5fee0a4be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1296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2015-12-16,
paskelbta TAR 2015-12-17, i. k. 2015-19908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2E7360F0DAE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882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2008-09-03,
Žin., 2008, Nr.
107-4087 (2008-09-18), i. k. 1081100NUTA00000882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1999 m. vasario 24 d. nutarimo Nr. 205 "Dėl žemės įvertinimo tvarkos" ir kai kurių su juo susijusių Lietuvos Respublikos Vyriausybės nutarimų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fc2b7602ea311e4a83cb4f588d2ac1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808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2014-08-27,
paskelbta TAR 2014-08-28, i. k. 2014-11361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spalio 31 d. nutarimo Nr. 1088 „Dėl Tarptautinių oro uostų žemės nuomos mokesčio apskaičiavimo tvarkos aprašo ir dydžių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8d5fee0a4be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1296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2015-12-16,
paskelbta TAR 2015-12-17, i. k. 2015-19908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spalio 31 d. nutarimo Nr. 1088 „Dėl Tarptautinių oro uostų žemės nuomos mokesčio apskaičiavimo tvarkos aprašo ir dydžių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56d7c20222e11eabe008ea93139d5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1281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2019-12-11,
paskelbta TAR 2019-12-19, i. k. 2019-20560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spalio 31 d. nutarimo Nr. 1088 „Dėl Tarptautinių oro uostų žemės nuomos mokesčio apskaičiavimo tvarkos ir dydžių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57efa040a111ec992fe4cdfceb56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914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2021-11-03,
paskelbta TAR 2021-11-08, i. k. 2021-23194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spalio 31 d. nutarimo Nr. 1088 „Dėl Tarptautinių oro uostų žemės nuomos mokesčio apskaičiavimo tvarkos ir dydžių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d1b81c09fd1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981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2023-12-20,
paskelbta TAR 2023-12-21, i. k. 2023-24834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spalio 31 d. nutarimo Nr. 1088 „Dėl Tarptautinių oro uostų žemės nuomos mokesčio apskaičiavimo tvarkos ir dydžių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7" w:h="1683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3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3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3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D051A"/>
  <w15:docId w15:val="{267630BC-3096-4AB7-99AF-8388FD35EDC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1659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footer" Target="footer7.xml"/>
  <Relationship Id="rId11" Type="http://schemas.openxmlformats.org/officeDocument/2006/relationships/footer" Target="footer8.xml"/>
  <Relationship Id="rId12" Type="http://schemas.openxmlformats.org/officeDocument/2006/relationships/header" Target="header9.xml"/>
  <Relationship Id="rId13" Type="http://schemas.openxmlformats.org/officeDocument/2006/relationships/footer" Target="footer9.xml"/>
  <Relationship Id="rId14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header" Target="header7.xml"/>
  <Relationship Id="rId9" Type="http://schemas.openxmlformats.org/officeDocument/2006/relationships/header" Target="header8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918049bdd7446e5b4f6a0ecb1fdf7ec" PartId="dbff6716e6724902bc2e8ce64f65ccd3">
    <Part Type="preambule" DocPartId="495156e7e0634b9eb7ae427173ac1d8a" PartId="1ff4ee493b1540da8a8c64af3ca61489"/>
    <Part Type="pastraipa" DocPartId="bf5fe16f4a364337b95022022319c63e" PartId="882cfade257b4d6fa12e910150990c5c"/>
    <Part Type="signatura" DocPartId="085ce2b02819493d816e731f99051735" PartId="d9bec2cd1b1e43fd9e501cc2f123946f"/>
  </Part>
  <Part Type="patvirtinta" Title="TARPTAUTINIŲ ORO UOSTŲ ŽEMĖS NUOMOS MOKESČIO APSKAIČIAVIMO TVARKOS IR DYDŽIŲ APRAŠAS" DocPartId="ebdd89ea130b4b488ee6c1c47f2400c6" PartId="56ff2f4927084884a2be3037d2d99843">
    <Part Type="punktas" Nr="1" Abbr="1 p." DocPartId="bf333cad5af5409fa91d67476ae2325a" PartId="ba4f523f2efd4a7a97e3b03558a31241"/>
    <Part Type="punktas" Nr="2" Abbr="2 p." DocPartId="2d9d04e9cf2e44ccbe5ec56b352c0ed2" PartId="74b9ea771536463da4358006ff583880"/>
    <Part Type="punktas" Nr="3" Abbr="3 p." DocPartId="2df7958e66dd499f81983bd9523f0e4b" PartId="87e839b5b308413fbb7e24a292fbb566"/>
    <Part Type="pabaiga" DocPartId="d3cf17bdf80f48288020d805976909b4" PartId="9d24bd87096543a6b941b0239f6a00b4"/>
  </Part>
</Parts>
</file>

<file path=customXml/itemProps1.xml><?xml version="1.0" encoding="utf-8"?>
<ds:datastoreItem xmlns:ds="http://schemas.openxmlformats.org/officeDocument/2006/customXml" ds:itemID="{35B38A74-1266-4C20-A5E7-F64EFDE66D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45</TotalTime>
  <Pages>3</Pages>
  <Words>3324</Words>
  <Characters>1895</Characters>
  <Application>Microsoft Office Word</Application>
  <DocSecurity>0</DocSecurity>
  <Lines>15</Lines>
  <Paragraphs>10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5209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2014-09-02T10:54:00Z</dcterms:created>
  <dc:creator>User</dc:creator>
  <lastModifiedBy>TRAPINSKIENĖ Aušrinė</lastModifiedBy>
  <dcterms:modified xsi:type="dcterms:W3CDTF">2023-12-23T08:49:00Z</dcterms:modified>
  <revision>11</revision>
</coreProperties>
</file>