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67407956e61441e8c93d17c682b46d2"/>
        <w:lock w:val="sdtLocked"/>
        <w:richText/>
      </w:sdtPr>
      <w:sdtContent>
        <w:p>
          <w:pPr>
            <w:jc w:val="both"/>
            <w:rPr>
              <w:rFonts w:ascii="Times New Roman" w:hAnsi="Times New Roman"/>
            </w:rPr>
          </w:pPr>
          <w:r>
            <w:rPr>
              <w:rFonts w:ascii="Times New Roman" w:hAnsi="Times New Roman"/>
              <w:b/>
              <w:i/>
            </w:rPr>
            <w:t>Suvestinė redakcija nuo 2025-07-16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1D938BBC44F1">
            <w:r w:rsidRPr="00532B9F">
              <w:rPr>
                <w:rFonts w:ascii="Times New Roman" w:eastAsia="MS Mincho" w:hAnsi="Times New Roman"/>
                <w:sz w:val="20"/>
                <w:i/>
                <w:iCs/>
                <w:color w:val="0000FF" w:themeColor="hyperlink"/>
                <w:u w:val="single"/>
              </w:rPr>
              <w:t>68-2517</w:t>
            </w:r>
          </w:fldSimple>
          <w:r>
            <w:rPr>
              <w:rFonts w:ascii="Times New Roman" w:eastAsia="MS Mincho" w:hAnsi="Times New Roman"/>
              <w:sz w:val="20"/>
              <w:i/>
              <w:iCs/>
            </w:rPr>
            <w:t>, i. k. 1062310ISAK001V-218</w:t>
          </w:r>
        </w:p>
        <w:p>
          <w:pPr>
            <w:jc w:val="both"/>
            <w:rPr>
              <w:rFonts w:ascii="Times New Roman" w:hAnsi="Times New Roman"/>
              <w:sz w:val="20"/>
            </w:rPr>
          </w:pPr>
        </w:p>
        <w:p>
          <w:pPr>
            <w:tabs>
              <w:tab w:val="center" w:pos="4153"/>
              <w:tab w:val="right" w:pos="8306"/>
            </w:tabs>
            <w:rPr>
              <w:lang w:val="en-GB"/>
            </w:rPr>
          </w:pPr>
          <w:r>
            <w:t xml:space="preserve"> </w:t>
          </w:r>
        </w:p>
        <w:p>
          <w:pPr>
            <w:jc w:val="center"/>
            <w:rPr>
              <w:b/>
              <w:lang w:eastAsia="lt-LT"/>
            </w:rPr>
          </w:pPr>
          <w:r>
            <w:rPr>
              <w:b/>
              <w:lang w:eastAsia="lt-LT"/>
            </w:rPr>
            <w:t>LIETUVOS RESPUBLIKOS VIDAUS REIKALŲ MINISTRAS</w:t>
          </w:r>
        </w:p>
        <w:p>
          <w:pPr>
            <w:jc w:val="center"/>
          </w:pPr>
        </w:p>
        <w:p>
          <w:pPr>
            <w:jc w:val="center"/>
            <w:rPr>
              <w:b/>
            </w:rPr>
          </w:pPr>
          <w:r>
            <w:rPr>
              <w:b/>
            </w:rPr>
            <w:t>Į S A K Y M A S</w:t>
          </w:r>
        </w:p>
        <w:sdt>
          <w:sdtPr>
            <w:alias w:val="Pavadinimas"/>
            <w:tag w:val="title_b67407956e61441e8c93d17c682b46d2"/>
            <w:lock w:val="sdtLocked"/>
            <w:richText/>
          </w:sdtPr>
          <w:sdtContent>
            <w:p>
              <w:pPr>
                <w:jc w:val="center"/>
                <w:rPr>
                  <w:b/>
                </w:rPr>
              </w:pPr>
              <w:r>
                <w:rPr>
                  <w:b/>
                </w:rPr>
                <w:t xml:space="preserve">DĖL VALSTYBINĖMS (VALSTYBĖS PERDUOTOMS SAVIVALDYBĖMS) FUNKCIJOMS ATLIKTI LĖŠŲ APSKAIČIAVIMO METODIKOS PATVIRTINIMO </w:t>
              </w:r>
            </w:p>
          </w:sdtContent>
        </w:sdt>
        <w:p>
          <w:pPr>
            <w:jc w:val="center"/>
          </w:pPr>
        </w:p>
        <w:p>
          <w:pPr>
            <w:jc w:val="center"/>
          </w:pPr>
          <w:r>
            <w:t>2006 m. birželio 9 d. Nr. 1V-218</w:t>
          </w:r>
        </w:p>
        <w:p>
          <w:pPr>
            <w:tabs>
              <w:tab w:val="center" w:pos="4960"/>
              <w:tab w:val="left" w:pos="6067"/>
            </w:tabs>
            <w:jc w:val="center"/>
          </w:pPr>
          <w:r>
            <w:t>Vilnius</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B4F53E685">
            <w:r w:rsidRPr="00532B9F">
              <w:rPr>
                <w:rFonts w:ascii="Times New Roman" w:eastAsia="MS Mincho" w:hAnsi="Times New Roman"/>
                <w:sz w:val="20"/>
                <w:i/>
                <w:iCs/>
                <w:color w:val="0000FF" w:themeColor="hyperlink"/>
                <w:u w:val="single"/>
              </w:rPr>
              <w:t>1V-759</w:t>
            </w:r>
          </w:fldSimple>
          <w:r>
            <w:rPr>
              <w:rFonts w:ascii="Times New Roman" w:eastAsia="MS Mincho" w:hAnsi="Times New Roman"/>
              <w:sz w:val="20"/>
              <w:i/>
              <w:iCs/>
            </w:rPr>
            <w:t>,
2013-09-09,
Žin., 2013, Nr.
97-4836 (2013-09-14), i. k. 1132310ISAK001V-759        </w:t>
          </w:r>
        </w:p>
        <w:p/>
        <w:sdt>
          <w:sdtPr>
            <w:alias w:val="preambule"/>
            <w:tag w:val="part_55d5d22a608c40a68eef400cb178ce1a"/>
            <w:lock w:val="sdtLocked"/>
            <w:richText/>
          </w:sdtPr>
          <w:sdtContent>
            <w:p>
              <w:pPr>
                <w:spacing w:line="360" w:lineRule="auto"/>
                <w:ind w:firstLine="709"/>
                <w:jc w:val="both"/>
              </w:pPr>
              <w:r>
                <w:rPr>
                  <w:color w:val="000000"/>
                  <w:szCs w:val="24"/>
                </w:rPr>
                <w:t>Vadovaudamasis Lietuvos Respublikos valstybės biudžeto ir savivaldybių biudžetų sudarymo ir vykdymo taisyklių, patvirtintų Lietuvos Respublikos Vyriausybės 2001 m. gegužės 14 d. nutarimu Nr. 543 „Dėl Lietuvos Respublikos valstybės biudžeto ir savivaldybių biudžetų sudarymo ir vykdymo taisyklių patvirtinimo“, 4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7d6720384511ee9de9e7e0fd363afc">
                <w:r w:rsidRPr="00532B9F">
                  <w:rPr>
                    <w:rFonts w:ascii="Times New Roman" w:eastAsia="MS Mincho" w:hAnsi="Times New Roman"/>
                    <w:sz w:val="20"/>
                    <w:i/>
                    <w:iCs/>
                    <w:color w:val="0000FF" w:themeColor="hyperlink"/>
                    <w:u w:val="single"/>
                  </w:rPr>
                  <w:t>1V-527</w:t>
                </w:r>
              </w:fldSimple>
              <w:r>
                <w:rPr>
                  <w:rFonts w:ascii="Times New Roman" w:eastAsia="MS Mincho" w:hAnsi="Times New Roman"/>
                  <w:sz w:val="20"/>
                  <w:i/>
                  <w:iCs/>
                </w:rPr>
                <w:t>,
2023-08-11,
paskelbta TAR 2023-08-11, i. k. 2023-16181            </w:t>
              </w:r>
            </w:p>
            <w:p/>
          </w:sdtContent>
        </w:sdt>
        <w:sdt>
          <w:sdtPr>
            <w:alias w:val="pastraipa"/>
            <w:tag w:val="part_cc14e74733e0451c97d9d33ffd48bfc1"/>
            <w:lock w:val="sdtLocked"/>
            <w:richText/>
          </w:sdtPr>
          <w:sdtContent>
            <w:p>
              <w:pPr>
                <w:widowControl w:val="0"/>
                <w:shd w:val="clear" w:color="auto" w:fill="FFFFFF"/>
                <w:spacing w:line="360" w:lineRule="auto"/>
                <w:ind w:firstLine="709"/>
                <w:jc w:val="both"/>
              </w:pPr>
              <w:r>
                <w:rPr>
                  <w:spacing w:val="60"/>
                </w:rPr>
                <w:t>tvirtinu</w:t>
              </w:r>
              <w:r>
                <w:t xml:space="preserve"> Valstybinėms (perduotoms savivaldybėms) funkcijoms atlikti lėšų apskaičiavimo metodiką (pridedama).</w:t>
              </w:r>
            </w:p>
          </w:sdtContent>
        </w:sdt>
        <w:sdt>
          <w:sdtPr>
            <w:alias w:val="signatura"/>
            <w:tag w:val="part_fad1a127a59d4acc917eb0312e5d1401"/>
            <w:lock w:val="sdtLocked"/>
            <w:richText/>
          </w:sdtPr>
          <w:sdtContent>
            <w:p>
              <w:pPr>
                <w:tabs>
                  <w:tab w:val="right" w:pos="9639"/>
                </w:tabs>
                <w:spacing w:line="360" w:lineRule="auto"/>
              </w:pPr>
            </w:p>
            <w:p>
              <w:pPr>
                <w:tabs>
                  <w:tab w:val="right" w:pos="9639"/>
                </w:tabs>
                <w:spacing w:line="360" w:lineRule="auto"/>
              </w:pPr>
            </w:p>
            <w:p>
              <w:pPr>
                <w:tabs>
                  <w:tab w:val="right" w:pos="9639"/>
                </w:tabs>
                <w:spacing w:line="360" w:lineRule="auto"/>
              </w:pPr>
            </w:p>
            <w:p>
              <w:pPr>
                <w:tabs>
                  <w:tab w:val="right" w:pos="9639"/>
                </w:tabs>
                <w:spacing w:line="360" w:lineRule="auto"/>
              </w:pPr>
              <w:r>
                <w:t>L. e. vidaus reikalų ministro pareigas</w:t>
                <w:tab/>
                <w:t>Gintaras Furmanavičius</w:t>
              </w:r>
            </w:p>
          </w:sdtContent>
        </w:sdt>
      </w:sdtContent>
    </w:sdt>
    <w:sdt>
      <w:sdtPr>
        <w:alias w:val="patvirtinta"/>
        <w:tag w:val="part_9496a43942304e70a3ff938f64d8d879"/>
        <w:lock w:val="sdtLocked"/>
        <w:richText/>
      </w:sdtPr>
      <w:sdtContent>
        <w:p>
          <w:pPr>
            <w:tabs>
              <w:tab w:val="center" w:pos="4677"/>
              <w:tab w:val="right" w:pos="9355"/>
            </w:tabs>
            <w:spacing w:line="360" w:lineRule="auto"/>
            <w:jc w:val="both"/>
            <w:rPr>
              <w:szCs w:val="24"/>
            </w:rPr>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851" w:left="1418" w:header="709" w:footer="709" w:gutter="0"/>
              <w:pgNumType w:start="1"/>
              <w:cols w:space="708"/>
              <w:titlePg/>
              <w:docGrid w:linePitch="360"/>
            </w:sectPr>
          </w:pPr>
        </w:p>
        <w:p>
          <w:pPr>
            <w:tabs>
              <w:tab w:val="left" w:pos="1304"/>
              <w:tab w:val="left" w:pos="1457"/>
              <w:tab w:val="left" w:pos="1604"/>
              <w:tab w:val="left" w:pos="1757"/>
            </w:tabs>
            <w:spacing w:line="360" w:lineRule="auto"/>
            <w:ind w:left="5040"/>
            <w:jc w:val="both"/>
            <w:rPr>
              <w:b/>
              <w:bCs/>
              <w:szCs w:val="24"/>
            </w:rPr>
          </w:pPr>
          <w:r>
            <w:rPr>
              <w:szCs w:val="24"/>
            </w:rPr>
            <w:t>PATVIRTINTA</w:t>
          </w:r>
        </w:p>
        <w:p>
          <w:pPr>
            <w:tabs>
              <w:tab w:val="left" w:pos="1304"/>
              <w:tab w:val="left" w:pos="1457"/>
              <w:tab w:val="left" w:pos="1604"/>
              <w:tab w:val="left" w:pos="1757"/>
            </w:tabs>
            <w:spacing w:line="360" w:lineRule="auto"/>
            <w:ind w:left="5040"/>
            <w:jc w:val="both"/>
            <w:rPr>
              <w:szCs w:val="24"/>
            </w:rPr>
          </w:pPr>
          <w:r>
            <w:rPr>
              <w:szCs w:val="24"/>
            </w:rPr>
            <w:t>Lietuvos Respublikos vidaus reikalų</w:t>
          </w:r>
        </w:p>
        <w:p>
          <w:pPr>
            <w:tabs>
              <w:tab w:val="left" w:pos="1304"/>
              <w:tab w:val="left" w:pos="1457"/>
              <w:tab w:val="left" w:pos="1604"/>
              <w:tab w:val="left" w:pos="1757"/>
            </w:tabs>
            <w:spacing w:line="360" w:lineRule="auto"/>
            <w:ind w:left="5040"/>
            <w:jc w:val="both"/>
            <w:rPr>
              <w:szCs w:val="24"/>
            </w:rPr>
          </w:pPr>
          <w:r>
            <w:rPr>
              <w:szCs w:val="24"/>
            </w:rPr>
            <w:t xml:space="preserve">ministro </w:t>
          </w:r>
          <w:smartTag w:uri="schemas-tilde-lv/tildestengine" w:element="metric">
            <w:smartTagPr>
              <w:attr w:name="metric_value" w:val="2006"/>
              <w:attr w:name="metric_text" w:val="m"/>
            </w:smartTagPr>
            <w:r>
              <w:rPr>
                <w:szCs w:val="24"/>
              </w:rPr>
              <w:t>2006 m</w:t>
            </w:r>
          </w:smartTag>
          <w:r>
            <w:rPr>
              <w:szCs w:val="24"/>
            </w:rPr>
            <w:t xml:space="preserve">. birželio 9 d. įsakymu </w:t>
          </w:r>
        </w:p>
        <w:p>
          <w:pPr>
            <w:tabs>
              <w:tab w:val="left" w:pos="1304"/>
              <w:tab w:val="left" w:pos="1457"/>
              <w:tab w:val="left" w:pos="1604"/>
              <w:tab w:val="left" w:pos="1757"/>
            </w:tabs>
            <w:spacing w:line="360" w:lineRule="auto"/>
            <w:ind w:left="5040"/>
            <w:jc w:val="both"/>
            <w:rPr>
              <w:szCs w:val="24"/>
            </w:rPr>
          </w:pPr>
          <w:r>
            <w:rPr>
              <w:szCs w:val="24"/>
            </w:rPr>
            <w:t>Nr. 1V-218 (Lietuvos Respublikos vidaus</w:t>
          </w:r>
        </w:p>
        <w:p>
          <w:pPr>
            <w:tabs>
              <w:tab w:val="left" w:pos="1304"/>
              <w:tab w:val="left" w:pos="1457"/>
              <w:tab w:val="left" w:pos="1604"/>
              <w:tab w:val="left" w:pos="1757"/>
            </w:tabs>
            <w:spacing w:line="360" w:lineRule="auto"/>
            <w:ind w:left="5040"/>
            <w:jc w:val="both"/>
            <w:rPr>
              <w:szCs w:val="24"/>
            </w:rPr>
          </w:pPr>
          <w:r>
            <w:rPr>
              <w:szCs w:val="24"/>
            </w:rPr>
            <w:t>reikalų ministro 2019 m. kovo 20 d.</w:t>
          </w:r>
        </w:p>
        <w:p>
          <w:pPr>
            <w:tabs>
              <w:tab w:val="left" w:pos="1304"/>
              <w:tab w:val="left" w:pos="1457"/>
              <w:tab w:val="left" w:pos="1604"/>
              <w:tab w:val="left" w:pos="1757"/>
            </w:tabs>
            <w:spacing w:line="360" w:lineRule="auto"/>
            <w:ind w:left="5040"/>
            <w:jc w:val="both"/>
            <w:rPr>
              <w:szCs w:val="24"/>
            </w:rPr>
          </w:pPr>
          <w:r>
            <w:rPr>
              <w:szCs w:val="24"/>
            </w:rPr>
            <w:t>įsakymo Nr. 1V-275 redakcija)</w:t>
          </w:r>
        </w:p>
        <w:p>
          <w:pPr>
            <w:spacing w:line="360" w:lineRule="auto"/>
            <w:ind w:firstLine="312"/>
            <w:jc w:val="both"/>
            <w:rPr>
              <w:szCs w:val="24"/>
            </w:rPr>
          </w:pPr>
        </w:p>
        <w:p>
          <w:pPr>
            <w:spacing w:line="360" w:lineRule="auto"/>
            <w:jc w:val="center"/>
            <w:rPr>
              <w:b/>
              <w:bCs/>
              <w:caps/>
              <w:szCs w:val="24"/>
            </w:rPr>
          </w:pPr>
        </w:p>
        <w:p>
          <w:pPr>
            <w:spacing w:line="360" w:lineRule="auto"/>
            <w:jc w:val="center"/>
            <w:rPr>
              <w:b/>
              <w:bCs/>
              <w:caps/>
              <w:szCs w:val="24"/>
            </w:rPr>
          </w:pPr>
          <w:r>
            <w:rPr>
              <w:b/>
              <w:bCs/>
              <w:caps/>
              <w:szCs w:val="24"/>
            </w:rPr>
            <w:t>VALSTYBINĖMS (VALSTYBĖS PERDUOTOMS SAVIVALDYBĖMS) FUNKCIJOMS</w:t>
          </w:r>
        </w:p>
        <w:p>
          <w:pPr>
            <w:spacing w:line="360" w:lineRule="auto"/>
            <w:jc w:val="center"/>
            <w:rPr>
              <w:b/>
              <w:bCs/>
              <w:caps/>
              <w:szCs w:val="24"/>
            </w:rPr>
          </w:pPr>
          <w:r>
            <w:rPr>
              <w:b/>
              <w:bCs/>
              <w:caps/>
              <w:szCs w:val="24"/>
            </w:rPr>
            <w:t>ATLIKTI LĖŠŲ APSKAIČIAVIMO METODIKA</w:t>
          </w:r>
        </w:p>
        <w:p>
          <w:pPr>
            <w:spacing w:line="360" w:lineRule="auto"/>
            <w:rPr>
              <w:b/>
              <w:bCs/>
              <w:caps/>
              <w:szCs w:val="24"/>
            </w:rPr>
          </w:pPr>
        </w:p>
        <w:p>
          <w:pPr>
            <w:spacing w:line="360" w:lineRule="auto"/>
            <w:rPr>
              <w:b/>
              <w:bCs/>
              <w:caps/>
              <w:szCs w:val="24"/>
            </w:rPr>
          </w:pPr>
        </w:p>
        <w:sdt>
          <w:sdtPr>
            <w:alias w:val="skyrius"/>
            <w:tag w:val="part_e33231cd50f64ff49cc5431608e312a9"/>
            <w:lock w:val="sdtLocked"/>
            <w:richText/>
          </w:sdtPr>
          <w:sdtContent>
            <w:p>
              <w:pPr>
                <w:spacing w:line="360" w:lineRule="auto"/>
                <w:jc w:val="center"/>
                <w:rPr>
                  <w:b/>
                  <w:bCs/>
                  <w:caps/>
                  <w:szCs w:val="24"/>
                </w:rPr>
              </w:pPr>
              <w:sdt>
                <w:sdtPr>
                  <w:alias w:val="Numeris"/>
                  <w:tag w:val="nr_e33231cd50f64ff49cc5431608e312a9"/>
                  <w:lock w:val="sdtLocked"/>
                  <w:richText/>
                </w:sdtPr>
                <w:sdtContent>
                  <w:r>
                    <w:rPr>
                      <w:b/>
                      <w:bCs/>
                      <w:caps/>
                      <w:szCs w:val="24"/>
                    </w:rPr>
                    <w:t>I</w:t>
                  </w:r>
                </w:sdtContent>
              </w:sdt>
              <w:r>
                <w:rPr>
                  <w:b/>
                  <w:bCs/>
                  <w:caps/>
                  <w:szCs w:val="24"/>
                </w:rPr>
                <w:t xml:space="preserve"> SKYRIUS</w:t>
              </w:r>
            </w:p>
            <w:p>
              <w:pPr>
                <w:spacing w:line="360" w:lineRule="auto"/>
                <w:jc w:val="center"/>
                <w:rPr>
                  <w:b/>
                  <w:bCs/>
                  <w:caps/>
                  <w:szCs w:val="24"/>
                </w:rPr>
              </w:pPr>
              <w:sdt>
                <w:sdtPr>
                  <w:alias w:val="Pavadinimas"/>
                  <w:tag w:val="title_e33231cd50f64ff49cc5431608e312a9"/>
                  <w:lock w:val="sdtLocked"/>
                  <w:richText/>
                </w:sdtPr>
                <w:sdtContent>
                  <w:r>
                    <w:rPr>
                      <w:b/>
                      <w:bCs/>
                      <w:caps/>
                      <w:szCs w:val="24"/>
                    </w:rPr>
                    <w:t>BENDROSIOS NUOSTATOS</w:t>
                  </w:r>
                </w:sdtContent>
              </w:sdt>
            </w:p>
            <w:p>
              <w:pPr>
                <w:spacing w:line="360" w:lineRule="auto"/>
                <w:ind w:left="1080"/>
                <w:jc w:val="both"/>
                <w:rPr>
                  <w:szCs w:val="24"/>
                </w:rPr>
              </w:pPr>
            </w:p>
            <w:sdt>
              <w:sdtPr>
                <w:alias w:val="1 p."/>
                <w:tag w:val="part_a7720b5f196548509adda740ab40f56a"/>
                <w:lock w:val="sdtLocked"/>
                <w:richText/>
              </w:sdtPr>
              <w:sdtContent>
                <w:p>
                  <w:pPr>
                    <w:tabs>
                      <w:tab w:val="left" w:pos="1276"/>
                    </w:tabs>
                    <w:spacing w:line="360" w:lineRule="auto"/>
                    <w:ind w:firstLine="709"/>
                    <w:jc w:val="both"/>
                    <w:rPr>
                      <w:strike/>
                      <w:szCs w:val="24"/>
                    </w:rPr>
                  </w:pPr>
                  <w:sdt>
                    <w:sdtPr>
                      <w:alias w:val="Numeris"/>
                      <w:tag w:val="nr_a7720b5f196548509adda740ab40f56a"/>
                      <w:lock w:val="sdtLocked"/>
                      <w:richText/>
                    </w:sdtPr>
                    <w:sdtContent>
                      <w:r>
                        <w:rPr>
                          <w:color w:val="000000"/>
                          <w:szCs w:val="24"/>
                        </w:rPr>
                        <w:t>1</w:t>
                      </w:r>
                    </w:sdtContent>
                  </w:sdt>
                  <w:r>
                    <w:rPr>
                      <w:color w:val="000000"/>
                      <w:szCs w:val="24"/>
                    </w:rPr>
                    <w:t>. Valstybinėms (valstybės perduotoms savivaldybėms) funkcijoms atlikti lėšų apskaičiavimo metodikoje (toliau – Metodika) nustatyta Lietuvos Respublikos valstybės biudžeto lėšų (toliau – biudžeto lėšos) poreikio valstybinėms (valstybės perduotoms savivaldybėms) funkcijoms atlikti apskaičiavimo tvarka. Biudžeto lėšų poreikis valstybinei (valstybės perduotai savivaldybėms) civilinės saugos funkcijai atlikti apskaičiuojamas Parengties pareigūnų funkcijoms ir valstybinei (valstybės perduotai savivaldybėms) civilinės saugos funkcijai atlikti reikalingų valstybės biudžeto lėšų poreikio nustatymo tvarkos aprašo, patvirtinto Lietuvos Respublikos Vyriausybės 2022 m. gruodžio 29 d. nutarimu Nr. 1317 „Dėl Lietuvos Respublikos krizių valdymo ir civilinės saugos įstatymo įgyvendinimo“,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7d6720384511ee9de9e7e0fd363afc">
                    <w:r w:rsidRPr="00532B9F">
                      <w:rPr>
                        <w:rFonts w:ascii="Times New Roman" w:eastAsia="MS Mincho" w:hAnsi="Times New Roman"/>
                        <w:sz w:val="20"/>
                        <w:i/>
                        <w:iCs/>
                        <w:color w:val="0000FF" w:themeColor="hyperlink"/>
                        <w:u w:val="single"/>
                      </w:rPr>
                      <w:t>1V-527</w:t>
                    </w:r>
                  </w:fldSimple>
                  <w:r>
                    <w:rPr>
                      <w:rFonts w:ascii="Times New Roman" w:eastAsia="MS Mincho" w:hAnsi="Times New Roman"/>
                      <w:sz w:val="20"/>
                      <w:i/>
                      <w:iCs/>
                    </w:rPr>
                    <w:t>,
2023-08-11,
paskelbta TAR 2023-08-11, i. k. 2023-16181            </w:t>
                  </w:r>
                </w:p>
                <w:p/>
              </w:sdtContent>
            </w:sdt>
            <w:sdt>
              <w:sdtPr>
                <w:alias w:val="2 p."/>
                <w:tag w:val="part_915e5bfbb62e447c9f29ea924fa4de97"/>
                <w:lock w:val="sdtLocked"/>
                <w:richText/>
              </w:sdtPr>
              <w:sdtContent>
                <w:p>
                  <w:pPr>
                    <w:spacing w:line="360" w:lineRule="auto"/>
                    <w:ind w:firstLine="720"/>
                    <w:jc w:val="both"/>
                    <w:rPr>
                      <w:szCs w:val="24"/>
                    </w:rPr>
                  </w:pPr>
                  <w:sdt>
                    <w:sdtPr>
                      <w:alias w:val="Numeris"/>
                      <w:tag w:val="nr_915e5bfbb62e447c9f29ea924fa4de97"/>
                      <w:lock w:val="sdtLocked"/>
                      <w:richText/>
                    </w:sdtPr>
                    <w:sdtContent>
                      <w:r>
                        <w:rPr>
                          <w:szCs w:val="24"/>
                        </w:rPr>
                        <w:t>2</w:t>
                      </w:r>
                    </w:sdtContent>
                  </w:sdt>
                  <w:r>
                    <w:rPr>
                      <w:szCs w:val="24"/>
                    </w:rPr>
                    <w:t>. Pagal Metodikoje nustatytą tvarką biudžeto lėšų poreikis apskaičiuojamas šioms valstybinėms (valstybės perduotoms savivaldybėms) funkcijos atlikti:</w:t>
                  </w:r>
                </w:p>
                <w:sdt>
                  <w:sdtPr>
                    <w:alias w:val="2.1 pp."/>
                    <w:tag w:val="part_5241cef5039e456794caf152c1778e03"/>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2023-08-12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7d6720384511ee9de9e7e0fd363afc">
                        <w:r w:rsidRPr="00532B9F">
                          <w:rPr>
                            <w:rFonts w:ascii="Times New Roman" w:eastAsia="MS Mincho" w:hAnsi="Times New Roman"/>
                            <w:sz w:val="20"/>
                            <w:i/>
                            <w:iCs/>
                            <w:color w:val="0000FF" w:themeColor="hyperlink"/>
                            <w:u w:val="single"/>
                          </w:rPr>
                          <w:t>1V-527</w:t>
                        </w:r>
                      </w:fldSimple>
                      <w:r>
                        <w:rPr>
                          <w:rFonts w:ascii="Times New Roman" w:eastAsia="MS Mincho" w:hAnsi="Times New Roman"/>
                          <w:sz w:val="20"/>
                          <w:i/>
                          <w:iCs/>
                        </w:rPr>
                        <w:t>,
2023-08-11,
paskelbta TAR 2023-08-11, i. k. 2023-16181        </w:t>
                      </w:r>
                    </w:p>
                    <w:p/>
                  </w:sdtContent>
                </w:sdt>
                <w:sdt>
                  <w:sdtPr>
                    <w:alias w:val="2.2 pp."/>
                    <w:tag w:val="part_f0711fbb2da447fab26fd22a2a02c4ae"/>
                    <w:lock w:val="sdtLocked"/>
                    <w:richText/>
                  </w:sdtPr>
                  <w:sdtContent>
                    <w:p>
                      <w:pPr>
                        <w:spacing w:line="360" w:lineRule="auto"/>
                        <w:ind w:firstLine="720"/>
                        <w:jc w:val="both"/>
                        <w:rPr>
                          <w:szCs w:val="24"/>
                        </w:rPr>
                      </w:pPr>
                      <w:sdt>
                        <w:sdtPr>
                          <w:alias w:val="Numeris"/>
                          <w:tag w:val="nr_f0711fbb2da447fab26fd22a2a02c4ae"/>
                          <w:lock w:val="sdtLocked"/>
                          <w:richText/>
                        </w:sdtPr>
                        <w:sdtContent>
                          <w:r>
                            <w:rPr>
                              <w:szCs w:val="24"/>
                            </w:rPr>
                            <w:t>2.2</w:t>
                          </w:r>
                        </w:sdtContent>
                      </w:sdt>
                      <w:r>
                        <w:rPr>
                          <w:szCs w:val="24"/>
                        </w:rPr>
                        <w:t>. priešgaisrinės saugos;</w:t>
                      </w:r>
                    </w:p>
                  </w:sdtContent>
                </w:sdt>
                <w:sdt>
                  <w:sdtPr>
                    <w:alias w:val="2.3 pp."/>
                    <w:tag w:val="part_2e413a8f566f4ed4b3886248eed3abac"/>
                    <w:lock w:val="sdtLocked"/>
                    <w:richText/>
                  </w:sdtPr>
                  <w:sdtContent>
                    <w:p>
                      <w:pPr>
                        <w:spacing w:line="360" w:lineRule="auto"/>
                        <w:ind w:firstLine="720"/>
                        <w:jc w:val="both"/>
                        <w:rPr>
                          <w:bCs/>
                          <w:szCs w:val="24"/>
                        </w:rPr>
                      </w:pPr>
                      <w:sdt>
                        <w:sdtPr>
                          <w:alias w:val="Numeris"/>
                          <w:tag w:val="nr_2e413a8f566f4ed4b3886248eed3abac"/>
                          <w:lock w:val="sdtLocked"/>
                          <w:richText/>
                        </w:sdtPr>
                        <w:sdtContent>
                          <w:r>
                            <w:rPr>
                              <w:bCs/>
                              <w:szCs w:val="24"/>
                            </w:rPr>
                            <w:t>2.3</w:t>
                          </w:r>
                        </w:sdtContent>
                      </w:sdt>
                      <w:r>
                        <w:rPr>
                          <w:bCs/>
                          <w:szCs w:val="24"/>
                        </w:rPr>
                        <w:t>. gyvenamosios vietos deklaravimo duomenų ir gyvenamosios vietos nedeklaravusių asmenų apskaitos duomenų tvarkymo.</w:t>
                      </w:r>
                    </w:p>
                    <w:p>
                      <w:pPr>
                        <w:spacing w:line="360" w:lineRule="auto"/>
                        <w:rPr>
                          <w:b/>
                          <w:bCs/>
                          <w:caps/>
                          <w:szCs w:val="24"/>
                        </w:rPr>
                      </w:pPr>
                    </w:p>
                  </w:sdtContent>
                </w:sdt>
              </w:sdtContent>
            </w:sdt>
          </w:sdtContent>
        </w:sdt>
        <w:sdt>
          <w:sdtPr>
            <w:alias w:val="skyrius"/>
            <w:tag w:val="part_8077979554f7494a94d799532b6bd93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skyrius.</w:t>
              </w:r>
              <w:r>
                <w:rPr>
                  <w:rFonts w:ascii="Times New Roman" w:eastAsia="MS Mincho" w:hAnsi="Times New Roman"/>
                  <w:sz w:val="20"/>
                  <w:i/>
                  <w:iCs/>
                </w:rPr>
                <w:t xml:space="preserve"> Neteko galios nuo 2023-08-12</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7d6720384511ee9de9e7e0fd363afc">
                <w:r w:rsidRPr="00532B9F">
                  <w:rPr>
                    <w:rFonts w:ascii="Times New Roman" w:eastAsia="MS Mincho" w:hAnsi="Times New Roman"/>
                    <w:sz w:val="20"/>
                    <w:i/>
                    <w:iCs/>
                    <w:color w:val="0000FF" w:themeColor="hyperlink"/>
                    <w:u w:val="single"/>
                  </w:rPr>
                  <w:t>1V-527</w:t>
                </w:r>
              </w:fldSimple>
              <w:r>
                <w:rPr>
                  <w:rFonts w:ascii="Times New Roman" w:eastAsia="MS Mincho" w:hAnsi="Times New Roman"/>
                  <w:sz w:val="20"/>
                  <w:i/>
                  <w:iCs/>
                </w:rPr>
                <w:t>,
2023-08-11,
paskelbta TAR 2023-08-11, i. k. 2023-16181        </w:t>
              </w:r>
            </w:p>
            <w:p/>
          </w:sdtContent>
        </w:sdt>
        <w:sdt>
          <w:sdtPr>
            <w:alias w:val="skyrius"/>
            <w:tag w:val="part_67a0da386f2141d3924e3dcb4abf814d"/>
            <w:lock w:val="sdtLocked"/>
            <w:richText/>
          </w:sdtPr>
          <w:sdtContent>
            <w:p>
              <w:pPr>
                <w:spacing w:line="360" w:lineRule="auto"/>
                <w:jc w:val="center"/>
                <w:rPr>
                  <w:b/>
                  <w:bCs/>
                  <w:caps/>
                  <w:szCs w:val="24"/>
                </w:rPr>
              </w:pPr>
              <w:sdt>
                <w:sdtPr>
                  <w:alias w:val="Numeris"/>
                  <w:tag w:val="nr_67a0da386f2141d3924e3dcb4abf814d"/>
                  <w:lock w:val="sdtLocked"/>
                  <w:richText/>
                </w:sdtPr>
                <w:sdtContent>
                  <w:r>
                    <w:rPr>
                      <w:b/>
                      <w:bCs/>
                      <w:caps/>
                      <w:szCs w:val="24"/>
                    </w:rPr>
                    <w:t>III</w:t>
                  </w:r>
                </w:sdtContent>
              </w:sdt>
              <w:r>
                <w:rPr>
                  <w:b/>
                  <w:bCs/>
                  <w:caps/>
                  <w:szCs w:val="24"/>
                </w:rPr>
                <w:t xml:space="preserve"> SKYRIUS</w:t>
              </w:r>
            </w:p>
            <w:sdt>
              <w:sdtPr>
                <w:alias w:val="Pavadinimas"/>
                <w:tag w:val="title_67a0da386f2141d3924e3dcb4abf814d"/>
                <w:lock w:val="sdtLocked"/>
                <w:richText/>
              </w:sdtPr>
              <w:sdtContent>
                <w:p>
                  <w:pPr>
                    <w:spacing w:line="360" w:lineRule="auto"/>
                    <w:jc w:val="center"/>
                    <w:rPr>
                      <w:b/>
                      <w:bCs/>
                      <w:caps/>
                      <w:szCs w:val="24"/>
                    </w:rPr>
                  </w:pPr>
                  <w:r>
                    <w:rPr>
                      <w:b/>
                      <w:bCs/>
                      <w:caps/>
                      <w:szCs w:val="24"/>
                    </w:rPr>
                    <w:t>Priešgaisrinės saugos FUNKCIJAI ATLIKTI BIUDŽETO</w:t>
                  </w:r>
                </w:p>
                <w:p>
                  <w:pPr>
                    <w:spacing w:line="360" w:lineRule="auto"/>
                    <w:jc w:val="center"/>
                    <w:rPr>
                      <w:b/>
                      <w:bCs/>
                      <w:caps/>
                      <w:szCs w:val="24"/>
                    </w:rPr>
                  </w:pPr>
                  <w:r>
                    <w:rPr>
                      <w:b/>
                      <w:bCs/>
                      <w:caps/>
                      <w:szCs w:val="24"/>
                    </w:rPr>
                    <w:t>LĖŠŲ POREIKIO SKAIČIAVIMAS</w:t>
                  </w:r>
                </w:p>
              </w:sdtContent>
            </w:sdt>
            <w:p>
              <w:pPr>
                <w:spacing w:line="360" w:lineRule="auto"/>
                <w:jc w:val="center"/>
                <w:rPr>
                  <w:b/>
                  <w:bCs/>
                  <w:caps/>
                  <w:szCs w:val="24"/>
                </w:rPr>
              </w:pPr>
            </w:p>
            <w:p>
              <w:pPr>
                <w:spacing w:line="360" w:lineRule="auto"/>
                <w:jc w:val="center"/>
                <w:rPr>
                  <w:b/>
                  <w:bCs/>
                  <w:caps/>
                  <w:szCs w:val="24"/>
                </w:rPr>
              </w:pPr>
            </w:p>
            <w:sdt>
              <w:sdtPr>
                <w:alias w:val="8 p."/>
                <w:tag w:val="part_34a015d77fdc408fbf8a71b3789cf323"/>
                <w:lock w:val="sdtLocked"/>
                <w:richText/>
              </w:sdtPr>
              <w:sdtContent>
                <w:p>
                  <w:pPr>
                    <w:tabs>
                      <w:tab w:val="left" w:pos="709"/>
                    </w:tabs>
                    <w:spacing w:line="360" w:lineRule="auto"/>
                    <w:ind w:firstLine="709"/>
                    <w:jc w:val="both"/>
                    <w:rPr>
                      <w:szCs w:val="24"/>
                      <w:lang w:eastAsia="ru-RU"/>
                    </w:rPr>
                  </w:pPr>
                  <w:sdt>
                    <w:sdtPr>
                      <w:alias w:val="Numeris"/>
                      <w:tag w:val="nr_34a015d77fdc408fbf8a71b3789cf323"/>
                      <w:lock w:val="sdtLocked"/>
                      <w:richText/>
                    </w:sdtPr>
                    <w:sdtContent>
                      <w:r>
                        <w:rPr>
                          <w:szCs w:val="24"/>
                          <w:lang w:eastAsia="ru-RU"/>
                        </w:rPr>
                        <w:t>8</w:t>
                      </w:r>
                    </w:sdtContent>
                  </w:sdt>
                  <w:r>
                    <w:rPr>
                      <w:szCs w:val="24"/>
                      <w:lang w:eastAsia="ru-RU"/>
                    </w:rPr>
                    <w:t>.</w:t>
                  </w:r>
                  <w:r>
                    <w:rPr>
                      <w:b/>
                      <w:szCs w:val="24"/>
                      <w:lang w:eastAsia="ru-RU"/>
                    </w:rPr>
                    <w:t xml:space="preserve"> </w:t>
                  </w:r>
                  <w:r>
                    <w:rPr>
                      <w:szCs w:val="24"/>
                      <w:lang w:eastAsia="ru-RU"/>
                    </w:rPr>
                    <w:t>Priešgaisrinės saugos funkcijai atlikti savivaldybėse steigiamos savivaldybių priešgaisrinės tarnybos. Vieną savivaldybės priešgaisrinę tarnybą sudaro administracija ir viena ar daugiau ugniagesių komandų. Savivaldybės priešgaisrinė tarnyba sudaro rašytines savanoriškos veiklos sutartis su savanoriais ugniagesiais. Valstybės biudžeto specialiosios tikslinės dotacijos (toliau – valstybės dotacijos) skiriamos savivaldybių priešgaisrinių tarnybų funkcijoms, įskaitant savanorių ugniagesių veiklos organizatoriaus funkcijas, atlikti ir savanorių ugniagesių veiklai užtikrinti.</w:t>
                  </w:r>
                </w:p>
              </w:sdtContent>
            </w:sdt>
            <w:sdt>
              <w:sdtPr>
                <w:alias w:val="9 p."/>
                <w:tag w:val="part_c47f3b8cb0de4d19933f31d9fa4507b5"/>
                <w:lock w:val="sdtLocked"/>
                <w:richText/>
              </w:sdtPr>
              <w:sdtContent>
                <w:p>
                  <w:pPr>
                    <w:tabs>
                      <w:tab w:val="left" w:pos="709"/>
                    </w:tabs>
                    <w:spacing w:line="360" w:lineRule="auto"/>
                    <w:ind w:firstLine="709"/>
                    <w:jc w:val="both"/>
                    <w:rPr>
                      <w:bCs/>
                      <w:szCs w:val="24"/>
                    </w:rPr>
                  </w:pPr>
                  <w:sdt>
                    <w:sdtPr>
                      <w:alias w:val="Numeris"/>
                      <w:tag w:val="nr_c47f3b8cb0de4d19933f31d9fa4507b5"/>
                      <w:lock w:val="sdtLocked"/>
                      <w:richText/>
                    </w:sdtPr>
                    <w:sdtContent>
                      <w:r>
                        <w:rPr>
                          <w:szCs w:val="24"/>
                        </w:rPr>
                        <w:t>9</w:t>
                      </w:r>
                    </w:sdtContent>
                  </w:sdt>
                  <w:r>
                    <w:rPr>
                      <w:szCs w:val="24"/>
                    </w:rPr>
                    <w:t>.</w:t>
                  </w:r>
                  <w:r>
                    <w:rPr>
                      <w:b/>
                      <w:szCs w:val="24"/>
                    </w:rPr>
                    <w:t xml:space="preserve">  </w:t>
                  </w:r>
                  <w:r>
                    <w:rPr>
                      <w:szCs w:val="24"/>
                    </w:rPr>
                    <w:t xml:space="preserve">Savivaldybės priešgaisrinės tarnybos administracijai nustatoma viena tarnybos viršininko pareigybė ir viena specialisto finansinei ir ūkinei veiklai vykdyti pareigybė. </w:t>
                  </w:r>
                  <w:r>
                    <w:rPr>
                      <w:bCs/>
                      <w:szCs w:val="24"/>
                    </w:rPr>
                    <w:t>Vienai ugniagesių komandai nustatoma viena skyrininko ir 8 ugniagesių pareigybės. Kai savivaldybės priešgaisrinė tarnyba sudaro rašytines savanoriškos veiklos sutartis su savanoriais ugniagesiais, vienoje ugniagesių komandoje turi būti užimta viena skyrininko ir ne mažiau kaip 4 ugniagesių pareigybės.</w:t>
                  </w:r>
                </w:p>
              </w:sdtContent>
            </w:sdt>
            <w:sdt>
              <w:sdtPr>
                <w:alias w:val="10 p."/>
                <w:tag w:val="part_df449800811d4e2fafda19de9b7b25a9"/>
                <w:lock w:val="sdtLocked"/>
                <w:richText/>
              </w:sdtPr>
              <w:sdtContent>
                <w:p>
                  <w:pPr>
                    <w:tabs>
                      <w:tab w:val="left" w:pos="709"/>
                    </w:tabs>
                    <w:spacing w:line="360" w:lineRule="auto"/>
                    <w:ind w:firstLine="709"/>
                    <w:jc w:val="both"/>
                    <w:rPr>
                      <w:bCs/>
                      <w:szCs w:val="24"/>
                    </w:rPr>
                  </w:pPr>
                  <w:sdt>
                    <w:sdtPr>
                      <w:alias w:val="Numeris"/>
                      <w:tag w:val="nr_df449800811d4e2fafda19de9b7b25a9"/>
                      <w:lock w:val="sdtLocked"/>
                      <w:richText/>
                    </w:sdtPr>
                    <w:sdtContent>
                      <w:r>
                        <w:rPr>
                          <w:bCs/>
                          <w:szCs w:val="24"/>
                        </w:rPr>
                        <w:t>10</w:t>
                      </w:r>
                    </w:sdtContent>
                  </w:sdt>
                  <w:r>
                    <w:rPr>
                      <w:bCs/>
                      <w:szCs w:val="24"/>
                    </w:rPr>
                    <w:t>. Vienai ugniagesių komandai nustatytoms vieno skyrininko ir 8 ugniagesių pareigybėms paskaičiuotas valstybės dotacijų lėšų poreikis darbo užmokesčiui ir įmokoms socialiniam draudimui gali būti naudojamas savanorių ugniagesių veiklos organizatoriaus funkcijoms atlikti ir savanorių ugniagesių veiklai užtikrinti.</w:t>
                  </w:r>
                </w:p>
              </w:sdtContent>
            </w:sdt>
            <w:sdt>
              <w:sdtPr>
                <w:alias w:val="11 p."/>
                <w:tag w:val="part_be477857069f4ae9a664c4ac96c6409a"/>
                <w:lock w:val="sdtLocked"/>
                <w:richText/>
              </w:sdtPr>
              <w:sdtContent>
                <w:p>
                  <w:pPr>
                    <w:tabs>
                      <w:tab w:val="left" w:pos="709"/>
                    </w:tabs>
                    <w:spacing w:line="360" w:lineRule="auto"/>
                    <w:ind w:firstLine="709"/>
                    <w:jc w:val="both"/>
                    <w:rPr>
                      <w:szCs w:val="24"/>
                    </w:rPr>
                  </w:pPr>
                  <w:sdt>
                    <w:sdtPr>
                      <w:alias w:val="Numeris"/>
                      <w:tag w:val="nr_be477857069f4ae9a664c4ac96c6409a"/>
                      <w:lock w:val="sdtLocked"/>
                      <w:richText/>
                    </w:sdtPr>
                    <w:sdtContent>
                      <w:r>
                        <w:rPr>
                          <w:szCs w:val="24"/>
                        </w:rPr>
                        <w:t>11</w:t>
                      </w:r>
                    </w:sdtContent>
                  </w:sdt>
                  <w:r>
                    <w:rPr>
                      <w:szCs w:val="24"/>
                    </w:rPr>
                    <w:t>.</w:t>
                  </w:r>
                  <w:r>
                    <w:rPr>
                      <w:b/>
                      <w:szCs w:val="24"/>
                    </w:rPr>
                    <w:t xml:space="preserve"> </w:t>
                  </w:r>
                  <w:r>
                    <w:rPr>
                      <w:szCs w:val="24"/>
                    </w:rPr>
                    <w:t>Savivaldybės priešgaisrinės tarnybos darbuotojų tarnybiniai atlyginimai nustatomi vadovaujantis Lietuvos Respublikos valstybės ir savivaldybių įstaigų darbuotojų darbo apmokėjimo įstatymu.</w:t>
                  </w:r>
                </w:p>
              </w:sdtContent>
            </w:sdt>
            <w:sdt>
              <w:sdtPr>
                <w:alias w:val="12 p."/>
                <w:tag w:val="part_4be8c730482e411b9ff80db3bac57dc5"/>
                <w:lock w:val="sdtLocked"/>
                <w:richText/>
              </w:sdtPr>
              <w:sdtContent>
                <w:p>
                  <w:pPr>
                    <w:tabs>
                      <w:tab w:val="left" w:pos="709"/>
                    </w:tabs>
                    <w:spacing w:line="360" w:lineRule="auto"/>
                    <w:ind w:firstLine="709"/>
                    <w:jc w:val="both"/>
                    <w:rPr>
                      <w:b/>
                      <w:szCs w:val="24"/>
                    </w:rPr>
                  </w:pPr>
                  <w:sdt>
                    <w:sdtPr>
                      <w:alias w:val="Numeris"/>
                      <w:tag w:val="nr_4be8c730482e411b9ff80db3bac57dc5"/>
                      <w:lock w:val="sdtLocked"/>
                      <w:richText/>
                    </w:sdtPr>
                    <w:sdtContent>
                      <w:r>
                        <w:rPr>
                          <w:szCs w:val="24"/>
                        </w:rPr>
                        <w:t>12</w:t>
                      </w:r>
                    </w:sdtContent>
                  </w:sdt>
                  <w:r>
                    <w:rPr>
                      <w:szCs w:val="24"/>
                    </w:rPr>
                    <w:t>.</w:t>
                  </w:r>
                  <w:r>
                    <w:rPr>
                      <w:b/>
                      <w:szCs w:val="24"/>
                    </w:rPr>
                    <w:t xml:space="preserve"> </w:t>
                  </w:r>
                  <w:r>
                    <w:rPr>
                      <w:szCs w:val="24"/>
                    </w:rPr>
                    <w:t xml:space="preserve">Gesinantiems gaisrus ar atliekantiems gelbėjimo darbus, dalyvaujantiems planiniuose kvalifikacijos tobulinimo kursuose (mokymuose ir (ar) pratybose), atliekantiems kitas užduotis, nustatytas rašytinėse savanoriškos veiklos sutartyse, savanoriams ugniagesiams mokamas ne didesnis kaip 1 procento Lietuvos statistikos departamento paskutinio paskelbto šalies ūkio (be individualių įmonių) darbuotojų vidutinio mėnesinio darbo užmokesčio  dydžio (bendrųjų pajamų, iš kurių atskaitytos išlaidos (Neto)) atlyginimas už kiekvieną savanorio ugniagesio sugaištą valandą </w:t>
                  </w:r>
                  <w:r>
                    <w:rPr>
                      <w:spacing w:val="-6"/>
                      <w:szCs w:val="24"/>
                    </w:rPr>
                    <w:t xml:space="preserve">pagal </w:t>
                  </w:r>
                  <w:r>
                    <w:rPr>
                      <w:szCs w:val="24"/>
                    </w:rPr>
                    <w:t>Lietuvos Respublikos vidaus reikalų ministro patvirtintą Atlyginimo už sugaištą laiką gesinant gaisrus ar atliekant gelbėjimo darbus, už dalyvavimą planiniuose kvalifikacijos tobulinimo kursuose (mokymuose ir (ar) pratybose), taip pat už kitų rašytinėse savanoriškos veiklos sutartyse numatytų užduočių atlikimą savanoriams ugniagesiams mokėjimo sąlygų ir tvarkos aprašą.</w:t>
                  </w:r>
                </w:p>
              </w:sdtContent>
            </w:sdt>
            <w:sdt>
              <w:sdtPr>
                <w:alias w:val="13 p."/>
                <w:tag w:val="part_e91925d1b19442d98d33f538a7818660"/>
                <w:lock w:val="sdtLocked"/>
                <w:richText/>
              </w:sdtPr>
              <w:sdtContent>
                <w:p>
                  <w:pPr>
                    <w:tabs>
                      <w:tab w:val="left" w:pos="709"/>
                    </w:tabs>
                    <w:spacing w:line="360" w:lineRule="auto"/>
                    <w:ind w:firstLine="709"/>
                    <w:jc w:val="both"/>
                    <w:rPr>
                      <w:b/>
                      <w:szCs w:val="24"/>
                    </w:rPr>
                  </w:pPr>
                  <w:sdt>
                    <w:sdtPr>
                      <w:alias w:val="Numeris"/>
                      <w:tag w:val="nr_e91925d1b19442d98d33f538a7818660"/>
                      <w:lock w:val="sdtLocked"/>
                      <w:richText/>
                    </w:sdtPr>
                    <w:sdtContent>
                      <w:r>
                        <w:rPr>
                          <w:szCs w:val="24"/>
                        </w:rPr>
                        <w:t>13</w:t>
                      </w:r>
                    </w:sdtContent>
                  </w:sdt>
                  <w:r>
                    <w:rPr>
                      <w:szCs w:val="24"/>
                    </w:rPr>
                    <w:t>.</w:t>
                  </w:r>
                  <w:r>
                    <w:rPr>
                      <w:b/>
                      <w:szCs w:val="24"/>
                    </w:rPr>
                    <w:t xml:space="preserve"> </w:t>
                  </w:r>
                  <w:r>
                    <w:rPr>
                      <w:szCs w:val="24"/>
                    </w:rPr>
                    <w:t>Savanorių ugniagesių veiklos išlaidos kompensuojamos pagal Lietuvos Respublikos vidaus reikalų ministro patvirtintą Savanorių ugniagesių veiklos kompensuojamų išlaidų sudėties, jų kompensavimo sąlygų ir tvarkos aprašą</w:t>
                  </w:r>
                </w:p>
              </w:sdtContent>
            </w:sdt>
            <w:sdt>
              <w:sdtPr>
                <w:alias w:val="14 p."/>
                <w:tag w:val="part_335f4f404f4a4217addfc9c435d54717"/>
                <w:lock w:val="sdtLocked"/>
                <w:richText/>
              </w:sdtPr>
              <w:sdtContent>
                <w:p>
                  <w:pPr>
                    <w:tabs>
                      <w:tab w:val="left" w:pos="709"/>
                    </w:tabs>
                    <w:spacing w:line="360" w:lineRule="auto"/>
                    <w:ind w:firstLine="709"/>
                    <w:jc w:val="both"/>
                    <w:rPr>
                      <w:szCs w:val="24"/>
                    </w:rPr>
                  </w:pPr>
                  <w:sdt>
                    <w:sdtPr>
                      <w:alias w:val="Numeris"/>
                      <w:tag w:val="nr_335f4f404f4a4217addfc9c435d54717"/>
                      <w:lock w:val="sdtLocked"/>
                      <w:richText/>
                    </w:sdtPr>
                    <w:sdtContent>
                      <w:r>
                        <w:rPr>
                          <w:bCs/>
                          <w:szCs w:val="24"/>
                        </w:rPr>
                        <w:t>14</w:t>
                      </w:r>
                    </w:sdtContent>
                  </w:sdt>
                  <w:r>
                    <w:rPr>
                      <w:bCs/>
                      <w:szCs w:val="24"/>
                    </w:rPr>
                    <w:t>.</w:t>
                  </w:r>
                  <w:r>
                    <w:rPr>
                      <w:b/>
                      <w:bCs/>
                      <w:szCs w:val="24"/>
                    </w:rPr>
                    <w:t xml:space="preserve"> </w:t>
                  </w:r>
                  <w:r>
                    <w:rPr>
                      <w:bCs/>
                      <w:szCs w:val="24"/>
                    </w:rPr>
                    <w:t xml:space="preserve">Vienai savivaldybės priešgaisrinės tarnybos ugniagesių komandai, nustatomas bendras patalpų plotas – ne daugiau kaip 110 kv. m esant vienai gaisrinei automobilinei cisternai ir ne daugiau kaip 160 kv. m esant dviem gaisrinėms automobilinėms cisternoms. </w:t>
                  </w:r>
                </w:p>
              </w:sdtContent>
            </w:sdt>
            <w:sdt>
              <w:sdtPr>
                <w:alias w:val="15 p."/>
                <w:tag w:val="part_1494edd135d64fe78a8fa1caa538dfdf"/>
                <w:lock w:val="sdtLocked"/>
                <w:richText/>
              </w:sdtPr>
              <w:sdtContent>
                <w:p>
                  <w:pPr>
                    <w:tabs>
                      <w:tab w:val="left" w:pos="709"/>
                    </w:tabs>
                    <w:spacing w:line="360" w:lineRule="auto"/>
                    <w:ind w:firstLine="709"/>
                    <w:jc w:val="both"/>
                    <w:rPr>
                      <w:szCs w:val="24"/>
                    </w:rPr>
                  </w:pPr>
                  <w:sdt>
                    <w:sdtPr>
                      <w:alias w:val="Numeris"/>
                      <w:tag w:val="nr_1494edd135d64fe78a8fa1caa538dfdf"/>
                      <w:lock w:val="sdtLocked"/>
                      <w:richText/>
                    </w:sdtPr>
                    <w:sdtContent>
                      <w:r>
                        <w:rPr>
                          <w:bCs/>
                          <w:szCs w:val="24"/>
                        </w:rPr>
                        <w:t>15</w:t>
                      </w:r>
                    </w:sdtContent>
                  </w:sdt>
                  <w:r>
                    <w:rPr>
                      <w:bCs/>
                      <w:szCs w:val="24"/>
                    </w:rPr>
                    <w:t>.</w:t>
                  </w:r>
                  <w:r>
                    <w:rPr>
                      <w:b/>
                      <w:bCs/>
                      <w:szCs w:val="24"/>
                    </w:rPr>
                    <w:t xml:space="preserve"> </w:t>
                  </w:r>
                  <w:r>
                    <w:rPr>
                      <w:bCs/>
                      <w:szCs w:val="24"/>
                    </w:rPr>
                    <w:t>Ugniagesių komandų veiklai reikalingi minimalūs technikos ir įrangos kiekiai nustatomi Priešgaisrinės apsaugos ir gelbėjimo departamento prie Vidaus reikalų ministerijos direktoriaus įsakymu.</w:t>
                  </w:r>
                </w:p>
              </w:sdtContent>
            </w:sdt>
            <w:sdt>
              <w:sdtPr>
                <w:alias w:val="16 p."/>
                <w:tag w:val="part_5d29a6ad228a4aac8321af43877f4f71"/>
                <w:lock w:val="sdtLocked"/>
                <w:richText/>
              </w:sdtPr>
              <w:sdtContent>
                <w:p>
                  <w:pPr>
                    <w:tabs>
                      <w:tab w:val="left" w:pos="709"/>
                    </w:tabs>
                    <w:spacing w:line="360" w:lineRule="auto"/>
                    <w:ind w:firstLine="709"/>
                    <w:jc w:val="both"/>
                    <w:rPr>
                      <w:szCs w:val="24"/>
                    </w:rPr>
                  </w:pPr>
                  <w:sdt>
                    <w:sdtPr>
                      <w:alias w:val="Numeris"/>
                      <w:tag w:val="nr_5d29a6ad228a4aac8321af43877f4f71"/>
                      <w:lock w:val="sdtLocked"/>
                      <w:richText/>
                    </w:sdtPr>
                    <w:sdtContent>
                      <w:r>
                        <w:rPr>
                          <w:szCs w:val="24"/>
                        </w:rPr>
                        <w:t>16</w:t>
                      </w:r>
                    </w:sdtContent>
                  </w:sdt>
                  <w:r>
                    <w:rPr>
                      <w:szCs w:val="24"/>
                    </w:rPr>
                    <w:t>.</w:t>
                  </w:r>
                  <w:r>
                    <w:rPr>
                      <w:b/>
                      <w:szCs w:val="24"/>
                    </w:rPr>
                    <w:t xml:space="preserve"> </w:t>
                  </w:r>
                  <w:r>
                    <w:rPr>
                      <w:szCs w:val="24"/>
                    </w:rPr>
                    <w:t>Maksimalios metinės patalpų nuomos išlaidos skaičiuojamos pagal formulę:</w:t>
                  </w:r>
                </w:p>
                <w:p>
                  <w:pPr>
                    <w:tabs>
                      <w:tab w:val="left" w:pos="709"/>
                    </w:tabs>
                    <w:spacing w:line="360" w:lineRule="auto"/>
                    <w:ind w:firstLine="720"/>
                    <w:jc w:val="both"/>
                    <w:rPr>
                      <w:szCs w:val="24"/>
                    </w:rPr>
                  </w:pPr>
                  <w:r>
                    <w:rPr>
                      <w:szCs w:val="24"/>
                    </w:rPr>
                    <w:t>N = I x P,</w:t>
                  </w:r>
                </w:p>
                <w:p>
                  <w:pPr>
                    <w:tabs>
                      <w:tab w:val="left" w:pos="709"/>
                    </w:tabs>
                    <w:spacing w:line="360" w:lineRule="auto"/>
                    <w:ind w:firstLine="709"/>
                    <w:jc w:val="both"/>
                    <w:rPr>
                      <w:szCs w:val="24"/>
                    </w:rPr>
                  </w:pPr>
                  <w:r>
                    <w:rPr>
                      <w:szCs w:val="24"/>
                    </w:rPr>
                    <w:t>kur:</w:t>
                  </w:r>
                </w:p>
                <w:p>
                  <w:pPr>
                    <w:tabs>
                      <w:tab w:val="left" w:pos="709"/>
                    </w:tabs>
                    <w:spacing w:line="360" w:lineRule="auto"/>
                    <w:ind w:firstLine="709"/>
                    <w:jc w:val="both"/>
                    <w:rPr>
                      <w:szCs w:val="24"/>
                    </w:rPr>
                  </w:pPr>
                  <w:r>
                    <w:rPr>
                      <w:szCs w:val="24"/>
                    </w:rPr>
                    <w:t xml:space="preserve">I – patalpų nuomos išlaidos 1 kv. m  (numatyta nuomos sutartyje), eurais;</w:t>
                  </w:r>
                </w:p>
                <w:p>
                  <w:pPr>
                    <w:tabs>
                      <w:tab w:val="left" w:pos="709"/>
                    </w:tabs>
                    <w:spacing w:line="360" w:lineRule="auto"/>
                    <w:ind w:firstLine="709"/>
                    <w:jc w:val="both"/>
                    <w:rPr>
                      <w:szCs w:val="24"/>
                    </w:rPr>
                  </w:pPr>
                  <w:r>
                    <w:rPr>
                      <w:szCs w:val="24"/>
                    </w:rPr>
                    <w:t>P – nuomojamų patalpų plotas, kv. m.</w:t>
                  </w:r>
                </w:p>
              </w:sdtContent>
            </w:sdt>
            <w:sdt>
              <w:sdtPr>
                <w:alias w:val="17 p."/>
                <w:tag w:val="part_1f88b03404354589bf3ccd35e3b8d318"/>
                <w:lock w:val="sdtLocked"/>
                <w:richText/>
              </w:sdtPr>
              <w:sdtContent>
                <w:p>
                  <w:pPr>
                    <w:tabs>
                      <w:tab w:val="left" w:pos="709"/>
                    </w:tabs>
                    <w:spacing w:line="360" w:lineRule="auto"/>
                    <w:ind w:firstLine="709"/>
                    <w:jc w:val="both"/>
                    <w:rPr>
                      <w:szCs w:val="24"/>
                    </w:rPr>
                  </w:pPr>
                  <w:sdt>
                    <w:sdtPr>
                      <w:alias w:val="Numeris"/>
                      <w:tag w:val="nr_1f88b03404354589bf3ccd35e3b8d318"/>
                      <w:lock w:val="sdtLocked"/>
                      <w:richText/>
                    </w:sdtPr>
                    <w:sdtContent>
                      <w:r>
                        <w:rPr>
                          <w:szCs w:val="24"/>
                        </w:rPr>
                        <w:t>17</w:t>
                      </w:r>
                    </w:sdtContent>
                  </w:sdt>
                  <w:r>
                    <w:rPr>
                      <w:szCs w:val="24"/>
                    </w:rPr>
                    <w:t xml:space="preserve">. Metinės išlaidos elektros energijai skaičiuojamos pagal formulę: </w:t>
                  </w:r>
                </w:p>
                <w:p>
                  <w:pPr>
                    <w:tabs>
                      <w:tab w:val="left" w:pos="709"/>
                    </w:tabs>
                    <w:spacing w:line="360" w:lineRule="auto"/>
                    <w:ind w:firstLine="720"/>
                    <w:jc w:val="both"/>
                    <w:rPr>
                      <w:szCs w:val="24"/>
                    </w:rPr>
                  </w:pPr>
                  <w:r>
                    <w:rPr>
                      <w:szCs w:val="24"/>
                    </w:rPr>
                    <w:t xml:space="preserve">E =  </w:t>
                    <w:sym w:font="SymbolPS" w:char="F079"/>
                  </w:r>
                  <w:r>
                    <w:rPr>
                      <w:szCs w:val="24"/>
                      <w:vertAlign w:val="subscript"/>
                    </w:rPr>
                    <w:t xml:space="preserve">E </w:t>
                  </w:r>
                  <w:r>
                    <w:rPr>
                      <w:szCs w:val="24"/>
                    </w:rPr>
                    <w:t>x f</w:t>
                  </w:r>
                  <w:r>
                    <w:rPr>
                      <w:szCs w:val="24"/>
                      <w:vertAlign w:val="subscript"/>
                    </w:rPr>
                    <w:t xml:space="preserve">E </w:t>
                  </w:r>
                  <w:r>
                    <w:rPr>
                      <w:szCs w:val="24"/>
                    </w:rPr>
                    <w:t>x P x S,</w:t>
                  </w:r>
                </w:p>
                <w:p>
                  <w:pPr>
                    <w:tabs>
                      <w:tab w:val="left" w:pos="709"/>
                    </w:tabs>
                    <w:spacing w:line="360" w:lineRule="auto"/>
                    <w:ind w:firstLine="709"/>
                    <w:jc w:val="both"/>
                    <w:rPr>
                      <w:szCs w:val="24"/>
                    </w:rPr>
                  </w:pPr>
                  <w:r>
                    <w:rPr>
                      <w:szCs w:val="24"/>
                    </w:rPr>
                    <w:t xml:space="preserve">kur: </w:t>
                  </w:r>
                </w:p>
                <w:p>
                  <w:pPr>
                    <w:tabs>
                      <w:tab w:val="left" w:pos="709"/>
                    </w:tabs>
                    <w:spacing w:line="360" w:lineRule="auto"/>
                    <w:ind w:firstLine="709"/>
                    <w:jc w:val="both"/>
                    <w:rPr>
                      <w:szCs w:val="24"/>
                    </w:rPr>
                  </w:pPr>
                  <w:r>
                    <w:rPr>
                      <w:szCs w:val="24"/>
                    </w:rPr>
                    <w:sym w:font="SymbolPS" w:char="F079"/>
                  </w:r>
                  <w:r>
                    <w:rPr>
                      <w:szCs w:val="24"/>
                      <w:vertAlign w:val="subscript"/>
                    </w:rPr>
                    <w:t xml:space="preserve">E </w:t>
                  </w:r>
                  <w:r>
                    <w:rPr>
                      <w:szCs w:val="24"/>
                    </w:rPr>
                    <w:t>– metinis elektros energijos suvartojimas pastato ploto vienetui kWh/kv. m, nurodytas Statybos techniniame reglamente STR 2.01.09:2005 „Pastatų energinis naudingumas. Energinio naudingumo sertifikavimas“;</w:t>
                  </w:r>
                </w:p>
                <w:p>
                  <w:pPr>
                    <w:tabs>
                      <w:tab w:val="left" w:pos="709"/>
                    </w:tabs>
                    <w:spacing w:line="360" w:lineRule="auto"/>
                    <w:ind w:firstLine="709"/>
                    <w:jc w:val="both"/>
                    <w:rPr>
                      <w:szCs w:val="24"/>
                    </w:rPr>
                  </w:pPr>
                  <w:r>
                    <w:rPr>
                      <w:szCs w:val="24"/>
                    </w:rPr>
                    <w:t>f</w:t>
                  </w:r>
                  <w:r>
                    <w:rPr>
                      <w:szCs w:val="24"/>
                      <w:vertAlign w:val="subscript"/>
                    </w:rPr>
                    <w:t>E</w:t>
                  </w:r>
                  <w:r>
                    <w:rPr>
                      <w:szCs w:val="24"/>
                    </w:rPr>
                    <w:t xml:space="preserve"> – pastato dalis,  kuriai reikalinga elektros energija, nurodyta Statybos techniniame reglamente STR 2.01.09:2005 „Pastatų energinis naudingumas. Energinio naudingumo sertifikavimas“; </w:t>
                  </w:r>
                </w:p>
                <w:p>
                  <w:pPr>
                    <w:tabs>
                      <w:tab w:val="left" w:pos="709"/>
                    </w:tabs>
                    <w:spacing w:line="360" w:lineRule="auto"/>
                    <w:ind w:firstLine="709"/>
                    <w:jc w:val="both"/>
                    <w:rPr>
                      <w:szCs w:val="24"/>
                    </w:rPr>
                  </w:pPr>
                  <w:r>
                    <w:rPr>
                      <w:szCs w:val="24"/>
                    </w:rPr>
                    <w:t>P – patalpų plotas, kv. m;</w:t>
                  </w:r>
                </w:p>
                <w:p>
                  <w:pPr>
                    <w:tabs>
                      <w:tab w:val="left" w:pos="709"/>
                    </w:tabs>
                    <w:spacing w:line="360" w:lineRule="auto"/>
                    <w:ind w:firstLine="709"/>
                    <w:jc w:val="both"/>
                    <w:rPr>
                      <w:szCs w:val="24"/>
                    </w:rPr>
                  </w:pPr>
                  <w:r>
                    <w:rPr>
                      <w:szCs w:val="24"/>
                    </w:rPr>
                    <w:t>S – elektros energijos vieneto kaina, eurais.</w:t>
                  </w:r>
                </w:p>
              </w:sdtContent>
            </w:sdt>
            <w:sdt>
              <w:sdtPr>
                <w:alias w:val="18 p."/>
                <w:tag w:val="part_2dead05d2ef3440abf67b0c2a837e930"/>
                <w:lock w:val="sdtLocked"/>
                <w:richText/>
              </w:sdtPr>
              <w:sdtContent>
                <w:p>
                  <w:pPr>
                    <w:tabs>
                      <w:tab w:val="left" w:pos="709"/>
                    </w:tabs>
                    <w:spacing w:line="360" w:lineRule="auto"/>
                    <w:ind w:firstLine="709"/>
                    <w:jc w:val="both"/>
                    <w:rPr>
                      <w:szCs w:val="24"/>
                    </w:rPr>
                  </w:pPr>
                  <w:sdt>
                    <w:sdtPr>
                      <w:alias w:val="Numeris"/>
                      <w:tag w:val="nr_2dead05d2ef3440abf67b0c2a837e930"/>
                      <w:lock w:val="sdtLocked"/>
                      <w:richText/>
                    </w:sdtPr>
                    <w:sdtContent>
                      <w:r>
                        <w:rPr>
                          <w:szCs w:val="24"/>
                        </w:rPr>
                        <w:t>18</w:t>
                      </w:r>
                    </w:sdtContent>
                  </w:sdt>
                  <w:r>
                    <w:rPr>
                      <w:szCs w:val="24"/>
                    </w:rPr>
                    <w:t>.</w:t>
                  </w:r>
                  <w:r>
                    <w:rPr>
                      <w:b/>
                      <w:szCs w:val="24"/>
                    </w:rPr>
                    <w:t xml:space="preserve"> </w:t>
                  </w:r>
                  <w:r>
                    <w:rPr>
                      <w:szCs w:val="24"/>
                    </w:rPr>
                    <w:t>Metinės patalpų, šildymo išlaidos skaičiuojamos pagal formulę:</w:t>
                  </w:r>
                </w:p>
                <w:p>
                  <w:pPr>
                    <w:tabs>
                      <w:tab w:val="left" w:pos="709"/>
                    </w:tabs>
                    <w:spacing w:line="360" w:lineRule="auto"/>
                    <w:ind w:firstLine="720"/>
                    <w:jc w:val="both"/>
                    <w:rPr>
                      <w:szCs w:val="24"/>
                    </w:rPr>
                  </w:pPr>
                  <w:r>
                    <w:rPr>
                      <w:szCs w:val="24"/>
                    </w:rPr>
                    <w:t xml:space="preserve">Šc = Šck x Em x Ek,  </w:t>
                  </w:r>
                </w:p>
                <w:p>
                  <w:pPr>
                    <w:tabs>
                      <w:tab w:val="left" w:pos="709"/>
                    </w:tabs>
                    <w:spacing w:line="360" w:lineRule="auto"/>
                    <w:ind w:firstLine="709"/>
                    <w:jc w:val="both"/>
                    <w:rPr>
                      <w:szCs w:val="24"/>
                    </w:rPr>
                  </w:pPr>
                  <w:r>
                    <w:rPr>
                      <w:szCs w:val="24"/>
                    </w:rPr>
                    <w:t>kur:</w:t>
                  </w:r>
                </w:p>
                <w:p>
                  <w:pPr>
                    <w:tabs>
                      <w:tab w:val="left" w:pos="709"/>
                    </w:tabs>
                    <w:spacing w:line="360" w:lineRule="auto"/>
                    <w:ind w:firstLine="709"/>
                    <w:jc w:val="both"/>
                    <w:rPr>
                      <w:szCs w:val="24"/>
                      <w:lang w:eastAsia="ru-RU"/>
                    </w:rPr>
                  </w:pPr>
                  <w:r>
                    <w:rPr>
                      <w:szCs w:val="24"/>
                      <w:lang w:eastAsia="ru-RU"/>
                    </w:rPr>
                    <w:t xml:space="preserve">Šck  – šildomų patalpų plotas kv. m (bendras  patalpų plotas ne daugiau kaip 110 kv. m esant vienai gaisrinei automobilinei cisternai  ir 160 kv. m esant dviem gaisrinėms automobilinėms cisternoms);</w:t>
                  </w:r>
                </w:p>
                <w:p>
                  <w:pPr>
                    <w:tabs>
                      <w:tab w:val="left" w:pos="709"/>
                    </w:tabs>
                    <w:spacing w:line="360" w:lineRule="auto"/>
                    <w:ind w:firstLine="709"/>
                    <w:jc w:val="both"/>
                    <w:rPr>
                      <w:szCs w:val="24"/>
                      <w:lang w:eastAsia="ru-RU"/>
                    </w:rPr>
                  </w:pPr>
                  <w:r>
                    <w:rPr>
                      <w:szCs w:val="24"/>
                      <w:lang w:eastAsia="ru-RU"/>
                    </w:rPr>
                    <w:t xml:space="preserve">Em – per  paskutinius  trejus  metus  sunaudotas  šilumos  energijos  kiekio  vidurkis  vienam  kv. m patalpų ploto;</w:t>
                  </w:r>
                </w:p>
                <w:p>
                  <w:pPr>
                    <w:tabs>
                      <w:tab w:val="left" w:pos="709"/>
                      <w:tab w:val="left" w:pos="1276"/>
                    </w:tabs>
                    <w:spacing w:line="360" w:lineRule="auto"/>
                    <w:ind w:firstLine="709"/>
                    <w:jc w:val="both"/>
                    <w:rPr>
                      <w:szCs w:val="24"/>
                    </w:rPr>
                  </w:pPr>
                  <w:r>
                    <w:rPr>
                      <w:szCs w:val="24"/>
                    </w:rPr>
                    <w:t xml:space="preserve">Ek – šilumos energijos kaina, eurais. </w:t>
                  </w:r>
                </w:p>
              </w:sdtContent>
            </w:sdt>
            <w:sdt>
              <w:sdtPr>
                <w:alias w:val="19 p."/>
                <w:tag w:val="part_836b78f8ddb3492f9f2db37a7ea81c1f"/>
                <w:lock w:val="sdtLocked"/>
                <w:richText/>
              </w:sdtPr>
              <w:sdtContent>
                <w:p>
                  <w:pPr>
                    <w:tabs>
                      <w:tab w:val="left" w:pos="709"/>
                    </w:tabs>
                    <w:spacing w:line="360" w:lineRule="auto"/>
                    <w:ind w:firstLine="709"/>
                    <w:jc w:val="both"/>
                    <w:rPr>
                      <w:szCs w:val="24"/>
                      <w:lang w:eastAsia="ru-RU"/>
                    </w:rPr>
                  </w:pPr>
                  <w:sdt>
                    <w:sdtPr>
                      <w:alias w:val="Numeris"/>
                      <w:tag w:val="nr_836b78f8ddb3492f9f2db37a7ea81c1f"/>
                      <w:lock w:val="sdtLocked"/>
                      <w:richText/>
                    </w:sdtPr>
                    <w:sdtContent>
                      <w:r>
                        <w:rPr>
                          <w:szCs w:val="24"/>
                          <w:lang w:eastAsia="ru-RU"/>
                        </w:rPr>
                        <w:t>19</w:t>
                      </w:r>
                    </w:sdtContent>
                  </w:sdt>
                  <w:r>
                    <w:rPr>
                      <w:szCs w:val="24"/>
                      <w:lang w:eastAsia="ru-RU"/>
                    </w:rPr>
                    <w:t>. Apskaičiuotos metinės šildymo išlaidos vienam kv. m gyvenamųjų patalpų, kuriose dirba ir ilsisi darbuotojai (palaikant patalpose 20 laipsnių temperatūrą), neturi viršyti 17,38 eurų, o negyvenamųjų patalpų (palaikant 8 laipsnių temperatūrą) – 6,95 euro</w:t>
                  </w:r>
                  <w:r>
                    <w:rPr>
                      <w:b/>
                      <w:szCs w:val="24"/>
                      <w:lang w:eastAsia="ru-RU"/>
                    </w:rPr>
                    <w:t xml:space="preserve"> </w:t>
                  </w:r>
                  <w:r>
                    <w:rPr>
                      <w:szCs w:val="24"/>
                      <w:lang w:eastAsia="ru-RU"/>
                    </w:rPr>
                    <w:t>už vieną kv. m.</w:t>
                  </w:r>
                </w:p>
              </w:sdtContent>
            </w:sdt>
            <w:sdt>
              <w:sdtPr>
                <w:alias w:val="20 p."/>
                <w:tag w:val="part_dba550acac064c6dbc85f29e8b1620e0"/>
                <w:lock w:val="sdtLocked"/>
                <w:richText/>
              </w:sdtPr>
              <w:sdtContent>
                <w:p>
                  <w:pPr>
                    <w:tabs>
                      <w:tab w:val="left" w:pos="709"/>
                      <w:tab w:val="left" w:pos="1276"/>
                    </w:tabs>
                    <w:spacing w:line="360" w:lineRule="auto"/>
                    <w:ind w:left="709" w:firstLine="62"/>
                    <w:jc w:val="both"/>
                    <w:rPr>
                      <w:szCs w:val="24"/>
                    </w:rPr>
                  </w:pPr>
                  <w:sdt>
                    <w:sdtPr>
                      <w:alias w:val="Numeris"/>
                      <w:tag w:val="nr_dba550acac064c6dbc85f29e8b1620e0"/>
                      <w:lock w:val="sdtLocked"/>
                      <w:richText/>
                    </w:sdtPr>
                    <w:sdtContent>
                      <w:r>
                        <w:rPr>
                          <w:szCs w:val="24"/>
                        </w:rPr>
                        <w:t>20</w:t>
                      </w:r>
                    </w:sdtContent>
                  </w:sdt>
                  <w:r>
                    <w:rPr>
                      <w:szCs w:val="24"/>
                    </w:rPr>
                    <w:t>.</w:t>
                  </w:r>
                  <w:r>
                    <w:rPr>
                      <w:b/>
                      <w:szCs w:val="24"/>
                    </w:rPr>
                    <w:t xml:space="preserve"> </w:t>
                  </w:r>
                  <w:r>
                    <w:rPr>
                      <w:szCs w:val="24"/>
                    </w:rPr>
                    <w:t xml:space="preserve">Metinės šalto ir karšto vandens išlaidos: </w:t>
                  </w:r>
                </w:p>
                <w:sdt>
                  <w:sdtPr>
                    <w:alias w:val="20.1 pp."/>
                    <w:tag w:val="part_e86552d77b36464cbd2b1ff90df445ec"/>
                    <w:lock w:val="sdtLocked"/>
                    <w:richText/>
                  </w:sdtPr>
                  <w:sdtContent>
                    <w:p>
                      <w:pPr>
                        <w:tabs>
                          <w:tab w:val="left" w:pos="709"/>
                          <w:tab w:val="left" w:pos="1276"/>
                        </w:tabs>
                        <w:spacing w:line="360" w:lineRule="auto"/>
                        <w:ind w:firstLine="771"/>
                        <w:jc w:val="both"/>
                        <w:rPr>
                          <w:szCs w:val="24"/>
                          <w:lang w:eastAsia="ru-RU"/>
                        </w:rPr>
                      </w:pPr>
                      <w:sdt>
                        <w:sdtPr>
                          <w:alias w:val="Numeris"/>
                          <w:tag w:val="nr_e86552d77b36464cbd2b1ff90df445ec"/>
                          <w:lock w:val="sdtLocked"/>
                          <w:richText/>
                        </w:sdtPr>
                        <w:sdtContent>
                          <w:r>
                            <w:rPr>
                              <w:szCs w:val="24"/>
                              <w:lang w:eastAsia="ru-RU"/>
                            </w:rPr>
                            <w:t>20.1</w:t>
                          </w:r>
                        </w:sdtContent>
                      </w:sdt>
                      <w:r>
                        <w:rPr>
                          <w:szCs w:val="24"/>
                          <w:lang w:eastAsia="ru-RU"/>
                        </w:rPr>
                        <w:t>.</w:t>
                      </w:r>
                      <w:r>
                        <w:rPr>
                          <w:b/>
                          <w:szCs w:val="24"/>
                          <w:lang w:eastAsia="ru-RU"/>
                        </w:rPr>
                        <w:t xml:space="preserve"> </w:t>
                      </w:r>
                      <w:r>
                        <w:rPr>
                          <w:szCs w:val="24"/>
                          <w:lang w:eastAsia="ru-RU"/>
                        </w:rPr>
                        <w:t xml:space="preserve">esant centralizuotam vandens tiekimui, skaičiuojamos pagal formulę: </w:t>
                      </w:r>
                    </w:p>
                    <w:p>
                      <w:pPr>
                        <w:tabs>
                          <w:tab w:val="left" w:pos="709"/>
                        </w:tabs>
                        <w:spacing w:line="360" w:lineRule="auto"/>
                        <w:ind w:firstLine="720"/>
                        <w:jc w:val="both"/>
                        <w:rPr>
                          <w:szCs w:val="24"/>
                        </w:rPr>
                      </w:pPr>
                      <w:r>
                        <w:rPr>
                          <w:szCs w:val="24"/>
                        </w:rPr>
                        <w:t>V = ((N x S) + (D x Ds)) x T x K,</w:t>
                      </w:r>
                    </w:p>
                    <w:p>
                      <w:pPr>
                        <w:tabs>
                          <w:tab w:val="left" w:pos="709"/>
                        </w:tabs>
                        <w:spacing w:line="360" w:lineRule="auto"/>
                        <w:ind w:firstLine="709"/>
                        <w:jc w:val="both"/>
                        <w:rPr>
                          <w:szCs w:val="24"/>
                        </w:rPr>
                      </w:pPr>
                      <w:r>
                        <w:rPr>
                          <w:szCs w:val="24"/>
                        </w:rPr>
                        <w:t>kur:</w:t>
                      </w:r>
                    </w:p>
                    <w:p>
                      <w:pPr>
                        <w:tabs>
                          <w:tab w:val="left" w:pos="709"/>
                          <w:tab w:val="left" w:pos="1276"/>
                        </w:tabs>
                        <w:spacing w:line="360" w:lineRule="auto"/>
                        <w:ind w:firstLine="709"/>
                        <w:jc w:val="both"/>
                        <w:rPr>
                          <w:rFonts w:eastAsia="Courier New"/>
                          <w:szCs w:val="24"/>
                        </w:rPr>
                      </w:pPr>
                      <w:r>
                        <w:rPr>
                          <w:rFonts w:eastAsia="Courier New"/>
                          <w:szCs w:val="24"/>
                        </w:rPr>
                        <w:t xml:space="preserve">N – paros vandens suvartojimo norma kub. m vienam darbuotojui, nurodyta Vandens vartojimo normose RSN-26-90 (šalto vandens paros sunaudojimo norma – 0,016 kub. m, karšto vandens paros sunaudojimo norma – 0,007 </w:t>
                      </w:r>
                      <w:r>
                        <w:rPr>
                          <w:rFonts w:eastAsia="Courier New"/>
                          <w:bCs/>
                          <w:szCs w:val="24"/>
                        </w:rPr>
                        <w:t>kub. m);</w:t>
                      </w:r>
                      <w:r>
                        <w:rPr>
                          <w:rFonts w:eastAsia="Courier New"/>
                          <w:szCs w:val="24"/>
                        </w:rPr>
                        <w:t xml:space="preserve"> </w:t>
                      </w:r>
                    </w:p>
                    <w:p>
                      <w:pPr>
                        <w:tabs>
                          <w:tab w:val="left" w:pos="709"/>
                          <w:tab w:val="left" w:pos="1276"/>
                        </w:tabs>
                        <w:spacing w:line="360" w:lineRule="auto"/>
                        <w:ind w:firstLine="709"/>
                        <w:jc w:val="both"/>
                        <w:rPr>
                          <w:rFonts w:eastAsia="Courier New"/>
                          <w:szCs w:val="24"/>
                        </w:rPr>
                      </w:pPr>
                      <w:r>
                        <w:rPr>
                          <w:rFonts w:eastAsia="Courier New"/>
                          <w:szCs w:val="24"/>
                        </w:rPr>
                        <w:t>S – dirbančiųjų skaičius per parą;</w:t>
                      </w:r>
                    </w:p>
                    <w:p>
                      <w:pPr>
                        <w:tabs>
                          <w:tab w:val="left" w:pos="709"/>
                          <w:tab w:val="left" w:pos="1276"/>
                        </w:tabs>
                        <w:spacing w:line="360" w:lineRule="auto"/>
                        <w:ind w:firstLine="709"/>
                        <w:jc w:val="both"/>
                        <w:rPr>
                          <w:rFonts w:eastAsia="Courier New"/>
                          <w:szCs w:val="24"/>
                        </w:rPr>
                      </w:pPr>
                      <w:r>
                        <w:rPr>
                          <w:rFonts w:eastAsia="Courier New"/>
                          <w:szCs w:val="24"/>
                        </w:rPr>
                        <w:t xml:space="preserve">D – paros vandens sunaudojimo norma kub. m vienam patalpose įrengtam dušui, nurodyta Vandens vartojimo normose RSN-26-90 (šalto vandens paros sunaudojimo norma – 0,5 kub. m, karšto vandens paros sunaudojimo norma – 0,27 </w:t>
                      </w:r>
                      <w:r>
                        <w:rPr>
                          <w:rFonts w:eastAsia="Courier New"/>
                          <w:bCs/>
                          <w:szCs w:val="24"/>
                        </w:rPr>
                        <w:t>kub. m);</w:t>
                      </w:r>
                      <w:r>
                        <w:rPr>
                          <w:rFonts w:eastAsia="Courier New"/>
                          <w:szCs w:val="24"/>
                        </w:rPr>
                        <w:t xml:space="preserve"> </w:t>
                      </w:r>
                    </w:p>
                    <w:p>
                      <w:pPr>
                        <w:tabs>
                          <w:tab w:val="left" w:pos="709"/>
                          <w:tab w:val="left" w:pos="1276"/>
                        </w:tabs>
                        <w:spacing w:line="360" w:lineRule="auto"/>
                        <w:ind w:firstLine="709"/>
                        <w:jc w:val="both"/>
                        <w:rPr>
                          <w:rFonts w:eastAsia="Courier New"/>
                          <w:szCs w:val="24"/>
                        </w:rPr>
                      </w:pPr>
                      <w:r>
                        <w:rPr>
                          <w:rFonts w:eastAsia="Courier New"/>
                          <w:szCs w:val="24"/>
                        </w:rPr>
                        <w:t>Ds – dušų skaičius;</w:t>
                      </w:r>
                    </w:p>
                    <w:p>
                      <w:pPr>
                        <w:tabs>
                          <w:tab w:val="left" w:pos="709"/>
                        </w:tabs>
                        <w:spacing w:line="360" w:lineRule="auto"/>
                        <w:ind w:firstLine="709"/>
                        <w:jc w:val="both"/>
                        <w:rPr>
                          <w:szCs w:val="24"/>
                        </w:rPr>
                      </w:pPr>
                      <w:r>
                        <w:rPr>
                          <w:szCs w:val="24"/>
                        </w:rPr>
                        <w:t>T – parų skaičius metuose;</w:t>
                      </w:r>
                    </w:p>
                    <w:p>
                      <w:pPr>
                        <w:tabs>
                          <w:tab w:val="left" w:pos="709"/>
                        </w:tabs>
                        <w:spacing w:line="360" w:lineRule="auto"/>
                        <w:ind w:firstLine="709"/>
                        <w:jc w:val="both"/>
                        <w:rPr>
                          <w:szCs w:val="24"/>
                        </w:rPr>
                      </w:pPr>
                      <w:r>
                        <w:rPr>
                          <w:szCs w:val="24"/>
                        </w:rPr>
                        <w:t xml:space="preserve">K – šalto arba karšto vandens </w:t>
                      </w:r>
                      <w:r>
                        <w:rPr>
                          <w:bCs/>
                          <w:szCs w:val="24"/>
                        </w:rPr>
                        <w:t xml:space="preserve">vieno kub. m  </w:t>
                      </w:r>
                      <w:r>
                        <w:rPr>
                          <w:szCs w:val="24"/>
                        </w:rPr>
                        <w:t xml:space="preserve">kaina, eurais; </w:t>
                      </w:r>
                    </w:p>
                  </w:sdtContent>
                </w:sdt>
                <w:sdt>
                  <w:sdtPr>
                    <w:alias w:val="20.2 pp."/>
                    <w:tag w:val="part_f59511b6268544c7a09a14a706930698"/>
                    <w:lock w:val="sdtLocked"/>
                    <w:richText/>
                  </w:sdtPr>
                  <w:sdtContent>
                    <w:p>
                      <w:pPr>
                        <w:tabs>
                          <w:tab w:val="left" w:pos="709"/>
                          <w:tab w:val="left" w:pos="1276"/>
                        </w:tabs>
                        <w:spacing w:line="360" w:lineRule="auto"/>
                        <w:ind w:firstLine="709"/>
                        <w:jc w:val="both"/>
                        <w:rPr>
                          <w:szCs w:val="24"/>
                        </w:rPr>
                      </w:pPr>
                      <w:sdt>
                        <w:sdtPr>
                          <w:alias w:val="Numeris"/>
                          <w:tag w:val="nr_f59511b6268544c7a09a14a706930698"/>
                          <w:lock w:val="sdtLocked"/>
                          <w:richText/>
                        </w:sdtPr>
                        <w:sdtContent>
                          <w:r>
                            <w:rPr>
                              <w:szCs w:val="24"/>
                            </w:rPr>
                            <w:t>20.2</w:t>
                          </w:r>
                        </w:sdtContent>
                      </w:sdt>
                      <w:r>
                        <w:rPr>
                          <w:szCs w:val="24"/>
                        </w:rPr>
                        <w:t>.</w:t>
                      </w:r>
                      <w:r>
                        <w:rPr>
                          <w:b/>
                          <w:szCs w:val="24"/>
                        </w:rPr>
                        <w:t xml:space="preserve"> </w:t>
                      </w:r>
                      <w:r>
                        <w:rPr>
                          <w:szCs w:val="24"/>
                        </w:rPr>
                        <w:t xml:space="preserve">esant necentralizuotam vandens tiekimui, vandentiekio ir kanalizacijos išlaidos skaičiuojamos atsižvelgiant į ugniagesių komandos vandens poreikį ir  vieno kub. m vandens vidutinę kainą (ne daugiau kaip </w:t>
                      </w:r>
                      <w:r>
                        <w:rPr>
                          <w:position w:val="6"/>
                          <w:szCs w:val="24"/>
                        </w:rPr>
                        <w:t xml:space="preserve"> </w:t>
                      </w:r>
                      <w:r>
                        <w:rPr>
                          <w:szCs w:val="24"/>
                        </w:rPr>
                        <w:t xml:space="preserve">vienas kub. m vandens vienam   darbuotojui  per mėnesį).</w:t>
                      </w:r>
                    </w:p>
                  </w:sdtContent>
                </w:sdt>
              </w:sdtContent>
            </w:sdt>
            <w:sdt>
              <w:sdtPr>
                <w:alias w:val="21 p."/>
                <w:tag w:val="part_615fe14965f74d448c615c798582d9a6"/>
                <w:lock w:val="sdtLocked"/>
                <w:richText/>
              </w:sdtPr>
              <w:sdtContent>
                <w:p>
                  <w:pPr>
                    <w:tabs>
                      <w:tab w:val="left" w:pos="709"/>
                      <w:tab w:val="left" w:pos="1276"/>
                    </w:tabs>
                    <w:spacing w:line="360" w:lineRule="auto"/>
                    <w:ind w:firstLine="709"/>
                    <w:jc w:val="both"/>
                    <w:rPr>
                      <w:szCs w:val="24"/>
                    </w:rPr>
                  </w:pPr>
                  <w:sdt>
                    <w:sdtPr>
                      <w:alias w:val="Numeris"/>
                      <w:tag w:val="nr_615fe14965f74d448c615c798582d9a6"/>
                      <w:lock w:val="sdtLocked"/>
                      <w:richText/>
                    </w:sdtPr>
                    <w:sdtContent>
                      <w:r>
                        <w:rPr>
                          <w:szCs w:val="24"/>
                        </w:rPr>
                        <w:t>21</w:t>
                      </w:r>
                    </w:sdtContent>
                  </w:sdt>
                  <w:r>
                    <w:rPr>
                      <w:szCs w:val="24"/>
                    </w:rPr>
                    <w:t>.</w:t>
                  </w:r>
                  <w:r>
                    <w:rPr>
                      <w:b/>
                      <w:szCs w:val="24"/>
                    </w:rPr>
                    <w:t xml:space="preserve"> </w:t>
                  </w:r>
                  <w:r>
                    <w:rPr>
                      <w:szCs w:val="24"/>
                    </w:rPr>
                    <w:t xml:space="preserve">Išlaidos kitoms komunalinėms paslaugoms vienai savivaldybės priešgaisrinės tarnybos ugniagesių komandai skaičiuojamos atsižvelgiant į skiriamą limitą  (iki 11,58 euro</w:t>
                  </w:r>
                  <w:r>
                    <w:rPr>
                      <w:b/>
                      <w:szCs w:val="24"/>
                    </w:rPr>
                    <w:t xml:space="preserve"> </w:t>
                  </w:r>
                  <w:r>
                    <w:rPr>
                      <w:szCs w:val="24"/>
                    </w:rPr>
                    <w:t>per mėnesį).</w:t>
                  </w:r>
                </w:p>
              </w:sdtContent>
            </w:sdt>
            <w:sdt>
              <w:sdtPr>
                <w:alias w:val="22 p."/>
                <w:tag w:val="part_898b0651e46649cf82e49b26dd883dcf"/>
                <w:lock w:val="sdtLocked"/>
                <w:richText/>
              </w:sdtPr>
              <w:sdtContent>
                <w:p>
                  <w:pPr>
                    <w:tabs>
                      <w:tab w:val="left" w:pos="709"/>
                      <w:tab w:val="left" w:pos="1276"/>
                    </w:tabs>
                    <w:spacing w:line="360" w:lineRule="auto"/>
                    <w:ind w:firstLine="709"/>
                    <w:jc w:val="both"/>
                    <w:rPr>
                      <w:szCs w:val="24"/>
                    </w:rPr>
                  </w:pPr>
                  <w:sdt>
                    <w:sdtPr>
                      <w:alias w:val="Numeris"/>
                      <w:tag w:val="nr_898b0651e46649cf82e49b26dd883dcf"/>
                      <w:lock w:val="sdtLocked"/>
                      <w:richText/>
                    </w:sdtPr>
                    <w:sdtContent>
                      <w:r>
                        <w:rPr>
                          <w:szCs w:val="24"/>
                        </w:rPr>
                        <w:t>22</w:t>
                      </w:r>
                    </w:sdtContent>
                  </w:sdt>
                  <w:r>
                    <w:rPr>
                      <w:szCs w:val="24"/>
                    </w:rPr>
                    <w:t>.</w:t>
                  </w:r>
                  <w:r>
                    <w:rPr>
                      <w:b/>
                      <w:szCs w:val="24"/>
                    </w:rPr>
                    <w:t xml:space="preserve"> </w:t>
                  </w:r>
                  <w:r>
                    <w:rPr>
                      <w:szCs w:val="24"/>
                    </w:rPr>
                    <w:t xml:space="preserve">Pastatų einamojo remonto lėšos skiriamos savivaldybės priešgaisrinei tarnybai. Pastatų einamojo remonto išlaidos skaičiuojamos atsižvelgiant į </w:t>
                  </w:r>
                  <w:r>
                    <w:rPr>
                      <w:bCs/>
                      <w:szCs w:val="24"/>
                    </w:rPr>
                    <w:t>naudojamų pastatų</w:t>
                  </w:r>
                  <w:r>
                    <w:rPr>
                      <w:szCs w:val="24"/>
                    </w:rPr>
                    <w:t xml:space="preserve"> plotą (ne daugiau kaip 110 kv. m esant vienai gaisrinei automobilinei cisternai  ir 160 kv. m esant dviem gaisrinėms automobilinėms cisternoms) ir einamojo remonto išlaidų normą (vidutiniškai 8,69 euro</w:t>
                  </w:r>
                  <w:r>
                    <w:rPr>
                      <w:b/>
                      <w:szCs w:val="24"/>
                    </w:rPr>
                    <w:t xml:space="preserve"> </w:t>
                  </w:r>
                  <w:r>
                    <w:rPr>
                      <w:szCs w:val="24"/>
                    </w:rPr>
                    <w:t>1 kv. m).</w:t>
                  </w:r>
                </w:p>
              </w:sdtContent>
            </w:sdt>
            <w:sdt>
              <w:sdtPr>
                <w:alias w:val="23 p."/>
                <w:tag w:val="part_70b442798f054988b7b45be98ce9c2d1"/>
                <w:lock w:val="sdtLocked"/>
                <w:richText/>
              </w:sdtPr>
              <w:sdtContent>
                <w:p>
                  <w:pPr>
                    <w:tabs>
                      <w:tab w:val="left" w:pos="709"/>
                      <w:tab w:val="left" w:pos="1276"/>
                    </w:tabs>
                    <w:spacing w:line="360" w:lineRule="auto"/>
                    <w:ind w:firstLine="709"/>
                    <w:jc w:val="both"/>
                    <w:rPr>
                      <w:szCs w:val="24"/>
                    </w:rPr>
                  </w:pPr>
                  <w:sdt>
                    <w:sdtPr>
                      <w:alias w:val="Numeris"/>
                      <w:tag w:val="nr_70b442798f054988b7b45be98ce9c2d1"/>
                      <w:lock w:val="sdtLocked"/>
                      <w:richText/>
                    </w:sdtPr>
                    <w:sdtContent>
                      <w:r>
                        <w:rPr>
                          <w:szCs w:val="24"/>
                        </w:rPr>
                        <w:t>23</w:t>
                      </w:r>
                    </w:sdtContent>
                  </w:sdt>
                  <w:r>
                    <w:rPr>
                      <w:szCs w:val="24"/>
                    </w:rPr>
                    <w:t>.</w:t>
                  </w:r>
                  <w:r>
                    <w:rPr>
                      <w:b/>
                      <w:szCs w:val="24"/>
                    </w:rPr>
                    <w:t xml:space="preserve"> </w:t>
                  </w:r>
                  <w:r>
                    <w:rPr>
                      <w:szCs w:val="24"/>
                    </w:rPr>
                    <w:t xml:space="preserve">Išlaidos viešojo telefono ryšio paslaugoms skaičiuojamos atsižvelgiant į viešojo fiksuoto </w:t>
                  </w:r>
                  <w:r>
                    <w:rPr>
                      <w:bCs/>
                      <w:szCs w:val="24"/>
                    </w:rPr>
                    <w:t>ir viešojo judriojo</w:t>
                  </w:r>
                  <w:r>
                    <w:rPr>
                      <w:szCs w:val="24"/>
                    </w:rPr>
                    <w:t xml:space="preserve"> telefono ryšio abonentų skaičių bei vienam viešojo telefono ryšio abonentui pokalbiams ir prisijungimui prie interneto skiriamą limitą:</w:t>
                  </w:r>
                </w:p>
                <w:sdt>
                  <w:sdtPr>
                    <w:alias w:val="23.1 pp."/>
                    <w:tag w:val="part_fb0f356b7db34a088b7b98bbcc4d96dc"/>
                    <w:lock w:val="sdtLocked"/>
                    <w:richText/>
                  </w:sdtPr>
                  <w:sdtContent>
                    <w:p>
                      <w:pPr>
                        <w:tabs>
                          <w:tab w:val="left" w:pos="709"/>
                          <w:tab w:val="left" w:pos="1276"/>
                        </w:tabs>
                        <w:spacing w:line="360" w:lineRule="auto"/>
                        <w:ind w:firstLine="709"/>
                        <w:jc w:val="both"/>
                        <w:rPr>
                          <w:szCs w:val="24"/>
                        </w:rPr>
                      </w:pPr>
                      <w:sdt>
                        <w:sdtPr>
                          <w:alias w:val="Numeris"/>
                          <w:tag w:val="nr_fb0f356b7db34a088b7b98bbcc4d96dc"/>
                          <w:lock w:val="sdtLocked"/>
                          <w:richText/>
                        </w:sdtPr>
                        <w:sdtContent>
                          <w:r>
                            <w:rPr>
                              <w:szCs w:val="24"/>
                            </w:rPr>
                            <w:t>23.1</w:t>
                          </w:r>
                        </w:sdtContent>
                      </w:sdt>
                      <w:r>
                        <w:rPr>
                          <w:szCs w:val="24"/>
                        </w:rPr>
                        <w:t>.</w:t>
                      </w:r>
                      <w:r>
                        <w:rPr>
                          <w:b/>
                          <w:szCs w:val="24"/>
                        </w:rPr>
                        <w:t xml:space="preserve"> </w:t>
                      </w:r>
                      <w:r>
                        <w:rPr>
                          <w:szCs w:val="24"/>
                        </w:rPr>
                        <w:t xml:space="preserve"> savivaldybės priešgaisrinės tarnybos administracijai  skiriami du viešojo  judriojo arba du viešojo fiksuoto ryšio telefono abonentai (vienam viešojo telefono ryšio abonentui skiriama iki 11,58 eurų per mėnesį, o prisijungimui prie interneto iki 8,69 euro</w:t>
                      </w:r>
                      <w:r>
                        <w:rPr>
                          <w:b/>
                          <w:szCs w:val="24"/>
                        </w:rPr>
                        <w:t xml:space="preserve"> </w:t>
                      </w:r>
                      <w:r>
                        <w:rPr>
                          <w:szCs w:val="24"/>
                        </w:rPr>
                        <w:t>per mėnesį);</w:t>
                      </w:r>
                    </w:p>
                  </w:sdtContent>
                </w:sdt>
                <w:sdt>
                  <w:sdtPr>
                    <w:alias w:val="23.2 pp."/>
                    <w:tag w:val="part_976ff21d52354dec91b4384af7e40906"/>
                    <w:lock w:val="sdtLocked"/>
                    <w:richText/>
                  </w:sdtPr>
                  <w:sdtContent>
                    <w:p>
                      <w:pPr>
                        <w:tabs>
                          <w:tab w:val="left" w:pos="709"/>
                          <w:tab w:val="left" w:pos="1276"/>
                        </w:tabs>
                        <w:spacing w:line="360" w:lineRule="auto"/>
                        <w:ind w:firstLine="709"/>
                        <w:jc w:val="both"/>
                        <w:rPr>
                          <w:szCs w:val="24"/>
                        </w:rPr>
                      </w:pPr>
                      <w:sdt>
                        <w:sdtPr>
                          <w:alias w:val="Numeris"/>
                          <w:tag w:val="nr_976ff21d52354dec91b4384af7e40906"/>
                          <w:lock w:val="sdtLocked"/>
                          <w:richText/>
                        </w:sdtPr>
                        <w:sdtContent>
                          <w:r>
                            <w:rPr>
                              <w:szCs w:val="24"/>
                            </w:rPr>
                            <w:t>23.2</w:t>
                          </w:r>
                        </w:sdtContent>
                      </w:sdt>
                      <w:r>
                        <w:rPr>
                          <w:szCs w:val="24"/>
                        </w:rPr>
                        <w:t>.</w:t>
                      </w:r>
                      <w:r>
                        <w:rPr>
                          <w:b/>
                          <w:szCs w:val="24"/>
                        </w:rPr>
                        <w:t xml:space="preserve"> </w:t>
                      </w:r>
                      <w:r>
                        <w:rPr>
                          <w:szCs w:val="24"/>
                        </w:rPr>
                        <w:t xml:space="preserve">vienai savivaldybės priešgaisrinės tarnybos ugniagesių komandai skiriamas  vienas viešojo judriojo telefono ryšio abonentas (vienam viešojo judriojo telefono ryšio abonentui skiriama iki 8,69 euro</w:t>
                      </w:r>
                      <w:r>
                        <w:rPr>
                          <w:b/>
                          <w:szCs w:val="24"/>
                        </w:rPr>
                        <w:t xml:space="preserve"> </w:t>
                      </w:r>
                      <w:r>
                        <w:rPr>
                          <w:szCs w:val="24"/>
                        </w:rPr>
                        <w:t>per mėnesį).</w:t>
                      </w:r>
                    </w:p>
                  </w:sdtContent>
                </w:sdt>
              </w:sdtContent>
            </w:sdt>
            <w:sdt>
              <w:sdtPr>
                <w:alias w:val="24 p."/>
                <w:tag w:val="part_65826dee09874b7aba0b0f0266975960"/>
                <w:lock w:val="sdtLocked"/>
                <w:richText/>
              </w:sdtPr>
              <w:sdtContent>
                <w:p>
                  <w:pPr>
                    <w:tabs>
                      <w:tab w:val="left" w:pos="709"/>
                      <w:tab w:val="left" w:pos="1276"/>
                    </w:tabs>
                    <w:spacing w:line="360" w:lineRule="auto"/>
                    <w:ind w:firstLine="709"/>
                    <w:jc w:val="both"/>
                    <w:rPr>
                      <w:szCs w:val="24"/>
                    </w:rPr>
                  </w:pPr>
                  <w:sdt>
                    <w:sdtPr>
                      <w:alias w:val="Numeris"/>
                      <w:tag w:val="nr_65826dee09874b7aba0b0f0266975960"/>
                      <w:lock w:val="sdtLocked"/>
                      <w:richText/>
                    </w:sdtPr>
                    <w:sdtContent>
                      <w:r>
                        <w:rPr>
                          <w:szCs w:val="24"/>
                        </w:rPr>
                        <w:t>24</w:t>
                      </w:r>
                    </w:sdtContent>
                  </w:sdt>
                  <w:r>
                    <w:rPr>
                      <w:szCs w:val="24"/>
                    </w:rPr>
                    <w:t>.</w:t>
                  </w:r>
                  <w:r>
                    <w:rPr>
                      <w:b/>
                      <w:szCs w:val="24"/>
                    </w:rPr>
                    <w:t xml:space="preserve"> </w:t>
                  </w:r>
                  <w:r>
                    <w:rPr>
                      <w:szCs w:val="24"/>
                    </w:rPr>
                    <w:t xml:space="preserve">Transporto išlaikymo išlaidos skaičiuojamos atskirai vienai </w:t>
                  </w:r>
                  <w:r>
                    <w:rPr>
                      <w:bCs/>
                      <w:szCs w:val="24"/>
                    </w:rPr>
                    <w:t xml:space="preserve">gaisrinei automobilinei cisternai ir vienai rezervinei gaisrinei automobilinei cisternai:  </w:t>
                  </w:r>
                </w:p>
                <w:sdt>
                  <w:sdtPr>
                    <w:alias w:val="24.1 pp."/>
                    <w:tag w:val="part_a1b1a2602e044ae5bf6b389ef4f1d4d2"/>
                    <w:lock w:val="sdtLocked"/>
                    <w:richText/>
                  </w:sdtPr>
                  <w:sdtContent>
                    <w:p>
                      <w:pPr>
                        <w:spacing w:line="360" w:lineRule="auto"/>
                        <w:ind w:firstLine="720"/>
                        <w:jc w:val="both"/>
                        <w:rPr>
                          <w:b/>
                          <w:color w:val="000000"/>
                          <w:szCs w:val="24"/>
                        </w:rPr>
                      </w:pPr>
                      <w:sdt>
                        <w:sdtPr>
                          <w:alias w:val="Numeris"/>
                          <w:tag w:val="nr_a1b1a2602e044ae5bf6b389ef4f1d4d2"/>
                          <w:lock w:val="sdtLocked"/>
                          <w:richText/>
                        </w:sdtPr>
                        <w:sdtContent>
                          <w:r>
                            <w:rPr>
                              <w:color w:val="000000"/>
                              <w:szCs w:val="24"/>
                            </w:rPr>
                            <w:t>24.1</w:t>
                          </w:r>
                        </w:sdtContent>
                      </w:sdt>
                      <w:r>
                        <w:rPr>
                          <w:color w:val="000000"/>
                          <w:szCs w:val="24"/>
                        </w:rPr>
                        <w:t>.</w:t>
                      </w:r>
                      <w:r>
                        <w:rPr>
                          <w:b/>
                          <w:color w:val="000000"/>
                          <w:szCs w:val="24"/>
                        </w:rPr>
                        <w:t xml:space="preserve"> </w:t>
                      </w:r>
                      <w:r>
                        <w:rPr>
                          <w:color w:val="000000"/>
                          <w:szCs w:val="24"/>
                        </w:rPr>
                        <w:t>transporto išlaikymo išlaidos vienai gaisrinei automobilinei cisternai skaičiuojamos sudedant:</w:t>
                      </w:r>
                    </w:p>
                    <w:sdt>
                      <w:sdtPr>
                        <w:alias w:val="24.1.1 pp."/>
                        <w:tag w:val="part_6b0d0e3113cb45e295749400aa47c71e"/>
                        <w:lock w:val="sdtLocked"/>
                        <w:richText/>
                      </w:sdtPr>
                      <w:sdtContent>
                        <w:p>
                          <w:pPr>
                            <w:spacing w:line="360" w:lineRule="auto"/>
                            <w:ind w:firstLine="720"/>
                            <w:jc w:val="both"/>
                            <w:rPr>
                              <w:szCs w:val="24"/>
                            </w:rPr>
                          </w:pPr>
                          <w:sdt>
                            <w:sdtPr>
                              <w:alias w:val="Numeris"/>
                              <w:tag w:val="nr_6b0d0e3113cb45e295749400aa47c71e"/>
                              <w:lock w:val="sdtLocked"/>
                              <w:richText/>
                            </w:sdtPr>
                            <w:sdtContent>
                              <w:r>
                                <w:rPr>
                                  <w:color w:val="000000"/>
                                  <w:szCs w:val="24"/>
                                </w:rPr>
                                <w:t>24.1.1</w:t>
                              </w:r>
                            </w:sdtContent>
                          </w:sdt>
                          <w:r>
                            <w:rPr>
                              <w:color w:val="000000"/>
                              <w:szCs w:val="24"/>
                            </w:rPr>
                            <w:t>.</w:t>
                          </w:r>
                          <w:r>
                            <w:rPr>
                              <w:b/>
                              <w:color w:val="000000"/>
                              <w:szCs w:val="24"/>
                            </w:rPr>
                            <w:t xml:space="preserve"> </w:t>
                          </w:r>
                          <w:r>
                            <w:rPr>
                              <w:szCs w:val="24"/>
                            </w:rPr>
                            <w:t>degalų ir tepalų įsigijimo išlaidas – atsižvelgiant į gaisrinės automobilinės cisternos suminę metinę ridą, kuri skaičiuojama pagal formulę:</w:t>
                          </w:r>
                        </w:p>
                        <w:p>
                          <w:pPr>
                            <w:spacing w:line="360" w:lineRule="auto"/>
                            <w:ind w:firstLine="720"/>
                            <w:jc w:val="both"/>
                            <w:rPr>
                              <w:szCs w:val="24"/>
                            </w:rPr>
                          </w:pPr>
                          <w:r>
                            <w:rPr>
                              <w:szCs w:val="24"/>
                            </w:rPr>
                            <w:t>SR = R + A + S,</w:t>
                          </w:r>
                        </w:p>
                        <w:p>
                          <w:pPr>
                            <w:spacing w:line="360" w:lineRule="auto"/>
                            <w:ind w:firstLine="720"/>
                            <w:jc w:val="both"/>
                            <w:rPr>
                              <w:szCs w:val="24"/>
                            </w:rPr>
                          </w:pPr>
                          <w:r>
                            <w:rPr>
                              <w:szCs w:val="24"/>
                            </w:rPr>
                            <w:t>kur:</w:t>
                          </w:r>
                        </w:p>
                        <w:p>
                          <w:pPr>
                            <w:spacing w:line="360" w:lineRule="auto"/>
                            <w:ind w:firstLine="720"/>
                            <w:jc w:val="both"/>
                            <w:rPr>
                              <w:szCs w:val="24"/>
                            </w:rPr>
                          </w:pPr>
                          <w:r>
                            <w:rPr>
                              <w:i/>
                              <w:iCs/>
                              <w:szCs w:val="24"/>
                            </w:rPr>
                            <w:t>SR</w:t>
                          </w:r>
                          <w:r>
                            <w:rPr>
                              <w:szCs w:val="24"/>
                            </w:rPr>
                            <w:t> – suminė metinė rida, km;</w:t>
                          </w:r>
                        </w:p>
                        <w:p>
                          <w:pPr>
                            <w:spacing w:line="360" w:lineRule="auto"/>
                            <w:ind w:firstLine="720"/>
                            <w:jc w:val="both"/>
                            <w:rPr>
                              <w:szCs w:val="24"/>
                            </w:rPr>
                          </w:pPr>
                          <w:r>
                            <w:rPr>
                              <w:i/>
                              <w:iCs/>
                              <w:szCs w:val="24"/>
                            </w:rPr>
                            <w:t>R</w:t>
                          </w:r>
                          <w:r>
                            <w:rPr>
                              <w:szCs w:val="24"/>
                            </w:rPr>
                            <w:t> – automobilinės cisternos metinė rida, km;</w:t>
                          </w:r>
                        </w:p>
                        <w:p>
                          <w:pPr>
                            <w:spacing w:line="360" w:lineRule="auto"/>
                            <w:ind w:firstLine="720"/>
                            <w:jc w:val="both"/>
                            <w:rPr>
                              <w:szCs w:val="24"/>
                            </w:rPr>
                          </w:pPr>
                          <w:r>
                            <w:rPr>
                              <w:i/>
                              <w:iCs/>
                              <w:szCs w:val="24"/>
                            </w:rPr>
                            <w:t>A</w:t>
                          </w:r>
                          <w:r>
                            <w:rPr>
                              <w:szCs w:val="24"/>
                            </w:rPr>
                            <w:t> – metinis vidaus degimo variklio darbas su specialiu agregatu, km (1 val. = 50 km);</w:t>
                          </w:r>
                        </w:p>
                        <w:p>
                          <w:pPr>
                            <w:spacing w:line="360" w:lineRule="auto"/>
                            <w:ind w:firstLine="720"/>
                            <w:jc w:val="both"/>
                            <w:rPr>
                              <w:szCs w:val="24"/>
                            </w:rPr>
                          </w:pPr>
                          <w:r>
                            <w:rPr>
                              <w:i/>
                              <w:iCs/>
                              <w:spacing w:val="2"/>
                              <w:szCs w:val="24"/>
                            </w:rPr>
                            <w:t>S</w:t>
                          </w:r>
                          <w:r>
                            <w:rPr>
                              <w:spacing w:val="2"/>
                              <w:szCs w:val="24"/>
                            </w:rPr>
                            <w:t> – vidaus degimo variklio darbas be specialaus agregato, kai transporto priemonė stovi (darbas laisvąja eiga), km (1 val. = 5 km).</w:t>
                          </w:r>
                        </w:p>
                        <w:p>
                          <w:pPr>
                            <w:spacing w:line="360" w:lineRule="auto"/>
                            <w:ind w:firstLine="720"/>
                            <w:jc w:val="both"/>
                            <w:rPr>
                              <w:szCs w:val="24"/>
                            </w:rPr>
                          </w:pPr>
                          <w:r>
                            <w:rPr>
                              <w:szCs w:val="24"/>
                            </w:rPr>
                            <w:t>Atsižvelgiant į gaisrinių automobilinių cisternų gamintojo nurodytus duomenis apie degalų suvartojimo normą,</w:t>
                          </w:r>
                          <w:r>
                            <w:rPr>
                              <w:color w:val="000000"/>
                              <w:szCs w:val="24"/>
                            </w:rPr>
                            <w:t xml:space="preserve"> </w:t>
                          </w:r>
                          <w:r>
                            <w:rPr>
                              <w:szCs w:val="24"/>
                            </w:rPr>
                            <w:t>gautas suminės metinės ridos rezultatas kilometrais paverčiamas į degalus litrais. Tepalų suvartojimo normos nustatomos vadovaujantis gaisrinės automobilinės cisternos gamintojo rekomendacijomis.</w:t>
                          </w:r>
                        </w:p>
                        <w:p>
                          <w:pPr>
                            <w:spacing w:line="360" w:lineRule="auto"/>
                            <w:ind w:firstLine="720"/>
                            <w:jc w:val="both"/>
                            <w:rPr>
                              <w:szCs w:val="24"/>
                            </w:rPr>
                          </w:pPr>
                          <w:r>
                            <w:rPr>
                              <w:szCs w:val="24"/>
                            </w:rPr>
                            <w:t>Apskaičiuotos metinės degalų ir tepalų įsigijimo išlaidos vienai gaisrinei automobilinei cisternai paskirstomos pagal vidutinę vienos gaisrinės automobilinės cisternos metinę suminę ridą (3500 km).</w:t>
                          </w:r>
                        </w:p>
                      </w:sdtContent>
                    </w:sdt>
                    <w:sdt>
                      <w:sdtPr>
                        <w:alias w:val="24.1.2 pp."/>
                        <w:tag w:val="part_141380f56ad34f38a45d28884a364b87"/>
                        <w:lock w:val="sdtLocked"/>
                        <w:richText/>
                      </w:sdtPr>
                      <w:sdtContent>
                        <w:p>
                          <w:pPr>
                            <w:tabs>
                              <w:tab w:val="left" w:pos="0"/>
                              <w:tab w:val="left" w:pos="709"/>
                              <w:tab w:val="left" w:pos="1276"/>
                              <w:tab w:val="left" w:pos="1560"/>
                            </w:tabs>
                            <w:spacing w:line="360" w:lineRule="auto"/>
                            <w:ind w:firstLine="709"/>
                            <w:jc w:val="both"/>
                            <w:rPr>
                              <w:szCs w:val="24"/>
                            </w:rPr>
                          </w:pPr>
                          <w:sdt>
                            <w:sdtPr>
                              <w:alias w:val="Numeris"/>
                              <w:tag w:val="nr_141380f56ad34f38a45d28884a364b87"/>
                              <w:lock w:val="sdtLocked"/>
                              <w:richText/>
                            </w:sdtPr>
                            <w:sdtContent>
                              <w:r>
                                <w:rPr>
                                  <w:szCs w:val="24"/>
                                </w:rPr>
                                <w:t>24.1.2</w:t>
                              </w:r>
                            </w:sdtContent>
                          </w:sdt>
                          <w:r>
                            <w:rPr>
                              <w:szCs w:val="24"/>
                            </w:rPr>
                            <w:t>.</w:t>
                          </w:r>
                          <w:r>
                            <w:rPr>
                              <w:b/>
                              <w:szCs w:val="24"/>
                            </w:rPr>
                            <w:t xml:space="preserve"> </w:t>
                          </w:r>
                          <w:r>
                            <w:rPr>
                              <w:szCs w:val="24"/>
                            </w:rPr>
                            <w:t>atsarginių dalių įsigijimo išlaidas – atsižvelgiant į padangų naudojimo laiką (6 metai), vidutinę vienos padangos kainą, akumuliatoriaus naudojimo laiką (2,5 metų), vidutinę vieno akumuliatoriaus kainą, kitoms atsarginėms dalims – pagal eksploatuojamos technikos normatyvus;</w:t>
                          </w:r>
                        </w:p>
                      </w:sdtContent>
                    </w:sdt>
                    <w:sdt>
                      <w:sdtPr>
                        <w:alias w:val="24.1.3 pp."/>
                        <w:tag w:val="part_d7b057ab8e774bde91e7716dfa9ee060"/>
                        <w:lock w:val="sdtLocked"/>
                        <w:richText/>
                      </w:sdtPr>
                      <w:sdtContent>
                        <w:p>
                          <w:pPr>
                            <w:tabs>
                              <w:tab w:val="left" w:pos="0"/>
                              <w:tab w:val="left" w:pos="709"/>
                              <w:tab w:val="left" w:pos="1560"/>
                            </w:tabs>
                            <w:spacing w:line="360" w:lineRule="auto"/>
                            <w:ind w:firstLine="709"/>
                            <w:jc w:val="both"/>
                            <w:rPr>
                              <w:szCs w:val="24"/>
                            </w:rPr>
                          </w:pPr>
                          <w:sdt>
                            <w:sdtPr>
                              <w:alias w:val="Numeris"/>
                              <w:tag w:val="nr_d7b057ab8e774bde91e7716dfa9ee060"/>
                              <w:lock w:val="sdtLocked"/>
                              <w:richText/>
                            </w:sdtPr>
                            <w:sdtContent>
                              <w:r>
                                <w:rPr>
                                  <w:szCs w:val="24"/>
                                </w:rPr>
                                <w:t>24.1.3</w:t>
                              </w:r>
                            </w:sdtContent>
                          </w:sdt>
                          <w:r>
                            <w:rPr>
                              <w:szCs w:val="24"/>
                            </w:rPr>
                            <w:t>.</w:t>
                          </w:r>
                          <w:r>
                            <w:rPr>
                              <w:b/>
                              <w:szCs w:val="24"/>
                            </w:rPr>
                            <w:t xml:space="preserve"> </w:t>
                          </w:r>
                          <w:r>
                            <w:rPr>
                              <w:szCs w:val="24"/>
                            </w:rPr>
                            <w:t>techninės priežiūros išlaidas – atsižvelgiant į remonto darbų valandos normą (10 valandų / 1000 suminių km), priežiūros valandos normą (vidutiniškai 28,96 euro);</w:t>
                          </w:r>
                        </w:p>
                      </w:sdtContent>
                    </w:sdt>
                    <w:sdt>
                      <w:sdtPr>
                        <w:alias w:val="24.1.4 pp."/>
                        <w:tag w:val="part_4618b93ff1214f2d954f255192c1c3a4"/>
                        <w:lock w:val="sdtLocked"/>
                        <w:richText/>
                      </w:sdtPr>
                      <w:sdtContent>
                        <w:p>
                          <w:pPr>
                            <w:tabs>
                              <w:tab w:val="left" w:pos="0"/>
                              <w:tab w:val="left" w:pos="709"/>
                              <w:tab w:val="left" w:pos="1560"/>
                            </w:tabs>
                            <w:spacing w:line="360" w:lineRule="auto"/>
                            <w:ind w:firstLine="709"/>
                            <w:jc w:val="both"/>
                            <w:rPr>
                              <w:szCs w:val="24"/>
                            </w:rPr>
                          </w:pPr>
                          <w:sdt>
                            <w:sdtPr>
                              <w:alias w:val="Numeris"/>
                              <w:tag w:val="nr_4618b93ff1214f2d954f255192c1c3a4"/>
                              <w:lock w:val="sdtLocked"/>
                              <w:richText/>
                            </w:sdtPr>
                            <w:sdtContent>
                              <w:r>
                                <w:rPr>
                                  <w:szCs w:val="24"/>
                                </w:rPr>
                                <w:t>24.1.4</w:t>
                              </w:r>
                            </w:sdtContent>
                          </w:sdt>
                          <w:r>
                            <w:rPr>
                              <w:szCs w:val="24"/>
                            </w:rPr>
                            <w:t>.</w:t>
                          </w:r>
                          <w:r>
                            <w:rPr>
                              <w:b/>
                              <w:szCs w:val="24"/>
                            </w:rPr>
                            <w:t xml:space="preserve"> </w:t>
                          </w:r>
                          <w:r>
                            <w:rPr>
                              <w:szCs w:val="24"/>
                            </w:rPr>
                            <w:t>techninės apžiūros ir transporto priemonių valdytojų civilinės atsakomybės privalomojo draudimo išlaidas – atsižvelgiant į gaisrinių automobilių techninės apžiūros mokestį ir transporto priemonių valdytojų civilinės atsakomybės privalomojo draudimo išlaidas;</w:t>
                          </w:r>
                        </w:p>
                      </w:sdtContent>
                    </w:sdt>
                  </w:sdtContent>
                </w:sdt>
                <w:sdt>
                  <w:sdtPr>
                    <w:alias w:val="24.2 pp."/>
                    <w:tag w:val="part_ce8364c90f2944acbbe9c58184890aad"/>
                    <w:lock w:val="sdtLocked"/>
                    <w:richText/>
                  </w:sdtPr>
                  <w:sdtContent>
                    <w:p>
                      <w:pPr>
                        <w:tabs>
                          <w:tab w:val="left" w:pos="0"/>
                          <w:tab w:val="left" w:pos="709"/>
                          <w:tab w:val="left" w:pos="1560"/>
                        </w:tabs>
                        <w:spacing w:line="360" w:lineRule="auto"/>
                        <w:ind w:firstLine="709"/>
                        <w:jc w:val="both"/>
                        <w:rPr>
                          <w:szCs w:val="24"/>
                        </w:rPr>
                      </w:pPr>
                      <w:sdt>
                        <w:sdtPr>
                          <w:alias w:val="Numeris"/>
                          <w:tag w:val="nr_ce8364c90f2944acbbe9c58184890aad"/>
                          <w:lock w:val="sdtLocked"/>
                          <w:richText/>
                        </w:sdtPr>
                        <w:sdtContent>
                          <w:r>
                            <w:rPr>
                              <w:bCs/>
                              <w:szCs w:val="24"/>
                            </w:rPr>
                            <w:t>24.2</w:t>
                          </w:r>
                        </w:sdtContent>
                      </w:sdt>
                      <w:r>
                        <w:rPr>
                          <w:bCs/>
                          <w:szCs w:val="24"/>
                        </w:rPr>
                        <w:t>.</w:t>
                      </w:r>
                      <w:r>
                        <w:rPr>
                          <w:b/>
                          <w:bCs/>
                          <w:szCs w:val="24"/>
                        </w:rPr>
                        <w:t xml:space="preserve"> </w:t>
                      </w:r>
                      <w:r>
                        <w:rPr>
                          <w:bCs/>
                          <w:szCs w:val="24"/>
                        </w:rPr>
                        <w:t xml:space="preserve"> transporto išlaikymo išlaidos vienai r</w:t>
                      </w:r>
                      <w:r>
                        <w:rPr>
                          <w:szCs w:val="24"/>
                        </w:rPr>
                        <w:t xml:space="preserve">ezervinei </w:t>
                      </w:r>
                      <w:r>
                        <w:rPr>
                          <w:bCs/>
                          <w:szCs w:val="24"/>
                        </w:rPr>
                        <w:t>gaisrinei automobilinei cisternai</w:t>
                      </w:r>
                      <w:r>
                        <w:rPr>
                          <w:szCs w:val="24"/>
                        </w:rPr>
                        <w:t xml:space="preserve">  skaičiuojamos pagal šios metodikos</w:t>
                      </w:r>
                      <w:r>
                        <w:rPr>
                          <w:b/>
                          <w:szCs w:val="24"/>
                        </w:rPr>
                        <w:t xml:space="preserve"> </w:t>
                      </w:r>
                      <w:r>
                        <w:rPr>
                          <w:szCs w:val="24"/>
                        </w:rPr>
                        <w:t xml:space="preserve"> 24.1.2 ir 24.1.4</w:t>
                      </w:r>
                      <w:r>
                        <w:rPr>
                          <w:b/>
                          <w:szCs w:val="24"/>
                        </w:rPr>
                        <w:t xml:space="preserve"> </w:t>
                      </w:r>
                      <w:r>
                        <w:rPr>
                          <w:szCs w:val="24"/>
                        </w:rPr>
                        <w:t xml:space="preserve">papunkčius; techninės priežiūros išlaidoms  metams  skiriamos  3 remonto darbų valandos, priežiūros valandos norma – vidutiniškai 28,96 euro.</w:t>
                        <w:tab/>
                      </w:r>
                    </w:p>
                  </w:sdtContent>
                </w:sdt>
              </w:sdtContent>
            </w:sdt>
            <w:sdt>
              <w:sdtPr>
                <w:alias w:val="25 p."/>
                <w:tag w:val="part_a4f4899f69324cc68c53088292f2995c"/>
                <w:lock w:val="sdtLocked"/>
                <w:richText/>
              </w:sdtPr>
              <w:sdtContent>
                <w:p>
                  <w:pPr>
                    <w:tabs>
                      <w:tab w:val="left" w:pos="0"/>
                      <w:tab w:val="left" w:pos="709"/>
                      <w:tab w:val="left" w:pos="1560"/>
                    </w:tabs>
                    <w:spacing w:line="360" w:lineRule="auto"/>
                    <w:ind w:firstLine="709"/>
                    <w:jc w:val="both"/>
                    <w:rPr>
                      <w:szCs w:val="24"/>
                    </w:rPr>
                  </w:pPr>
                  <w:sdt>
                    <w:sdtPr>
                      <w:alias w:val="Numeris"/>
                      <w:tag w:val="nr_a4f4899f69324cc68c53088292f2995c"/>
                      <w:lock w:val="sdtLocked"/>
                      <w:richText/>
                    </w:sdtPr>
                    <w:sdtContent>
                      <w:r>
                        <w:rPr>
                          <w:szCs w:val="24"/>
                        </w:rPr>
                        <w:t>25</w:t>
                      </w:r>
                    </w:sdtContent>
                  </w:sdt>
                  <w:r>
                    <w:rPr>
                      <w:szCs w:val="24"/>
                    </w:rPr>
                    <w:t>. Gaisriniam gelbėjimo inventoriui, pirmosios pagalbos priemonėms, asmeninėms apsaugos priemonėms ir trumpalaikiam turtui skiriama iki 10 proc., o kvalifikacijos tobulinimui iki 5 proc. apskaičiuoto bendro darbo užmokesčio fondo.</w:t>
                  </w:r>
                </w:p>
                <w:p>
                  <w:pPr>
                    <w:tabs>
                      <w:tab w:val="left" w:pos="0"/>
                      <w:tab w:val="left" w:pos="709"/>
                      <w:tab w:val="left" w:pos="1560"/>
                    </w:tabs>
                    <w:spacing w:line="360" w:lineRule="auto"/>
                    <w:jc w:val="both"/>
                    <w:rPr>
                      <w:szCs w:val="24"/>
                    </w:rPr>
                  </w:pPr>
                </w:p>
              </w:sdtContent>
            </w:sdt>
          </w:sdtContent>
        </w:sdt>
        <w:sdt>
          <w:sdtPr>
            <w:alias w:val="skyrius"/>
            <w:tag w:val="part_700dd7c0d39843d4abfbef16e0e7e2ba"/>
            <w:lock w:val="sdtLocked"/>
            <w:richText/>
          </w:sdtPr>
          <w:sdtContent>
            <w:p>
              <w:pPr>
                <w:tabs>
                  <w:tab w:val="left" w:pos="709"/>
                </w:tabs>
                <w:spacing w:line="360" w:lineRule="auto"/>
                <w:jc w:val="center"/>
                <w:rPr>
                  <w:b/>
                  <w:kern w:val="2"/>
                  <w:szCs w:val="24"/>
                  <w:lang w:eastAsia="ru-RU"/>
                </w:rPr>
              </w:pPr>
              <w:sdt>
                <w:sdtPr>
                  <w:alias w:val="Numeris"/>
                  <w:tag w:val="nr_700dd7c0d39843d4abfbef16e0e7e2ba"/>
                  <w:lock w:val="sdtLocked"/>
                  <w:richText/>
                </w:sdtPr>
                <w:sdtContent>
                  <w:r>
                    <w:rPr>
                      <w:b/>
                      <w:bCs/>
                      <w:kern w:val="2"/>
                      <w:szCs w:val="24"/>
                      <w:lang w:eastAsia="ru-RU"/>
                    </w:rPr>
                    <w:t>IV</w:t>
                  </w:r>
                </w:sdtContent>
              </w:sdt>
              <w:r>
                <w:rPr>
                  <w:b/>
                  <w:bCs/>
                  <w:kern w:val="2"/>
                  <w:szCs w:val="24"/>
                  <w:lang w:eastAsia="ru-RU"/>
                </w:rPr>
                <w:t xml:space="preserve"> </w:t>
              </w:r>
              <w:r>
                <w:rPr>
                  <w:b/>
                  <w:kern w:val="2"/>
                  <w:szCs w:val="24"/>
                  <w:lang w:eastAsia="ru-RU"/>
                </w:rPr>
                <w:t>SKYRIUS</w:t>
              </w:r>
            </w:p>
            <w:p>
              <w:pPr>
                <w:spacing w:line="360" w:lineRule="auto"/>
                <w:jc w:val="center"/>
                <w:rPr>
                  <w:b/>
                  <w:bCs/>
                  <w:caps/>
                  <w:kern w:val="2"/>
                  <w:szCs w:val="24"/>
                </w:rPr>
              </w:pPr>
              <w:sdt>
                <w:sdtPr>
                  <w:alias w:val="Pavadinimas"/>
                  <w:tag w:val="title_700dd7c0d39843d4abfbef16e0e7e2ba"/>
                  <w:lock w:val="sdtLocked"/>
                  <w:richText/>
                </w:sdtPr>
                <w:sdtContent>
                  <w:r>
                    <w:rPr>
                      <w:b/>
                      <w:bCs/>
                      <w:caps/>
                      <w:kern w:val="2"/>
                      <w:szCs w:val="24"/>
                    </w:rPr>
                    <w:t>GYVENAMOSIOS VIETOS DEKLARAVIMO DUOMENŲ IR GYVENAMOSIOS VIETOS NEDEKLARAVUSIŲ ASMENŲ APSKAITOS DUOMENŲ TVARKYMO FUNKCIJAI ATLIKTI valstybės biudžeto LĖŠŲ POREIKIO SKAIČIAVIMAS</w:t>
                  </w:r>
                </w:sdtContent>
              </w:sdt>
            </w:p>
            <w:p>
              <w:pPr>
                <w:tabs>
                  <w:tab w:val="left" w:pos="494"/>
                </w:tabs>
                <w:spacing w:line="360" w:lineRule="auto"/>
                <w:jc w:val="both"/>
                <w:rPr>
                  <w:kern w:val="2"/>
                  <w:sz w:val="22"/>
                  <w:szCs w:val="22"/>
                </w:rPr>
              </w:pPr>
            </w:p>
            <w:sdt>
              <w:sdtPr>
                <w:alias w:val="26 p."/>
                <w:tag w:val="part_0de0dfc0650442019dbf5582590449c9"/>
                <w:lock w:val="sdtLocked"/>
                <w:richText/>
              </w:sdtPr>
              <w:sdtContent>
                <w:p>
                  <w:pPr>
                    <w:tabs>
                      <w:tab w:val="left" w:pos="851"/>
                    </w:tabs>
                    <w:spacing w:line="360" w:lineRule="auto"/>
                    <w:ind w:firstLine="851"/>
                    <w:jc w:val="both"/>
                    <w:rPr>
                      <w:kern w:val="2"/>
                      <w:szCs w:val="24"/>
                      <w:lang w:eastAsia="lt-LT"/>
                    </w:rPr>
                  </w:pPr>
                  <w:sdt>
                    <w:sdtPr>
                      <w:alias w:val="Numeris"/>
                      <w:tag w:val="nr_0de0dfc0650442019dbf5582590449c9"/>
                      <w:lock w:val="sdtLocked"/>
                      <w:richText/>
                    </w:sdtPr>
                    <w:sdtContent>
                      <w:r>
                        <w:rPr>
                          <w:kern w:val="2"/>
                          <w:szCs w:val="24"/>
                          <w:lang w:eastAsia="lt-LT"/>
                        </w:rPr>
                        <w:t>26</w:t>
                      </w:r>
                    </w:sdtContent>
                  </w:sdt>
                  <w:r>
                    <w:rPr>
                      <w:kern w:val="2"/>
                      <w:szCs w:val="24"/>
                      <w:lang w:eastAsia="lt-LT"/>
                    </w:rPr>
                    <w:t>. Lietuvos Respublikos Vyriausybei patvirtinus Lietuvos Respublikos atitinkamų metų biudžeto patvirtinimo įstatymo projekto rengimo planą, ateinančių biudžetinių metų valstybinei (valstybės perduotai savivaldybėms) gyvenamosios vietos deklaravimo duomenų ir gyvenamosios vietos nedeklaravusių asmenų apskaitos duomenų tvarkymo funkcijai atlikti bendra specialiosios tikslinės dotacijos savivaldybių biudžetams (toliau – Dotacija) suma apskaičiuojama pagal formulę:</w:t>
                  </w:r>
                </w:p>
                <w:p>
                  <w:pPr>
                    <w:tabs>
                      <w:tab w:val="left" w:pos="851"/>
                    </w:tabs>
                    <w:suppressAutoHyphens/>
                    <w:spacing w:line="360" w:lineRule="auto"/>
                    <w:ind w:firstLine="851"/>
                    <w:jc w:val="both"/>
                    <w:textAlignment w:val="center"/>
                    <w:rPr>
                      <w:color w:val="000000"/>
                      <w:kern w:val="2"/>
                      <w:szCs w:val="24"/>
                    </w:rPr>
                  </w:pPr>
                  <w:r>
                    <w:rPr>
                      <w:color w:val="000000"/>
                      <w:kern w:val="2"/>
                      <w:szCs w:val="24"/>
                    </w:rPr>
                    <w:t>STD</w:t>
                  </w:r>
                  <w:r>
                    <w:rPr>
                      <w:i/>
                      <w:iCs/>
                      <w:color w:val="000000"/>
                      <w:kern w:val="2"/>
                      <w:szCs w:val="24"/>
                      <w:vertAlign w:val="subscript"/>
                    </w:rPr>
                    <w:t xml:space="preserve">n+1 </w:t>
                  </w:r>
                  <w:r>
                    <w:rPr>
                      <w:color w:val="000000"/>
                      <w:kern w:val="2"/>
                      <w:szCs w:val="24"/>
                    </w:rPr>
                    <w:t>= IVA x k x LGS</w:t>
                  </w:r>
                  <w:r>
                    <w:rPr>
                      <w:i/>
                      <w:iCs/>
                      <w:color w:val="000000"/>
                      <w:kern w:val="2"/>
                      <w:szCs w:val="24"/>
                      <w:vertAlign w:val="subscript"/>
                    </w:rPr>
                    <w:t>n</w:t>
                  </w:r>
                  <w:r>
                    <w:rPr>
                      <w:color w:val="000000"/>
                      <w:kern w:val="2"/>
                      <w:szCs w:val="24"/>
                    </w:rPr>
                    <w:t xml:space="preserve">, </w:t>
                  </w:r>
                </w:p>
                <w:p>
                  <w:pPr>
                    <w:tabs>
                      <w:tab w:val="left" w:pos="851"/>
                    </w:tabs>
                    <w:suppressAutoHyphens/>
                    <w:spacing w:line="360" w:lineRule="auto"/>
                    <w:ind w:firstLine="851"/>
                    <w:jc w:val="both"/>
                    <w:textAlignment w:val="center"/>
                    <w:rPr>
                      <w:color w:val="000000"/>
                      <w:kern w:val="2"/>
                      <w:szCs w:val="24"/>
                    </w:rPr>
                  </w:pPr>
                  <w:r>
                    <w:rPr>
                      <w:color w:val="000000"/>
                      <w:kern w:val="2"/>
                      <w:szCs w:val="24"/>
                    </w:rPr>
                    <w:t>kurioje:</w:t>
                  </w:r>
                </w:p>
                <w:p>
                  <w:pPr>
                    <w:tabs>
                      <w:tab w:val="left" w:pos="851"/>
                    </w:tabs>
                    <w:suppressAutoHyphens/>
                    <w:spacing w:line="360" w:lineRule="auto"/>
                    <w:ind w:firstLine="851"/>
                    <w:jc w:val="both"/>
                    <w:textAlignment w:val="center"/>
                    <w:rPr>
                      <w:color w:val="000000"/>
                      <w:kern w:val="2"/>
                      <w:szCs w:val="24"/>
                    </w:rPr>
                  </w:pPr>
                  <w:r>
                    <w:rPr>
                      <w:color w:val="000000"/>
                      <w:kern w:val="2"/>
                      <w:szCs w:val="24"/>
                    </w:rPr>
                    <w:t>n – einamieji biudžetiniai metai;</w:t>
                  </w:r>
                </w:p>
                <w:p>
                  <w:pPr>
                    <w:tabs>
                      <w:tab w:val="left" w:pos="851"/>
                    </w:tabs>
                    <w:suppressAutoHyphens/>
                    <w:spacing w:line="360" w:lineRule="auto"/>
                    <w:ind w:firstLine="851"/>
                    <w:jc w:val="both"/>
                    <w:textAlignment w:val="center"/>
                    <w:rPr>
                      <w:color w:val="000000"/>
                      <w:kern w:val="2"/>
                      <w:szCs w:val="24"/>
                    </w:rPr>
                  </w:pPr>
                  <w:r>
                    <w:rPr>
                      <w:color w:val="000000"/>
                      <w:kern w:val="2"/>
                      <w:szCs w:val="24"/>
                    </w:rPr>
                    <w:t>STD</w:t>
                  </w:r>
                  <w:r>
                    <w:rPr>
                      <w:i/>
                      <w:iCs/>
                      <w:color w:val="000000"/>
                      <w:kern w:val="2"/>
                      <w:szCs w:val="24"/>
                      <w:vertAlign w:val="subscript"/>
                    </w:rPr>
                    <w:t xml:space="preserve">n+1 </w:t>
                  </w:r>
                  <w:r>
                    <w:rPr>
                      <w:color w:val="000000"/>
                      <w:kern w:val="2"/>
                      <w:szCs w:val="24"/>
                    </w:rPr>
                    <w:t xml:space="preserve"> – bendra Dotacijos suma biudžetiniams metams, </w:t>
                  </w:r>
                  <w:r>
                    <w:rPr>
                      <w:kern w:val="2"/>
                      <w:szCs w:val="24"/>
                    </w:rPr>
                    <w:t>eurais;</w:t>
                  </w:r>
                  <w:r>
                    <w:rPr>
                      <w:color w:val="000000"/>
                      <w:kern w:val="2"/>
                      <w:szCs w:val="24"/>
                    </w:rPr>
                    <w:t xml:space="preserve"> </w:t>
                  </w:r>
                </w:p>
                <w:p>
                  <w:pPr>
                    <w:tabs>
                      <w:tab w:val="left" w:pos="851"/>
                    </w:tabs>
                    <w:suppressAutoHyphens/>
                    <w:spacing w:line="360" w:lineRule="auto"/>
                    <w:ind w:firstLine="851"/>
                    <w:jc w:val="both"/>
                    <w:textAlignment w:val="center"/>
                    <w:rPr>
                      <w:color w:val="000000"/>
                      <w:kern w:val="2"/>
                      <w:szCs w:val="24"/>
                    </w:rPr>
                  </w:pPr>
                  <w:r>
                    <w:rPr>
                      <w:color w:val="000000"/>
                      <w:kern w:val="2"/>
                      <w:szCs w:val="24"/>
                    </w:rPr>
                    <w:t xml:space="preserve">IVA – išlaidos vienam asmeniui aptarnauti; </w:t>
                  </w:r>
                </w:p>
                <w:p>
                  <w:pPr>
                    <w:tabs>
                      <w:tab w:val="left" w:pos="851"/>
                    </w:tabs>
                    <w:spacing w:line="360" w:lineRule="auto"/>
                    <w:ind w:firstLine="851"/>
                    <w:jc w:val="both"/>
                    <w:rPr>
                      <w:kern w:val="2"/>
                      <w:szCs w:val="28"/>
                    </w:rPr>
                  </w:pPr>
                  <w:r>
                    <w:rPr>
                      <w:kern w:val="2"/>
                      <w:szCs w:val="28"/>
                    </w:rPr>
                    <w:t>LGS – Lietuvos gyventojų skaičius (valstybės įmonės Registrų centro viešai skelbiami Gyventojų registro duomenys);</w:t>
                  </w:r>
                </w:p>
                <w:p>
                  <w:pPr>
                    <w:tabs>
                      <w:tab w:val="left" w:pos="851"/>
                    </w:tabs>
                    <w:spacing w:line="360" w:lineRule="auto"/>
                    <w:ind w:firstLine="851"/>
                    <w:jc w:val="both"/>
                    <w:rPr>
                      <w:kern w:val="2"/>
                      <w:szCs w:val="28"/>
                    </w:rPr>
                  </w:pPr>
                  <w:r>
                    <w:rPr>
                      <w:kern w:val="2"/>
                      <w:szCs w:val="28"/>
                    </w:rPr>
                    <w:t>k – santykis, kuris apskaičiuojamas pagal formulę: (GVD</w:t>
                  </w:r>
                  <w:r>
                    <w:rPr>
                      <w:i/>
                      <w:iCs/>
                      <w:kern w:val="2"/>
                      <w:szCs w:val="28"/>
                      <w:vertAlign w:val="subscript"/>
                    </w:rPr>
                    <w:t>n-1</w:t>
                  </w:r>
                  <w:r>
                    <w:rPr>
                      <w:kern w:val="2"/>
                      <w:szCs w:val="28"/>
                    </w:rPr>
                    <w:t xml:space="preserve"> – eGVD</w:t>
                  </w:r>
                  <w:r>
                    <w:rPr>
                      <w:i/>
                      <w:iCs/>
                      <w:kern w:val="2"/>
                      <w:szCs w:val="28"/>
                      <w:vertAlign w:val="subscript"/>
                    </w:rPr>
                    <w:t>n-1</w:t>
                  </w:r>
                  <w:r>
                    <w:rPr>
                      <w:kern w:val="2"/>
                      <w:szCs w:val="28"/>
                    </w:rPr>
                    <w:t>)</w:t>
                  </w:r>
                  <w:r>
                    <w:rPr>
                      <w:kern w:val="2"/>
                      <w:szCs w:val="28"/>
                      <w:vertAlign w:val="subscript"/>
                    </w:rPr>
                    <w:t xml:space="preserve"> </w:t>
                  </w:r>
                  <w:r>
                    <w:rPr>
                      <w:kern w:val="2"/>
                      <w:szCs w:val="28"/>
                    </w:rPr>
                    <w:t>/LGS</w:t>
                  </w:r>
                  <w:r>
                    <w:rPr>
                      <w:i/>
                      <w:iCs/>
                      <w:kern w:val="2"/>
                      <w:szCs w:val="28"/>
                      <w:vertAlign w:val="subscript"/>
                    </w:rPr>
                    <w:t>n</w:t>
                  </w:r>
                  <w:r>
                    <w:rPr>
                      <w:kern w:val="2"/>
                      <w:szCs w:val="28"/>
                    </w:rPr>
                    <w:t xml:space="preserve">; </w:t>
                  </w:r>
                </w:p>
                <w:p>
                  <w:pPr>
                    <w:tabs>
                      <w:tab w:val="left" w:pos="851"/>
                    </w:tabs>
                    <w:spacing w:line="360" w:lineRule="auto"/>
                    <w:ind w:firstLine="851"/>
                    <w:jc w:val="both"/>
                    <w:rPr>
                      <w:kern w:val="2"/>
                      <w:szCs w:val="28"/>
                    </w:rPr>
                  </w:pPr>
                  <w:r>
                    <w:rPr>
                      <w:kern w:val="2"/>
                      <w:szCs w:val="28"/>
                    </w:rPr>
                    <w:t>kurioje:</w:t>
                  </w:r>
                </w:p>
                <w:p>
                  <w:pPr>
                    <w:tabs>
                      <w:tab w:val="left" w:pos="851"/>
                    </w:tabs>
                    <w:spacing w:line="360" w:lineRule="auto"/>
                    <w:ind w:firstLine="851"/>
                    <w:jc w:val="both"/>
                    <w:rPr>
                      <w:kern w:val="2"/>
                      <w:szCs w:val="28"/>
                    </w:rPr>
                  </w:pPr>
                  <w:r>
                    <w:rPr>
                      <w:kern w:val="2"/>
                      <w:szCs w:val="28"/>
                    </w:rPr>
                    <w:t xml:space="preserve">GVD – asmenų, kuriems seniūnija ar kitas savivaldybės administracijos padalinys suteikė gyvenamosios vietos deklaravimo paslaugą ir </w:t>
                  </w:r>
                  <w:r>
                    <w:rPr>
                      <w:color w:val="000000"/>
                      <w:kern w:val="2"/>
                      <w:szCs w:val="28"/>
                    </w:rPr>
                    <w:t xml:space="preserve">įtraukimo į gyvenamosios vietos nedeklaravusių asmenų apskaitą paslaugą, skaičių suma per biudžetinius metus (valstybės įmonės Registrų centro pateikti Gyventojų registro duomenys); </w:t>
                  </w:r>
                  <w:r>
                    <w:rPr>
                      <w:kern w:val="2"/>
                      <w:szCs w:val="28"/>
                    </w:rPr>
                    <w:t>į šią sumą įeina duomenys apie asmenis, kuriems paslaugos suteiktos seniūnijoje ar kitame savivaldybės administracijos padalinyje, ir duomenys apie asmenis, kuriems paslaugos suteiktos elektroniniu būdu;</w:t>
                  </w:r>
                </w:p>
                <w:p>
                  <w:pPr>
                    <w:tabs>
                      <w:tab w:val="left" w:pos="851"/>
                    </w:tabs>
                    <w:spacing w:line="360" w:lineRule="auto"/>
                    <w:ind w:firstLine="851"/>
                    <w:jc w:val="both"/>
                    <w:rPr>
                      <w:kern w:val="2"/>
                      <w:sz w:val="22"/>
                      <w:szCs w:val="22"/>
                    </w:rPr>
                  </w:pPr>
                  <w:r>
                    <w:rPr>
                      <w:kern w:val="2"/>
                      <w:szCs w:val="28"/>
                    </w:rPr>
                    <w:t>eGVD</w:t>
                  </w:r>
                  <w:r>
                    <w:rPr>
                      <w:color w:val="000000"/>
                      <w:kern w:val="2"/>
                      <w:szCs w:val="28"/>
                    </w:rPr>
                    <w:t xml:space="preserve"> – asmenų, kuriems gyvenamosios vietos deklaravimo paslauga ir įtraukimo į gyvenamosios vietos nedeklaravusių asmenų apskaitą paslauga suteikta tik elektroniniu būdu, skaičių suma per biudžetinius metus (valstybės įmonės Registrų centro pateikti Gyventojų registro duomenys).</w:t>
                  </w:r>
                  <w:r>
                    <w:rPr>
                      <w:kern w:val="2"/>
                      <w:sz w:val="22"/>
                      <w:szCs w:val="22"/>
                    </w:rPr>
                    <w:t xml:space="preserve"> </w:t>
                  </w:r>
                </w:p>
                <w:p>
                  <w:pPr>
                    <w:tabs>
                      <w:tab w:val="left" w:pos="851"/>
                    </w:tabs>
                    <w:spacing w:line="360" w:lineRule="auto"/>
                    <w:ind w:firstLine="851"/>
                    <w:jc w:val="both"/>
                    <w:rPr>
                      <w:color w:val="000000"/>
                      <w:kern w:val="2"/>
                      <w:szCs w:val="28"/>
                    </w:rPr>
                  </w:pPr>
                  <w:r>
                    <w:rPr>
                      <w:color w:val="000000"/>
                      <w:kern w:val="2"/>
                      <w:szCs w:val="28"/>
                    </w:rPr>
                    <w:t>Gyvenamosios vietos deklaravimo paslaugą sudaro: gyvenamosios vietos deklaravimas, išvykimo iš Lietuvos Respublikos deklaravimas, gyvenamosios vietos deklaravimo duomenų taisymas, keitimas ar deklaravimo duomenų panaikinimas.</w:t>
                  </w:r>
                </w:p>
              </w:sdtContent>
            </w:sdt>
            <w:sdt>
              <w:sdtPr>
                <w:alias w:val="27 p."/>
                <w:tag w:val="part_8757ab25595a41149309aee8bc75911b"/>
                <w:lock w:val="sdtLocked"/>
                <w:richText/>
              </w:sdtPr>
              <w:sdtContent>
                <w:p>
                  <w:pPr>
                    <w:tabs>
                      <w:tab w:val="left" w:pos="851"/>
                    </w:tabs>
                    <w:spacing w:line="360" w:lineRule="auto"/>
                    <w:ind w:firstLine="851"/>
                    <w:jc w:val="both"/>
                    <w:rPr>
                      <w:color w:val="000000"/>
                      <w:kern w:val="2"/>
                      <w:szCs w:val="24"/>
                    </w:rPr>
                  </w:pPr>
                  <w:sdt>
                    <w:sdtPr>
                      <w:alias w:val="Numeris"/>
                      <w:tag w:val="nr_8757ab25595a41149309aee8bc75911b"/>
                      <w:lock w:val="sdtLocked"/>
                      <w:richText/>
                    </w:sdtPr>
                    <w:sdtContent>
                      <w:r>
                        <w:rPr>
                          <w:color w:val="000000"/>
                          <w:kern w:val="2"/>
                          <w:szCs w:val="24"/>
                        </w:rPr>
                        <w:t>27</w:t>
                      </w:r>
                    </w:sdtContent>
                  </w:sdt>
                  <w:r>
                    <w:rPr>
                      <w:color w:val="000000"/>
                      <w:kern w:val="2"/>
                      <w:szCs w:val="24"/>
                    </w:rPr>
                    <w:t>. Išlaidos vienam asmeniui aptarnauti apskaičiuojamos pagal formulę:</w:t>
                  </w:r>
                </w:p>
                <w:p>
                  <w:pPr>
                    <w:tabs>
                      <w:tab w:val="left" w:pos="851"/>
                    </w:tabs>
                    <w:suppressAutoHyphens/>
                    <w:spacing w:line="360" w:lineRule="auto"/>
                    <w:ind w:firstLine="851"/>
                    <w:jc w:val="both"/>
                    <w:textAlignment w:val="center"/>
                    <w:rPr>
                      <w:color w:val="000000"/>
                      <w:kern w:val="2"/>
                      <w:szCs w:val="24"/>
                    </w:rPr>
                  </w:pPr>
                  <w:r>
                    <w:rPr>
                      <w:color w:val="000000"/>
                      <w:kern w:val="2"/>
                      <w:szCs w:val="24"/>
                    </w:rPr>
                    <w:t>IVA = ((VT koef. x PABD + (VT koef. x PABD x SDĮT)) / VDVS / 60 min) x 20,</w:t>
                  </w:r>
                </w:p>
                <w:p>
                  <w:pPr>
                    <w:tabs>
                      <w:tab w:val="left" w:pos="851"/>
                    </w:tabs>
                    <w:suppressAutoHyphens/>
                    <w:spacing w:line="360" w:lineRule="auto"/>
                    <w:ind w:firstLine="851"/>
                    <w:jc w:val="both"/>
                    <w:textAlignment w:val="center"/>
                    <w:rPr>
                      <w:color w:val="000000"/>
                      <w:kern w:val="2"/>
                      <w:szCs w:val="24"/>
                    </w:rPr>
                  </w:pPr>
                  <w:r>
                    <w:rPr>
                      <w:color w:val="000000"/>
                      <w:kern w:val="2"/>
                      <w:szCs w:val="24"/>
                    </w:rPr>
                    <w:t>kurioje:</w:t>
                  </w:r>
                </w:p>
                <w:p>
                  <w:pPr>
                    <w:tabs>
                      <w:tab w:val="left" w:pos="851"/>
                    </w:tabs>
                    <w:suppressAutoHyphens/>
                    <w:spacing w:line="360" w:lineRule="auto"/>
                    <w:ind w:firstLine="851"/>
                    <w:jc w:val="both"/>
                    <w:textAlignment w:val="center"/>
                    <w:rPr>
                      <w:color w:val="000000"/>
                      <w:kern w:val="2"/>
                      <w:szCs w:val="24"/>
                    </w:rPr>
                  </w:pPr>
                  <w:r>
                    <w:rPr>
                      <w:color w:val="000000"/>
                      <w:kern w:val="2"/>
                      <w:szCs w:val="24"/>
                    </w:rPr>
                    <w:t>VT koef. – vyresniojo specialisto pareigybei Lietuvos Respublikos valstybės tarnybos įstatyme nustatytas pareiginės algos koeficientas;</w:t>
                  </w:r>
                </w:p>
                <w:p>
                  <w:pPr>
                    <w:tabs>
                      <w:tab w:val="left" w:pos="851"/>
                    </w:tabs>
                    <w:suppressAutoHyphens/>
                    <w:spacing w:line="360" w:lineRule="auto"/>
                    <w:ind w:firstLine="851"/>
                    <w:jc w:val="both"/>
                    <w:textAlignment w:val="center"/>
                    <w:rPr>
                      <w:color w:val="000000"/>
                      <w:kern w:val="2"/>
                      <w:szCs w:val="24"/>
                    </w:rPr>
                  </w:pPr>
                  <w:r>
                    <w:rPr>
                      <w:color w:val="000000"/>
                      <w:kern w:val="2"/>
                      <w:szCs w:val="24"/>
                    </w:rPr>
                    <w:t>PABD – Lietuvos Respublikos pareiginės algos (atlyginimo) bazinio dydžio nustatymo ir asignavimų darbo užmokesčiui perskaičiavimo įstatyme nustatytas pareiginės algos (atlyginimo) bazinis dydis;</w:t>
                  </w:r>
                </w:p>
                <w:p>
                  <w:pPr>
                    <w:tabs>
                      <w:tab w:val="left" w:pos="851"/>
                    </w:tabs>
                    <w:suppressAutoHyphens/>
                    <w:spacing w:line="360" w:lineRule="auto"/>
                    <w:ind w:firstLine="851"/>
                    <w:jc w:val="both"/>
                    <w:textAlignment w:val="center"/>
                    <w:rPr>
                      <w:kern w:val="2"/>
                      <w:szCs w:val="24"/>
                    </w:rPr>
                  </w:pPr>
                  <w:r>
                    <w:rPr>
                      <w:color w:val="000000"/>
                      <w:kern w:val="2"/>
                      <w:szCs w:val="24"/>
                    </w:rPr>
                    <w:t xml:space="preserve">SDĮT – </w:t>
                  </w:r>
                  <w:r>
                    <w:rPr>
                      <w:kern w:val="2"/>
                      <w:szCs w:val="24"/>
                    </w:rPr>
                    <w:t>socialinio draudimo įmokų tarifas;</w:t>
                  </w:r>
                </w:p>
                <w:p>
                  <w:pPr>
                    <w:tabs>
                      <w:tab w:val="left" w:pos="851"/>
                    </w:tabs>
                    <w:suppressAutoHyphens/>
                    <w:spacing w:line="360" w:lineRule="auto"/>
                    <w:ind w:firstLine="851"/>
                    <w:jc w:val="both"/>
                    <w:textAlignment w:val="center"/>
                    <w:rPr>
                      <w:color w:val="000000"/>
                      <w:kern w:val="2"/>
                      <w:szCs w:val="24"/>
                    </w:rPr>
                  </w:pPr>
                  <w:r>
                    <w:rPr>
                      <w:color w:val="000000"/>
                      <w:kern w:val="2"/>
                      <w:szCs w:val="24"/>
                    </w:rPr>
                    <w:t>VDVS – socialinės apsaugos ir darbo ministro patvirtintas einamųjų biudžetinių metų vidutinis mėnesio darbo valandų skaičius, esant penkių darbo dienų darbo savaitei;</w:t>
                  </w:r>
                </w:p>
                <w:p>
                  <w:pPr>
                    <w:tabs>
                      <w:tab w:val="left" w:pos="851"/>
                    </w:tabs>
                    <w:suppressAutoHyphens/>
                    <w:spacing w:line="360" w:lineRule="auto"/>
                    <w:ind w:firstLine="851"/>
                    <w:jc w:val="both"/>
                    <w:textAlignment w:val="center"/>
                    <w:rPr>
                      <w:color w:val="000000"/>
                      <w:kern w:val="2"/>
                      <w:szCs w:val="24"/>
                    </w:rPr>
                  </w:pPr>
                  <w:r>
                    <w:rPr>
                      <w:color w:val="000000"/>
                      <w:kern w:val="2"/>
                      <w:szCs w:val="24"/>
                    </w:rPr>
                    <w:t>20 – funkcijos atlikimo trukmė, minutėmis (apskaitos duomenų tvarkymas vienam atvejui).</w:t>
                  </w:r>
                </w:p>
              </w:sdtContent>
            </w:sdt>
            <w:sdt>
              <w:sdtPr>
                <w:alias w:val="28 p."/>
                <w:tag w:val="part_a3abc84a989440bb9658d286c2bc181f"/>
                <w:lock w:val="sdtLocked"/>
                <w:richText/>
              </w:sdtPr>
              <w:sdtContent>
                <w:p>
                  <w:pPr>
                    <w:tabs>
                      <w:tab w:val="left" w:pos="851"/>
                    </w:tabs>
                    <w:spacing w:line="360" w:lineRule="auto"/>
                    <w:ind w:firstLine="851"/>
                    <w:jc w:val="both"/>
                    <w:rPr>
                      <w:kern w:val="2"/>
                      <w:szCs w:val="24"/>
                    </w:rPr>
                  </w:pPr>
                  <w:sdt>
                    <w:sdtPr>
                      <w:alias w:val="Numeris"/>
                      <w:tag w:val="nr_a3abc84a989440bb9658d286c2bc181f"/>
                      <w:lock w:val="sdtLocked"/>
                      <w:richText/>
                    </w:sdtPr>
                    <w:sdtContent>
                      <w:r>
                        <w:rPr>
                          <w:kern w:val="2"/>
                          <w:szCs w:val="24"/>
                        </w:rPr>
                        <w:t>28</w:t>
                      </w:r>
                    </w:sdtContent>
                  </w:sdt>
                  <w:r>
                    <w:rPr>
                      <w:kern w:val="2"/>
                      <w:szCs w:val="24"/>
                    </w:rPr>
                    <w:t>. Lėšos iš valstybės biudžeto gyvenamosios vietos deklaravimo duomenų ir gyvenamosios vietos nedeklaravusių asmenų apskaitos duomenų tvarkymo funkcijai atlikti skiriamos darbo užmokesčiui ir socialinio draudimo įmokoms.</w:t>
                  </w:r>
                </w:p>
              </w:sdtContent>
            </w:sdt>
            <w:sdt>
              <w:sdtPr>
                <w:alias w:val="29 p."/>
                <w:tag w:val="part_dfed459039e042e8a1ecaf6a51ea14df"/>
                <w:lock w:val="sdtLocked"/>
                <w:richText/>
              </w:sdtPr>
              <w:sdtContent>
                <w:p>
                  <w:pPr>
                    <w:tabs>
                      <w:tab w:val="left" w:pos="851"/>
                    </w:tabs>
                    <w:spacing w:line="360" w:lineRule="auto"/>
                    <w:ind w:firstLine="851"/>
                    <w:jc w:val="both"/>
                    <w:rPr>
                      <w:color w:val="000000"/>
                      <w:kern w:val="2"/>
                      <w:szCs w:val="28"/>
                    </w:rPr>
                  </w:pPr>
                  <w:sdt>
                    <w:sdtPr>
                      <w:alias w:val="Numeris"/>
                      <w:tag w:val="nr_dfed459039e042e8a1ecaf6a51ea14df"/>
                      <w:lock w:val="sdtLocked"/>
                      <w:richText/>
                    </w:sdtPr>
                    <w:sdtContent>
                      <w:r>
                        <w:rPr>
                          <w:kern w:val="2"/>
                          <w:szCs w:val="24"/>
                          <w:lang w:eastAsia="lt-LT"/>
                        </w:rPr>
                        <w:t>29</w:t>
                      </w:r>
                    </w:sdtContent>
                  </w:sdt>
                  <w:r>
                    <w:rPr>
                      <w:kern w:val="2"/>
                      <w:szCs w:val="24"/>
                      <w:lang w:eastAsia="lt-LT"/>
                    </w:rPr>
                    <w:t>. Jeigu Lietuvos Respublikos atitinkamų metų biudžeto patvirtinimo įstatymu skiriama bendra Dotacijos suma atitinka sumą, apskaičiuotą pagal Metodikos 26 punktą, Dotacijos suma kiekvienai savivaldybei (STD sav.) apskaičiuojama pagal Metodikos 26 punkte nustatytą formulę, taikant kiekvienos savivaldybės santykinio dydžio (k) reikšmę.</w:t>
                  </w:r>
                  <w:r>
                    <w:rPr>
                      <w:kern w:val="2"/>
                      <w:sz w:val="22"/>
                      <w:szCs w:val="22"/>
                    </w:rPr>
                    <w:t xml:space="preserve"> </w:t>
                  </w:r>
                </w:p>
              </w:sdtContent>
            </w:sdt>
            <w:sdt>
              <w:sdtPr>
                <w:alias w:val="30 p."/>
                <w:tag w:val="part_cbc9983ffcff425987e3ce5828b36501"/>
                <w:lock w:val="sdtLocked"/>
                <w:richText/>
              </w:sdtPr>
              <w:sdtContent>
                <w:p>
                  <w:pPr>
                    <w:tabs>
                      <w:tab w:val="left" w:pos="851"/>
                    </w:tabs>
                    <w:spacing w:line="360" w:lineRule="auto"/>
                    <w:ind w:firstLine="851"/>
                    <w:jc w:val="both"/>
                    <w:rPr>
                      <w:kern w:val="2"/>
                      <w:szCs w:val="24"/>
                      <w:lang w:eastAsia="lt-LT"/>
                    </w:rPr>
                  </w:pPr>
                  <w:sdt>
                    <w:sdtPr>
                      <w:alias w:val="Numeris"/>
                      <w:tag w:val="nr_cbc9983ffcff425987e3ce5828b36501"/>
                      <w:lock w:val="sdtLocked"/>
                      <w:richText/>
                    </w:sdtPr>
                    <w:sdtContent>
                      <w:r>
                        <w:rPr>
                          <w:kern w:val="2"/>
                          <w:szCs w:val="24"/>
                          <w:lang w:eastAsia="lt-LT"/>
                        </w:rPr>
                        <w:t>30</w:t>
                      </w:r>
                    </w:sdtContent>
                  </w:sdt>
                  <w:r>
                    <w:rPr>
                      <w:kern w:val="2"/>
                      <w:szCs w:val="24"/>
                      <w:lang w:eastAsia="lt-LT"/>
                    </w:rPr>
                    <w:t>. Jeigu Lietuvos Respublikos atitinkamų metų biudžeto patvirtinimo įstatymu patvirtinta bendra Dotacijos suma yra mažesnė nei pagal Metodikos 26 punktą apskaičiuota Dotacijos suma, Dotacijos suma kiekvienai savivaldybei apskaičiuojama pagal formulę:</w:t>
                  </w:r>
                </w:p>
                <w:p>
                  <w:pPr>
                    <w:tabs>
                      <w:tab w:val="left" w:pos="851"/>
                    </w:tabs>
                    <w:suppressAutoHyphens/>
                    <w:spacing w:line="360" w:lineRule="auto"/>
                    <w:ind w:firstLine="851"/>
                    <w:jc w:val="both"/>
                    <w:textAlignment w:val="center"/>
                    <w:rPr>
                      <w:color w:val="000000"/>
                      <w:kern w:val="2"/>
                      <w:szCs w:val="24"/>
                    </w:rPr>
                  </w:pPr>
                  <w:r>
                    <w:rPr>
                      <w:color w:val="000000"/>
                      <w:kern w:val="2"/>
                      <w:szCs w:val="24"/>
                    </w:rPr>
                    <w:t>STD</w:t>
                  </w:r>
                  <w:r>
                    <w:rPr>
                      <w:color w:val="000000"/>
                      <w:kern w:val="2"/>
                      <w:szCs w:val="24"/>
                      <w:vertAlign w:val="subscript"/>
                    </w:rPr>
                    <w:t>sav</w:t>
                  </w:r>
                  <w:r>
                    <w:rPr>
                      <w:color w:val="000000"/>
                      <w:kern w:val="2"/>
                      <w:szCs w:val="24"/>
                    </w:rPr>
                    <w:t>. = (SGS</w:t>
                  </w:r>
                  <w:r>
                    <w:rPr>
                      <w:color w:val="000000"/>
                      <w:kern w:val="2"/>
                      <w:szCs w:val="24"/>
                      <w:vertAlign w:val="subscript"/>
                    </w:rPr>
                    <w:t>n</w:t>
                  </w:r>
                  <w:r>
                    <w:rPr>
                      <w:color w:val="000000"/>
                      <w:kern w:val="2"/>
                      <w:szCs w:val="24"/>
                    </w:rPr>
                    <w:t xml:space="preserve"> x STD</w:t>
                  </w:r>
                  <w:r>
                    <w:rPr>
                      <w:color w:val="000000"/>
                      <w:kern w:val="2"/>
                      <w:szCs w:val="24"/>
                      <w:vertAlign w:val="subscript"/>
                    </w:rPr>
                    <w:t>patvirtinta</w:t>
                  </w:r>
                  <w:r>
                    <w:rPr>
                      <w:color w:val="000000"/>
                      <w:kern w:val="2"/>
                      <w:szCs w:val="24"/>
                    </w:rPr>
                    <w:t>) / LGS</w:t>
                  </w:r>
                  <w:r>
                    <w:rPr>
                      <w:color w:val="000000"/>
                      <w:kern w:val="2"/>
                      <w:szCs w:val="24"/>
                      <w:vertAlign w:val="subscript"/>
                    </w:rPr>
                    <w:t>n</w:t>
                  </w:r>
                  <w:r>
                    <w:rPr>
                      <w:color w:val="000000"/>
                      <w:kern w:val="2"/>
                      <w:szCs w:val="24"/>
                    </w:rPr>
                    <w:t xml:space="preserve">, </w:t>
                  </w:r>
                </w:p>
                <w:p>
                  <w:pPr>
                    <w:tabs>
                      <w:tab w:val="left" w:pos="851"/>
                    </w:tabs>
                    <w:suppressAutoHyphens/>
                    <w:spacing w:line="360" w:lineRule="auto"/>
                    <w:ind w:firstLine="851"/>
                    <w:jc w:val="both"/>
                    <w:textAlignment w:val="center"/>
                    <w:rPr>
                      <w:color w:val="000000"/>
                      <w:kern w:val="2"/>
                      <w:szCs w:val="24"/>
                    </w:rPr>
                  </w:pPr>
                  <w:r>
                    <w:rPr>
                      <w:color w:val="000000"/>
                      <w:kern w:val="2"/>
                      <w:szCs w:val="24"/>
                    </w:rPr>
                    <w:t>kurioje:</w:t>
                  </w:r>
                </w:p>
                <w:p>
                  <w:pPr>
                    <w:tabs>
                      <w:tab w:val="left" w:pos="851"/>
                    </w:tabs>
                    <w:spacing w:line="360" w:lineRule="auto"/>
                    <w:ind w:firstLine="851"/>
                    <w:jc w:val="both"/>
                    <w:rPr>
                      <w:color w:val="000000"/>
                      <w:kern w:val="2"/>
                      <w:szCs w:val="24"/>
                    </w:rPr>
                  </w:pPr>
                  <w:r>
                    <w:rPr>
                      <w:color w:val="000000"/>
                      <w:kern w:val="2"/>
                      <w:szCs w:val="24"/>
                    </w:rPr>
                    <w:t>STD</w:t>
                  </w:r>
                  <w:r>
                    <w:rPr>
                      <w:color w:val="000000"/>
                      <w:kern w:val="2"/>
                      <w:szCs w:val="24"/>
                      <w:vertAlign w:val="subscript"/>
                    </w:rPr>
                    <w:t>sav</w:t>
                  </w:r>
                  <w:r>
                    <w:rPr>
                      <w:color w:val="000000"/>
                      <w:kern w:val="2"/>
                      <w:szCs w:val="24"/>
                    </w:rPr>
                    <w:t xml:space="preserve">. – Dotacijos suma savivaldybei, </w:t>
                  </w:r>
                  <w:r>
                    <w:rPr>
                      <w:kern w:val="2"/>
                      <w:szCs w:val="24"/>
                    </w:rPr>
                    <w:t>eurais</w:t>
                  </w:r>
                  <w:r>
                    <w:rPr>
                      <w:color w:val="000000"/>
                      <w:kern w:val="2"/>
                      <w:szCs w:val="24"/>
                    </w:rPr>
                    <w:t xml:space="preserve">; </w:t>
                  </w:r>
                </w:p>
                <w:p>
                  <w:pPr>
                    <w:tabs>
                      <w:tab w:val="left" w:pos="851"/>
                    </w:tabs>
                    <w:spacing w:line="360" w:lineRule="auto"/>
                    <w:ind w:left="851"/>
                    <w:jc w:val="both"/>
                    <w:rPr>
                      <w:color w:val="000000"/>
                      <w:kern w:val="2"/>
                      <w:szCs w:val="24"/>
                    </w:rPr>
                  </w:pPr>
                  <w:r>
                    <w:rPr>
                      <w:color w:val="000000"/>
                      <w:kern w:val="2"/>
                      <w:szCs w:val="24"/>
                    </w:rPr>
                    <w:t>SGS</w:t>
                  </w:r>
                  <w:r>
                    <w:rPr>
                      <w:color w:val="000000"/>
                      <w:kern w:val="2"/>
                      <w:szCs w:val="24"/>
                      <w:vertAlign w:val="subscript"/>
                    </w:rPr>
                    <w:t xml:space="preserve"> </w:t>
                  </w:r>
                  <w:r>
                    <w:rPr>
                      <w:color w:val="000000"/>
                      <w:kern w:val="2"/>
                      <w:szCs w:val="24"/>
                    </w:rPr>
                    <w:t>–</w:t>
                  </w:r>
                  <w:r>
                    <w:rPr>
                      <w:kern w:val="2"/>
                      <w:sz w:val="22"/>
                      <w:szCs w:val="22"/>
                    </w:rPr>
                    <w:t xml:space="preserve"> </w:t>
                  </w:r>
                  <w:r>
                    <w:rPr>
                      <w:color w:val="000000"/>
                      <w:kern w:val="2"/>
                      <w:szCs w:val="24"/>
                    </w:rPr>
                    <w:t>savivaldybės gyventojų skaičius (valstybės įmonės Registrų centro viešai skelbiami</w:t>
                  </w:r>
                </w:p>
                <w:p>
                  <w:pPr>
                    <w:tabs>
                      <w:tab w:val="left" w:pos="851"/>
                    </w:tabs>
                    <w:spacing w:line="360" w:lineRule="auto"/>
                    <w:jc w:val="both"/>
                    <w:rPr>
                      <w:color w:val="000000"/>
                      <w:kern w:val="2"/>
                      <w:szCs w:val="24"/>
                    </w:rPr>
                  </w:pPr>
                  <w:r>
                    <w:rPr>
                      <w:color w:val="000000"/>
                      <w:kern w:val="2"/>
                      <w:szCs w:val="24"/>
                    </w:rPr>
                    <w:t>Gyventojų registro duomenys);</w:t>
                  </w:r>
                </w:p>
                <w:p>
                  <w:pPr>
                    <w:tabs>
                      <w:tab w:val="left" w:pos="851"/>
                    </w:tabs>
                    <w:spacing w:line="360" w:lineRule="auto"/>
                    <w:ind w:firstLine="851"/>
                    <w:jc w:val="both"/>
                    <w:rPr>
                      <w:kern w:val="2"/>
                      <w:szCs w:val="28"/>
                    </w:rPr>
                  </w:pPr>
                  <w:r>
                    <w:rPr>
                      <w:kern w:val="2"/>
                      <w:szCs w:val="24"/>
                    </w:rPr>
                    <w:t>STD</w:t>
                  </w:r>
                  <w:r>
                    <w:rPr>
                      <w:kern w:val="2"/>
                      <w:szCs w:val="24"/>
                      <w:vertAlign w:val="subscript"/>
                    </w:rPr>
                    <w:t>patvirtinta</w:t>
                  </w:r>
                  <w:r>
                    <w:rPr>
                      <w:kern w:val="2"/>
                      <w:szCs w:val="24"/>
                    </w:rPr>
                    <w:t xml:space="preserve"> –</w:t>
                  </w:r>
                  <w:r>
                    <w:rPr>
                      <w:kern w:val="2"/>
                      <w:sz w:val="22"/>
                      <w:szCs w:val="22"/>
                    </w:rPr>
                    <w:t xml:space="preserve"> </w:t>
                  </w:r>
                  <w:r>
                    <w:rPr>
                      <w:kern w:val="2"/>
                      <w:szCs w:val="24"/>
                    </w:rPr>
                    <w:t>Lietuvos Respublikos atitinkamų metų biudžeto patvirtinimo įstatymu patvirtinta Dotacijos suma.</w:t>
                  </w:r>
                </w:p>
              </w:sdtContent>
            </w:sdt>
            <w:sdt>
              <w:sdtPr>
                <w:alias w:val="31 p."/>
                <w:tag w:val="part_8538fa92c0304d7d88711b25fc00e461"/>
                <w:lock w:val="sdtLocked"/>
                <w:richText/>
              </w:sdtPr>
              <w:sdtContent>
                <w:p>
                  <w:pPr>
                    <w:tabs>
                      <w:tab w:val="left" w:pos="851"/>
                    </w:tabs>
                    <w:spacing w:line="360" w:lineRule="auto"/>
                    <w:ind w:firstLine="851"/>
                    <w:jc w:val="both"/>
                    <w:rPr>
                      <w:kern w:val="2"/>
                      <w:szCs w:val="28"/>
                    </w:rPr>
                  </w:pPr>
                  <w:sdt>
                    <w:sdtPr>
                      <w:alias w:val="Numeris"/>
                      <w:tag w:val="nr_8538fa92c0304d7d88711b25fc00e461"/>
                      <w:lock w:val="sdtLocked"/>
                      <w:richText/>
                    </w:sdtPr>
                    <w:sdtContent>
                      <w:r>
                        <w:rPr>
                          <w:kern w:val="2"/>
                          <w:szCs w:val="28"/>
                        </w:rPr>
                        <w:t>31</w:t>
                      </w:r>
                    </w:sdtContent>
                  </w:sdt>
                  <w:r>
                    <w:rPr>
                      <w:kern w:val="2"/>
                      <w:szCs w:val="28"/>
                    </w:rPr>
                    <w:t xml:space="preserve">. </w:t>
                  </w:r>
                  <w:r>
                    <w:rPr>
                      <w:kern w:val="2"/>
                      <w:szCs w:val="24"/>
                      <w:lang w:eastAsia="lt-LT"/>
                    </w:rPr>
                    <w:t xml:space="preserve">Savivaldybei apskaičiuotą Dotacijos sumą tvirtina vidaus reikalų ministras. Dotacija pervedama, vadovaujantis Lietuvos Respublikos savivaldybių biudžetų pajamų nustatymo metodikos įstatymo 10 straipsnio 3 dalies 1 punkte nustatyta tvarka. </w:t>
                  </w:r>
                </w:p>
              </w:sdtContent>
            </w:sdt>
            <w:sdt>
              <w:sdtPr>
                <w:alias w:val="32 p."/>
                <w:tag w:val="part_7c57e0fe727940aa9ac06aa24e7cc57d"/>
                <w:lock w:val="sdtLocked"/>
                <w:richText/>
              </w:sdtPr>
              <w:sdtContent>
                <w:p>
                  <w:pPr>
                    <w:tabs>
                      <w:tab w:val="left" w:pos="851"/>
                    </w:tabs>
                    <w:spacing w:line="360" w:lineRule="auto"/>
                    <w:ind w:firstLine="851"/>
                    <w:jc w:val="both"/>
                    <w:rPr>
                      <w:kern w:val="2"/>
                      <w:szCs w:val="24"/>
                      <w:lang w:eastAsia="lt-LT"/>
                    </w:rPr>
                  </w:pPr>
                  <w:sdt>
                    <w:sdtPr>
                      <w:alias w:val="Numeris"/>
                      <w:tag w:val="nr_7c57e0fe727940aa9ac06aa24e7cc57d"/>
                      <w:lock w:val="sdtLocked"/>
                      <w:richText/>
                    </w:sdtPr>
                    <w:sdtContent>
                      <w:r>
                        <w:rPr>
                          <w:kern w:val="2"/>
                          <w:szCs w:val="24"/>
                          <w:lang w:eastAsia="lt-LT"/>
                        </w:rPr>
                        <w:t>32</w:t>
                      </w:r>
                    </w:sdtContent>
                  </w:sdt>
                  <w:r>
                    <w:rPr>
                      <w:kern w:val="2"/>
                      <w:szCs w:val="24"/>
                      <w:lang w:eastAsia="lt-LT"/>
                    </w:rPr>
                    <w:t xml:space="preserve">. Dotacijos suma savivaldybei tikslinama atsižvelgiant į tai, ar savivaldybė pasiekė Vidaus reikalų ministerijos atitinkamų biudžetinių metų strateginiame veiklos plane atitinkamiems biudžetiniams metams numatytą tikslo pasiekimo stebėsenos rodiklį, skirtą gyvenamosios vietos deklaravimo elektroniniu būdu atvejų skaičiaus didėjimui matuoti (toliau – Rodiklis). </w:t>
                  </w:r>
                </w:p>
                <w:p>
                  <w:pPr>
                    <w:tabs>
                      <w:tab w:val="left" w:pos="851"/>
                    </w:tabs>
                    <w:spacing w:line="360" w:lineRule="auto"/>
                    <w:jc w:val="both"/>
                    <w:rPr>
                      <w:kern w:val="2"/>
                      <w:sz w:val="22"/>
                      <w:szCs w:val="24"/>
                      <w:lang w:eastAsia="lt-LT"/>
                    </w:rPr>
                  </w:pPr>
                  <w:r>
                    <w:rPr>
                      <w:b/>
                      <w:kern w:val="2"/>
                      <w:sz w:val="22"/>
                      <w:szCs w:val="24"/>
                      <w:lang w:eastAsia="lt-LT"/>
                    </w:rPr>
                    <w:t>TAR pastaba</w:t>
                  </w:r>
                  <w:r>
                    <w:rPr>
                      <w:kern w:val="2"/>
                      <w:sz w:val="22"/>
                      <w:szCs w:val="24"/>
                      <w:lang w:eastAsia="lt-LT"/>
                    </w:rPr>
                    <w:t>. 32 punktas įsigalioja 2027-01-01.</w:t>
                  </w:r>
                </w:p>
              </w:sdtContent>
            </w:sdt>
            <w:sdt>
              <w:sdtPr>
                <w:alias w:val="33 p."/>
                <w:tag w:val="part_d2ff327117b941a99c6d6c0225db6ea9"/>
                <w:lock w:val="sdtLocked"/>
                <w:richText/>
              </w:sdtPr>
              <w:sdtContent>
                <w:p>
                  <w:pPr>
                    <w:tabs>
                      <w:tab w:val="left" w:pos="851"/>
                    </w:tabs>
                    <w:spacing w:line="360" w:lineRule="auto"/>
                    <w:ind w:firstLine="851"/>
                    <w:jc w:val="both"/>
                    <w:rPr>
                      <w:kern w:val="2"/>
                      <w:szCs w:val="24"/>
                      <w:lang w:eastAsia="lt-LT"/>
                    </w:rPr>
                  </w:pPr>
                  <w:sdt>
                    <w:sdtPr>
                      <w:alias w:val="Numeris"/>
                      <w:tag w:val="nr_d2ff327117b941a99c6d6c0225db6ea9"/>
                      <w:lock w:val="sdtLocked"/>
                      <w:richText/>
                    </w:sdtPr>
                    <w:sdtContent>
                      <w:r>
                        <w:rPr>
                          <w:kern w:val="2"/>
                          <w:szCs w:val="24"/>
                          <w:lang w:eastAsia="lt-LT"/>
                        </w:rPr>
                        <w:t>33</w:t>
                      </w:r>
                    </w:sdtContent>
                  </w:sdt>
                  <w:r>
                    <w:rPr>
                      <w:kern w:val="2"/>
                      <w:szCs w:val="24"/>
                      <w:lang w:eastAsia="lt-LT"/>
                    </w:rPr>
                    <w:t>. Jeigu savivaldybė Rodiklio nepasiekė, savivaldybei skirta pagal Metodikos 29 ar 30 punktus apskaičiuota Dotacijos suma yra mažinama. Savivaldybėje gyvenamąją vietą deklaravusių užsieniečių skaičius Dotacijos sumos mažinimui įtakos nedaro. Sumažinta Dotacijos suma savivaldybei apskaičiuojama pagal formulę:</w:t>
                  </w:r>
                </w:p>
                <w:p>
                  <w:pPr>
                    <w:tabs>
                      <w:tab w:val="left" w:pos="851"/>
                    </w:tabs>
                    <w:spacing w:line="360" w:lineRule="auto"/>
                    <w:ind w:firstLine="851"/>
                    <w:jc w:val="both"/>
                    <w:rPr>
                      <w:color w:val="000000"/>
                      <w:kern w:val="2"/>
                      <w:szCs w:val="24"/>
                    </w:rPr>
                  </w:pPr>
                  <w:r>
                    <w:rPr>
                      <w:kern w:val="2"/>
                      <w:szCs w:val="24"/>
                      <w:lang w:eastAsia="lt-LT"/>
                    </w:rPr>
                    <w:t>STD</w:t>
                  </w:r>
                  <w:r>
                    <w:rPr>
                      <w:kern w:val="2"/>
                      <w:szCs w:val="24"/>
                      <w:vertAlign w:val="subscript"/>
                      <w:lang w:eastAsia="lt-LT"/>
                    </w:rPr>
                    <w:t>x</w:t>
                  </w:r>
                  <w:r>
                    <w:rPr>
                      <w:kern w:val="2"/>
                      <w:szCs w:val="24"/>
                      <w:lang w:eastAsia="lt-LT"/>
                    </w:rPr>
                    <w:t xml:space="preserve"> </w:t>
                  </w:r>
                  <w:r>
                    <w:rPr>
                      <w:color w:val="000000"/>
                      <w:kern w:val="2"/>
                      <w:szCs w:val="24"/>
                    </w:rPr>
                    <w:t>= STD</w:t>
                  </w:r>
                  <w:r>
                    <w:rPr>
                      <w:color w:val="000000"/>
                      <w:kern w:val="2"/>
                      <w:szCs w:val="24"/>
                      <w:vertAlign w:val="subscript"/>
                    </w:rPr>
                    <w:t xml:space="preserve">sav. </w:t>
                  </w:r>
                  <w:r>
                    <w:rPr>
                      <w:color w:val="000000"/>
                      <w:kern w:val="2"/>
                      <w:szCs w:val="24"/>
                    </w:rPr>
                    <w:t>–</w:t>
                  </w:r>
                  <w:r>
                    <w:rPr>
                      <w:color w:val="000000"/>
                      <w:kern w:val="2"/>
                      <w:szCs w:val="24"/>
                      <w:vertAlign w:val="subscript"/>
                    </w:rPr>
                    <w:t xml:space="preserve"> </w:t>
                  </w:r>
                  <w:r>
                    <w:rPr>
                      <w:color w:val="000000"/>
                      <w:kern w:val="2"/>
                      <w:szCs w:val="24"/>
                    </w:rPr>
                    <w:t>(STD</w:t>
                  </w:r>
                  <w:r>
                    <w:rPr>
                      <w:color w:val="000000"/>
                      <w:kern w:val="2"/>
                      <w:szCs w:val="24"/>
                      <w:vertAlign w:val="subscript"/>
                    </w:rPr>
                    <w:t>sav.</w:t>
                  </w:r>
                  <w:r>
                    <w:rPr>
                      <w:color w:val="000000"/>
                      <w:kern w:val="2"/>
                      <w:szCs w:val="24"/>
                    </w:rPr>
                    <w:t xml:space="preserve"> x (R – R</w:t>
                  </w:r>
                  <w:r>
                    <w:rPr>
                      <w:color w:val="000000"/>
                      <w:kern w:val="2"/>
                      <w:szCs w:val="24"/>
                      <w:vertAlign w:val="subscript"/>
                    </w:rPr>
                    <w:t xml:space="preserve">sav.) </w:t>
                  </w:r>
                  <w:r>
                    <w:rPr>
                      <w:color w:val="000000"/>
                      <w:kern w:val="2"/>
                      <w:szCs w:val="24"/>
                    </w:rPr>
                    <w:t xml:space="preserve">/ 100), </w:t>
                  </w:r>
                </w:p>
                <w:p>
                  <w:pPr>
                    <w:tabs>
                      <w:tab w:val="left" w:pos="851"/>
                    </w:tabs>
                    <w:spacing w:line="360" w:lineRule="auto"/>
                    <w:ind w:firstLine="913"/>
                    <w:jc w:val="both"/>
                    <w:rPr>
                      <w:color w:val="000000"/>
                      <w:kern w:val="2"/>
                      <w:szCs w:val="24"/>
                    </w:rPr>
                  </w:pPr>
                  <w:r>
                    <w:rPr>
                      <w:color w:val="000000"/>
                      <w:kern w:val="2"/>
                      <w:szCs w:val="24"/>
                    </w:rPr>
                    <w:t>kurioje:</w:t>
                  </w:r>
                </w:p>
                <w:p>
                  <w:pPr>
                    <w:tabs>
                      <w:tab w:val="left" w:pos="851"/>
                    </w:tabs>
                    <w:spacing w:line="360" w:lineRule="auto"/>
                    <w:ind w:firstLine="851"/>
                    <w:jc w:val="both"/>
                    <w:rPr>
                      <w:kern w:val="2"/>
                      <w:szCs w:val="24"/>
                    </w:rPr>
                  </w:pPr>
                  <w:r>
                    <w:rPr>
                      <w:color w:val="000000"/>
                      <w:kern w:val="2"/>
                      <w:szCs w:val="24"/>
                    </w:rPr>
                    <w:t>STD</w:t>
                  </w:r>
                  <w:r>
                    <w:rPr>
                      <w:color w:val="000000"/>
                      <w:kern w:val="2"/>
                      <w:szCs w:val="24"/>
                      <w:vertAlign w:val="subscript"/>
                    </w:rPr>
                    <w:t>x</w:t>
                  </w:r>
                  <w:r>
                    <w:rPr>
                      <w:color w:val="000000"/>
                      <w:kern w:val="2"/>
                      <w:szCs w:val="24"/>
                    </w:rPr>
                    <w:t xml:space="preserve"> </w:t>
                  </w:r>
                  <w:r>
                    <w:rPr>
                      <w:kern w:val="2"/>
                      <w:szCs w:val="24"/>
                    </w:rPr>
                    <w:t xml:space="preserve">– patikslinta </w:t>
                  </w:r>
                  <w:r>
                    <w:rPr>
                      <w:color w:val="000000"/>
                      <w:kern w:val="2"/>
                      <w:szCs w:val="24"/>
                    </w:rPr>
                    <w:t>Dotacijos suma savivaldybei, eurais;</w:t>
                  </w:r>
                </w:p>
                <w:p>
                  <w:pPr>
                    <w:tabs>
                      <w:tab w:val="left" w:pos="851"/>
                    </w:tabs>
                    <w:spacing w:line="360" w:lineRule="auto"/>
                    <w:ind w:firstLine="851"/>
                    <w:jc w:val="both"/>
                    <w:rPr>
                      <w:kern w:val="2"/>
                      <w:szCs w:val="24"/>
                    </w:rPr>
                  </w:pPr>
                  <w:r>
                    <w:rPr>
                      <w:kern w:val="2"/>
                      <w:szCs w:val="24"/>
                    </w:rPr>
                    <w:t>R – Vidaus reikalų ministerijos atitinkamų biudžetinių metų strateginiame veiklos plane atitinkamiems metams nustatytas rodiklis,</w:t>
                  </w:r>
                  <w:r>
                    <w:rPr>
                      <w:kern w:val="2"/>
                      <w:sz w:val="22"/>
                      <w:szCs w:val="22"/>
                    </w:rPr>
                    <w:t xml:space="preserve"> </w:t>
                  </w:r>
                  <w:r>
                    <w:rPr>
                      <w:kern w:val="2"/>
                      <w:szCs w:val="24"/>
                    </w:rPr>
                    <w:t>susijęs su gyvenamosios vietos deklaravimo elektroniniu būdu atvejų skaičiaus didėjimu, proc.;</w:t>
                  </w:r>
                </w:p>
                <w:p>
                  <w:pPr>
                    <w:tabs>
                      <w:tab w:val="left" w:pos="851"/>
                    </w:tabs>
                    <w:spacing w:line="360" w:lineRule="auto"/>
                    <w:ind w:firstLine="851"/>
                    <w:jc w:val="both"/>
                    <w:rPr>
                      <w:color w:val="000000"/>
                      <w:kern w:val="2"/>
                      <w:szCs w:val="28"/>
                    </w:rPr>
                  </w:pPr>
                  <w:r>
                    <w:rPr>
                      <w:color w:val="000000"/>
                      <w:kern w:val="2"/>
                      <w:szCs w:val="24"/>
                    </w:rPr>
                    <w:t>R</w:t>
                  </w:r>
                  <w:r>
                    <w:rPr>
                      <w:color w:val="000000"/>
                      <w:kern w:val="2"/>
                      <w:szCs w:val="24"/>
                      <w:vertAlign w:val="subscript"/>
                    </w:rPr>
                    <w:t xml:space="preserve">sav. </w:t>
                  </w:r>
                  <w:r>
                    <w:rPr>
                      <w:color w:val="000000"/>
                      <w:kern w:val="2"/>
                      <w:szCs w:val="24"/>
                    </w:rPr>
                    <w:t xml:space="preserve">– savivaldybės pasiektas rodiklis, proc. </w:t>
                  </w:r>
                  <w:r>
                    <w:rPr>
                      <w:color w:val="000000"/>
                      <w:kern w:val="2"/>
                      <w:szCs w:val="28"/>
                    </w:rPr>
                    <w:t>(valstybės įmonės Registrų centro iš Gyventojų registro pateikti duomenys).</w:t>
                  </w:r>
                </w:p>
                <w:p>
                  <w:pPr>
                    <w:tabs>
                      <w:tab w:val="left" w:pos="851"/>
                    </w:tabs>
                    <w:spacing w:line="360" w:lineRule="auto"/>
                    <w:jc w:val="both"/>
                    <w:rPr>
                      <w:sz w:val="22"/>
                      <w:szCs w:val="24"/>
                    </w:rPr>
                  </w:pPr>
                  <w:r>
                    <w:rPr>
                      <w:b/>
                      <w:kern w:val="2"/>
                      <w:sz w:val="22"/>
                      <w:szCs w:val="24"/>
                      <w:lang w:eastAsia="lt-LT"/>
                    </w:rPr>
                    <w:t>TAR pastaba</w:t>
                  </w:r>
                  <w:r>
                    <w:rPr>
                      <w:kern w:val="2"/>
                      <w:sz w:val="22"/>
                      <w:szCs w:val="24"/>
                      <w:lang w:eastAsia="lt-LT"/>
                    </w:rPr>
                    <w:t>. 33 punktas įsigalioja 2027-01-01.</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093241617e11f0a8bbd1e98310677d">
                <w:r w:rsidRPr="00532B9F">
                  <w:rPr>
                    <w:rFonts w:ascii="Times New Roman" w:eastAsia="MS Mincho" w:hAnsi="Times New Roman"/>
                    <w:sz w:val="20"/>
                    <w:i/>
                    <w:iCs/>
                    <w:color w:val="0000FF" w:themeColor="hyperlink"/>
                    <w:u w:val="single"/>
                  </w:rPr>
                  <w:t>1V-499</w:t>
                </w:r>
              </w:fldSimple>
              <w:r>
                <w:rPr>
                  <w:rFonts w:ascii="Times New Roman" w:eastAsia="MS Mincho" w:hAnsi="Times New Roman"/>
                  <w:sz w:val="20"/>
                  <w:i/>
                  <w:iCs/>
                </w:rPr>
                <w:t>,
2025-07-15,
paskelbta TAR 2025-07-15, i. k. 2025-12847            </w:t>
              </w:r>
            </w:p>
            <w:p/>
          </w:sdtContent>
        </w:sdt>
        <w:sdt>
          <w:sdtPr>
            <w:alias w:val="pabaiga"/>
            <w:tag w:val="part_7ae3492489874deca00044909c8d4d4d"/>
            <w:lock w:val="sdtLocked"/>
            <w:richText/>
          </w:sdtPr>
          <w:sdtContent>
            <w:p>
              <w:pPr>
                <w:spacing w:line="360" w:lineRule="auto"/>
                <w:jc w:val="center"/>
              </w:pPr>
              <w:r>
                <w:rPr>
                  <w:szCs w:val="24"/>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CA0A5CF2E6">
            <w:r w:rsidRPr="00532B9F">
              <w:rPr>
                <w:rFonts w:ascii="Times New Roman" w:eastAsia="MS Mincho" w:hAnsi="Times New Roman"/>
                <w:sz w:val="20"/>
                <w:iCs/>
                <w:color w:val="0000FF" w:themeColor="hyperlink"/>
                <w:u w:val="single"/>
              </w:rPr>
              <w:t>1V-213</w:t>
            </w:r>
          </w:fldSimple>
          <w:r>
            <w:rPr>
              <w:rFonts w:ascii="Times New Roman" w:eastAsia="MS Mincho" w:hAnsi="Times New Roman"/>
              <w:sz w:val="20"/>
              <w:iCs/>
            </w:rPr>
            <w:t>,
2007-06-08,
Žin., 2007, Nr.
66-2584 (2007-06-14), i. k. 1072310ISAK001V-213                </w:t>
          </w:r>
        </w:p>
        <w:p>
          <w:pPr>
            <w:jc w:val="both"/>
            <w:rPr>
              <w:rFonts w:ascii="Times New Roman" w:hAnsi="Times New Roman"/>
            </w:rPr>
          </w:pPr>
          <w:r>
            <w:rPr>
              <w:rFonts w:ascii="Times New Roman" w:hAnsi="Times New Roman"/>
              <w:sz w:val="20"/>
            </w:rPr>
            <w:t>Dėl Lietuvos Respublikos vidaus reikalų ministro 2006 m. birželio 9 d. įsakymo Nr. 1V-218 "Dėl Valstybinėms (perduotoms savivaldybėms) funkcijoms atlikti lėšų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419CA17C83">
            <w:r w:rsidRPr="00532B9F">
              <w:rPr>
                <w:rFonts w:ascii="Times New Roman" w:eastAsia="MS Mincho" w:hAnsi="Times New Roman"/>
                <w:sz w:val="20"/>
                <w:iCs/>
                <w:color w:val="0000FF" w:themeColor="hyperlink"/>
                <w:u w:val="single"/>
              </w:rPr>
              <w:t>1V-425</w:t>
            </w:r>
          </w:fldSimple>
          <w:r>
            <w:rPr>
              <w:rFonts w:ascii="Times New Roman" w:eastAsia="MS Mincho" w:hAnsi="Times New Roman"/>
              <w:sz w:val="20"/>
              <w:iCs/>
            </w:rPr>
            <w:t>,
2007-12-04,
Žin., 2007, Nr.
130-5268 (2007-12-11), i. k. 1072310ISAK001V-425                </w:t>
          </w:r>
        </w:p>
        <w:p>
          <w:pPr>
            <w:jc w:val="both"/>
            <w:rPr>
              <w:rFonts w:ascii="Times New Roman" w:hAnsi="Times New Roman"/>
            </w:rPr>
          </w:pPr>
          <w:r>
            <w:rPr>
              <w:rFonts w:ascii="Times New Roman" w:hAnsi="Times New Roman"/>
              <w:sz w:val="20"/>
            </w:rPr>
            <w:t>Dėl Lietuvos Respublikos vidaus reikalų ministro 2006 m. birželio 9 d. įsakymo Nr. 1V-218 "Dėl Valstybinėms (perduotoms savivaldybėms) funkcijoms atlikti lėšų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E51C0BF05C1">
            <w:r w:rsidRPr="00532B9F">
              <w:rPr>
                <w:rFonts w:ascii="Times New Roman" w:eastAsia="MS Mincho" w:hAnsi="Times New Roman"/>
                <w:sz w:val="20"/>
                <w:iCs/>
                <w:color w:val="0000FF" w:themeColor="hyperlink"/>
                <w:u w:val="single"/>
              </w:rPr>
              <w:t>1V-256</w:t>
            </w:r>
          </w:fldSimple>
          <w:r>
            <w:rPr>
              <w:rFonts w:ascii="Times New Roman" w:eastAsia="MS Mincho" w:hAnsi="Times New Roman"/>
              <w:sz w:val="20"/>
              <w:iCs/>
            </w:rPr>
            <w:t>,
2008-07-03,
Žin., 2008, Nr.
78-3085 (2008-07-10), i. k. 1082310ISAK001V-256                </w:t>
          </w:r>
        </w:p>
        <w:p>
          <w:pPr>
            <w:jc w:val="both"/>
            <w:rPr>
              <w:rFonts w:ascii="Times New Roman" w:hAnsi="Times New Roman"/>
            </w:rPr>
          </w:pPr>
          <w:r>
            <w:rPr>
              <w:rFonts w:ascii="Times New Roman" w:hAnsi="Times New Roman"/>
              <w:sz w:val="20"/>
            </w:rPr>
            <w:t>Dėl Lietuvos Respublikos vidaus reikalų ministro 2006 m. birželio 9 d. įsakymo Nr. 1V-218 "Dėl Valstybinėms (perduotoms savivaldybėms) funkcijoms atlikti lėšų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B367FA52AE">
            <w:r w:rsidRPr="00532B9F">
              <w:rPr>
                <w:rFonts w:ascii="Times New Roman" w:eastAsia="MS Mincho" w:hAnsi="Times New Roman"/>
                <w:sz w:val="20"/>
                <w:iCs/>
                <w:color w:val="0000FF" w:themeColor="hyperlink"/>
                <w:u w:val="single"/>
              </w:rPr>
              <w:t>1V-258</w:t>
            </w:r>
          </w:fldSimple>
          <w:r>
            <w:rPr>
              <w:rFonts w:ascii="Times New Roman" w:eastAsia="MS Mincho" w:hAnsi="Times New Roman"/>
              <w:sz w:val="20"/>
              <w:iCs/>
            </w:rPr>
            <w:t>,
2010-04-28,
Žin., 2010, Nr.
51-2529 (2010-05-04), i. k. 1102310ISAK001V-258                </w:t>
          </w:r>
        </w:p>
        <w:p>
          <w:pPr>
            <w:jc w:val="both"/>
            <w:rPr>
              <w:rFonts w:ascii="Times New Roman" w:hAnsi="Times New Roman"/>
            </w:rPr>
          </w:pPr>
          <w:r>
            <w:rPr>
              <w:rFonts w:ascii="Times New Roman" w:hAnsi="Times New Roman"/>
              <w:sz w:val="20"/>
            </w:rPr>
            <w:t>Dėl Lietuvos Respublikos vidaus reikalų ministro 2006 m. birželio 9 d. įsakymo Nr. 1V-218 "Dėl Valstybinėms (perduotoms savivaldybėms) funkcijoms atlikti lėšų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247A722CCD">
            <w:r w:rsidRPr="00532B9F">
              <w:rPr>
                <w:rFonts w:ascii="Times New Roman" w:eastAsia="MS Mincho" w:hAnsi="Times New Roman"/>
                <w:sz w:val="20"/>
                <w:iCs/>
                <w:color w:val="0000FF" w:themeColor="hyperlink"/>
                <w:u w:val="single"/>
              </w:rPr>
              <w:t>1V-437</w:t>
            </w:r>
          </w:fldSimple>
          <w:r>
            <w:rPr>
              <w:rFonts w:ascii="Times New Roman" w:eastAsia="MS Mincho" w:hAnsi="Times New Roman"/>
              <w:sz w:val="20"/>
              <w:iCs/>
            </w:rPr>
            <w:t>,
2010-06-30,
Žin., 2010, Nr.
80-4192 (2010-07-08), i. k. 1102310ISAK001V-437                </w:t>
          </w:r>
        </w:p>
        <w:p>
          <w:pPr>
            <w:jc w:val="both"/>
            <w:rPr>
              <w:rFonts w:ascii="Times New Roman" w:hAnsi="Times New Roman"/>
            </w:rPr>
          </w:pPr>
          <w:r>
            <w:rPr>
              <w:rFonts w:ascii="Times New Roman" w:hAnsi="Times New Roman"/>
              <w:sz w:val="20"/>
            </w:rPr>
            <w:t>Dėl Lietuvos Respublikos vidaus reikalų ministro 2006 m. birželio 9 d. įsakymo Nr. 1V-218 "Dėl Valstybinėms (perduotoms savivaldybėms) funkcijoms atlikti lėšų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EDF8BB6346">
            <w:r w:rsidRPr="00532B9F">
              <w:rPr>
                <w:rFonts w:ascii="Times New Roman" w:eastAsia="MS Mincho" w:hAnsi="Times New Roman"/>
                <w:sz w:val="20"/>
                <w:iCs/>
                <w:color w:val="0000FF" w:themeColor="hyperlink"/>
                <w:u w:val="single"/>
              </w:rPr>
              <w:t>1V-558</w:t>
            </w:r>
          </w:fldSimple>
          <w:r>
            <w:rPr>
              <w:rFonts w:ascii="Times New Roman" w:eastAsia="MS Mincho" w:hAnsi="Times New Roman"/>
              <w:sz w:val="20"/>
              <w:iCs/>
            </w:rPr>
            <w:t>,
2012-07-26,
Žin., 2012, Nr.
91-4738 (2012-07-31), i. k. 1122310ISAK001V-558                </w:t>
          </w:r>
        </w:p>
        <w:p>
          <w:pPr>
            <w:jc w:val="both"/>
            <w:rPr>
              <w:rFonts w:ascii="Times New Roman" w:hAnsi="Times New Roman"/>
            </w:rPr>
          </w:pPr>
          <w:r>
            <w:rPr>
              <w:rFonts w:ascii="Times New Roman" w:hAnsi="Times New Roman"/>
              <w:sz w:val="20"/>
            </w:rPr>
            <w:t>Dėl Lietuvos Respublikos vidaus reikalų ministro 2006 m. birželio 9 d. įsakymo Nr. 1V-218 "Dėl Valstybinėms (perduotoms savivaldybėms) funkcijoms atlikti lėšų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B4F53E685">
            <w:r w:rsidRPr="00532B9F">
              <w:rPr>
                <w:rFonts w:ascii="Times New Roman" w:eastAsia="MS Mincho" w:hAnsi="Times New Roman"/>
                <w:sz w:val="20"/>
                <w:iCs/>
                <w:color w:val="0000FF" w:themeColor="hyperlink"/>
                <w:u w:val="single"/>
              </w:rPr>
              <w:t>1V-759</w:t>
            </w:r>
          </w:fldSimple>
          <w:r>
            <w:rPr>
              <w:rFonts w:ascii="Times New Roman" w:eastAsia="MS Mincho" w:hAnsi="Times New Roman"/>
              <w:sz w:val="20"/>
              <w:iCs/>
            </w:rPr>
            <w:t>,
2013-09-09,
Žin., 2013, Nr.
97-4836 (2013-09-14), i. k. 1132310ISAK001V-759                </w:t>
          </w:r>
        </w:p>
        <w:p>
          <w:pPr>
            <w:jc w:val="both"/>
            <w:rPr>
              <w:rFonts w:ascii="Times New Roman" w:hAnsi="Times New Roman"/>
            </w:rPr>
          </w:pPr>
          <w:r>
            <w:rPr>
              <w:rFonts w:ascii="Times New Roman" w:hAnsi="Times New Roman"/>
              <w:sz w:val="20"/>
            </w:rPr>
            <w:t>Dėl Lietuvos Respublikos vidaus reikalų ministro 2006 m. birželio 9 d. įsakymo Nr. 1V-218 "Dėl Valstybinėms (perduotoms savivaldybėms) funkcijoms atlikti lėšų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508620bc3211e487a3c49dd729baa4">
            <w:r w:rsidRPr="00532B9F">
              <w:rPr>
                <w:rFonts w:ascii="Times New Roman" w:eastAsia="MS Mincho" w:hAnsi="Times New Roman"/>
                <w:sz w:val="20"/>
                <w:iCs/>
                <w:color w:val="0000FF" w:themeColor="hyperlink"/>
                <w:u w:val="single"/>
              </w:rPr>
              <w:t>1V-128</w:t>
            </w:r>
          </w:fldSimple>
          <w:r>
            <w:rPr>
              <w:rFonts w:ascii="Times New Roman" w:eastAsia="MS Mincho" w:hAnsi="Times New Roman"/>
              <w:sz w:val="20"/>
              <w:iCs/>
            </w:rPr>
            <w:t>,
2015-02-24,
paskelbta TAR 2015-02-24, i. k. 2015-02884                </w:t>
          </w:r>
        </w:p>
        <w:p>
          <w:pPr>
            <w:jc w:val="both"/>
            <w:rPr>
              <w:rFonts w:ascii="Times New Roman" w:hAnsi="Times New Roman"/>
            </w:rPr>
          </w:pPr>
          <w:r>
            <w:rPr>
              <w:rFonts w:ascii="Times New Roman" w:hAnsi="Times New Roman"/>
              <w:sz w:val="20"/>
            </w:rPr>
            <w:t>Dėl Lietuvos Respublikos vidaus reikalų ministro 2006 m. birželio 9 d. įsakymo Nr. 1V-218 „Dėl Valstybinėms (valstybės perduotoms savivaldybėms) funkcijoms atlikti lėšų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406a20998b11e58fd1fc0b9bba68a7">
            <w:r w:rsidRPr="00532B9F">
              <w:rPr>
                <w:rFonts w:ascii="Times New Roman" w:eastAsia="MS Mincho" w:hAnsi="Times New Roman"/>
                <w:sz w:val="20"/>
                <w:iCs/>
                <w:color w:val="0000FF" w:themeColor="hyperlink"/>
                <w:u w:val="single"/>
              </w:rPr>
              <w:t>1V-962</w:t>
            </w:r>
          </w:fldSimple>
          <w:r>
            <w:rPr>
              <w:rFonts w:ascii="Times New Roman" w:eastAsia="MS Mincho" w:hAnsi="Times New Roman"/>
              <w:sz w:val="20"/>
              <w:iCs/>
            </w:rPr>
            <w:t>,
2015-12-03,
paskelbta TAR 2015-12-03, i. k. 2015-19212                </w:t>
          </w:r>
        </w:p>
        <w:p>
          <w:pPr>
            <w:jc w:val="both"/>
            <w:rPr>
              <w:rFonts w:ascii="Times New Roman" w:hAnsi="Times New Roman"/>
            </w:rPr>
          </w:pPr>
          <w:r>
            <w:rPr>
              <w:rFonts w:ascii="Times New Roman" w:hAnsi="Times New Roman"/>
              <w:sz w:val="20"/>
            </w:rPr>
            <w:t>Dėl Lietuvos Respublikos vidaus reikalų ministro 2006 m. birželio 9 d. įsakymo Nr. 1V-218  „Dėl Valstybinėms (valstybės perduotoms savivaldybėms) funkcijoms atlikti lėšų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0f1ed00e0711e79800e8266c1e5d1b">
            <w:r w:rsidRPr="00532B9F">
              <w:rPr>
                <w:rFonts w:ascii="Times New Roman" w:eastAsia="MS Mincho" w:hAnsi="Times New Roman"/>
                <w:sz w:val="20"/>
                <w:iCs/>
                <w:color w:val="0000FF" w:themeColor="hyperlink"/>
                <w:u w:val="single"/>
              </w:rPr>
              <w:t>1V-204</w:t>
            </w:r>
          </w:fldSimple>
          <w:r>
            <w:rPr>
              <w:rFonts w:ascii="Times New Roman" w:eastAsia="MS Mincho" w:hAnsi="Times New Roman"/>
              <w:sz w:val="20"/>
              <w:iCs/>
            </w:rPr>
            <w:t>,
2017-03-21,
paskelbta TAR 2017-03-21, i. k. 2017-04645                </w:t>
          </w:r>
        </w:p>
        <w:p>
          <w:pPr>
            <w:jc w:val="both"/>
            <w:rPr>
              <w:rFonts w:ascii="Times New Roman" w:hAnsi="Times New Roman"/>
            </w:rPr>
          </w:pPr>
          <w:r>
            <w:rPr>
              <w:rFonts w:ascii="Times New Roman" w:hAnsi="Times New Roman"/>
              <w:sz w:val="20"/>
            </w:rPr>
            <w:t>Dėl Lietuvos Respublikos vidaus reikalų ministro 2006 m. birželio 9 d. įsakymo Nr. 1V-218 „Dėl Valstybinėms (valstybės perduotoms savivaldybėms) funkcijoms atlikti lėšų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b4b1c04ad811e9b9e1d4aa8e4da0de">
            <w:r w:rsidRPr="00532B9F">
              <w:rPr>
                <w:rFonts w:ascii="Times New Roman" w:eastAsia="MS Mincho" w:hAnsi="Times New Roman"/>
                <w:sz w:val="20"/>
                <w:iCs/>
                <w:color w:val="0000FF" w:themeColor="hyperlink"/>
                <w:u w:val="single"/>
              </w:rPr>
              <w:t>1V-275</w:t>
            </w:r>
          </w:fldSimple>
          <w:r>
            <w:rPr>
              <w:rFonts w:ascii="Times New Roman" w:eastAsia="MS Mincho" w:hAnsi="Times New Roman"/>
              <w:sz w:val="20"/>
              <w:iCs/>
            </w:rPr>
            <w:t>,
2019-03-20,
paskelbta TAR 2019-03-20, i. k. 2019-04319                </w:t>
          </w:r>
        </w:p>
        <w:p>
          <w:pPr>
            <w:jc w:val="both"/>
            <w:rPr>
              <w:rFonts w:ascii="Times New Roman" w:hAnsi="Times New Roman"/>
            </w:rPr>
          </w:pPr>
          <w:r>
            <w:rPr>
              <w:rFonts w:ascii="Times New Roman" w:hAnsi="Times New Roman"/>
              <w:sz w:val="20"/>
            </w:rPr>
            <w:t>Dėl Lietuvos Respublikos vidaus reikalų ministro 2006 m. birželio 9 d. įsakymo Nr. 1V-218 „Dėl Valstybinėms (valstybės perduotoms savivaldybėms) funkcijoms atlikti lėšų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6319306f2c11eabee4a336e7e6fdab">
            <w:r w:rsidRPr="00532B9F">
              <w:rPr>
                <w:rFonts w:ascii="Times New Roman" w:eastAsia="MS Mincho" w:hAnsi="Times New Roman"/>
                <w:sz w:val="20"/>
                <w:iCs/>
                <w:color w:val="0000FF" w:themeColor="hyperlink"/>
                <w:u w:val="single"/>
              </w:rPr>
              <w:t>1V-281</w:t>
            </w:r>
          </w:fldSimple>
          <w:r>
            <w:rPr>
              <w:rFonts w:ascii="Times New Roman" w:eastAsia="MS Mincho" w:hAnsi="Times New Roman"/>
              <w:sz w:val="20"/>
              <w:iCs/>
            </w:rPr>
            <w:t>,
2020-03-26,
paskelbta TAR 2020-03-26, i. k. 2020-06053                </w:t>
          </w:r>
        </w:p>
        <w:p>
          <w:pPr>
            <w:jc w:val="both"/>
            <w:rPr>
              <w:rFonts w:ascii="Times New Roman" w:hAnsi="Times New Roman"/>
            </w:rPr>
          </w:pPr>
          <w:r>
            <w:rPr>
              <w:rFonts w:ascii="Times New Roman" w:hAnsi="Times New Roman"/>
              <w:sz w:val="20"/>
            </w:rPr>
            <w:t>Dėl Lietuvos Respublikos vidaus reikalų ministro 2006 m. birželio 9 d. įsakymo Nr. 1V-218 „Dėl Valstybinėms (valstybės perduotoms savivaldybėms) funkcijoms atlikti lėšų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7d6720384511ee9de9e7e0fd363afc">
            <w:r w:rsidRPr="00532B9F">
              <w:rPr>
                <w:rFonts w:ascii="Times New Roman" w:eastAsia="MS Mincho" w:hAnsi="Times New Roman"/>
                <w:sz w:val="20"/>
                <w:iCs/>
                <w:color w:val="0000FF" w:themeColor="hyperlink"/>
                <w:u w:val="single"/>
              </w:rPr>
              <w:t>1V-527</w:t>
            </w:r>
          </w:fldSimple>
          <w:r>
            <w:rPr>
              <w:rFonts w:ascii="Times New Roman" w:eastAsia="MS Mincho" w:hAnsi="Times New Roman"/>
              <w:sz w:val="20"/>
              <w:iCs/>
            </w:rPr>
            <w:t>,
2023-08-11,
paskelbta TAR 2023-08-11, i. k. 2023-16181                </w:t>
          </w:r>
        </w:p>
        <w:p>
          <w:pPr>
            <w:jc w:val="both"/>
            <w:rPr>
              <w:rFonts w:ascii="Times New Roman" w:hAnsi="Times New Roman"/>
            </w:rPr>
          </w:pPr>
          <w:r>
            <w:rPr>
              <w:rFonts w:ascii="Times New Roman" w:hAnsi="Times New Roman"/>
              <w:sz w:val="20"/>
            </w:rPr>
            <w:t>Dėl Lietuvos Respublikos vidaus reikalų ministro 2006 m. birželio 9 d. įsakymo Nr. 1V-218 „Dėl Valstybinėms (valstybės perduotoms savivaldybėms) funkcijoms atlikti lėšų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093241617e11f0a8bbd1e98310677d">
            <w:r w:rsidRPr="00532B9F">
              <w:rPr>
                <w:rFonts w:ascii="Times New Roman" w:eastAsia="MS Mincho" w:hAnsi="Times New Roman"/>
                <w:sz w:val="20"/>
                <w:iCs/>
                <w:color w:val="0000FF" w:themeColor="hyperlink"/>
                <w:u w:val="single"/>
              </w:rPr>
              <w:t>1V-499</w:t>
            </w:r>
          </w:fldSimple>
          <w:r>
            <w:rPr>
              <w:rFonts w:ascii="Times New Roman" w:eastAsia="MS Mincho" w:hAnsi="Times New Roman"/>
              <w:sz w:val="20"/>
              <w:iCs/>
            </w:rPr>
            <w:t>,
2025-07-15,
paskelbta TAR 2025-07-15, i. k. 2025-12847                </w:t>
          </w:r>
        </w:p>
        <w:p>
          <w:pPr>
            <w:jc w:val="both"/>
            <w:rPr>
              <w:rFonts w:ascii="Times New Roman" w:hAnsi="Times New Roman"/>
            </w:rPr>
          </w:pPr>
          <w:r>
            <w:rPr>
              <w:rFonts w:ascii="Times New Roman" w:hAnsi="Times New Roman"/>
              <w:sz w:val="20"/>
            </w:rPr>
            <w:t>Dėl Lietuvos Respublikos vidaus reikalų ministro 2006 m. birželio 9 d. įsakymo Nr. 1V-218 „Dėl Valstybinėms (valstybės perduotoms savivaldybėms) funkcijoms atlikti lėšų apskaičiavimo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SymbolPS">
    <w:altName w:val="Symbol"/>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677"/>
        <w:tab w:val="right" w:pos="9355"/>
      </w:tabs>
      <w:rPr>
        <w:szCs w:val="24"/>
      </w:rPr>
    </w:pPr>
    <w:r>
      <w:rPr>
        <w:szCs w:val="24"/>
      </w:rPr>
      <w:fldChar w:fldCharType="begin"/>
    </w:r>
    <w:r>
      <w:rPr>
        <w:szCs w:val="24"/>
      </w:rPr>
      <w:instrText xml:space="preserve">PAGE  </w:instrText>
    </w:r>
    <w:r>
      <w:rPr>
        <w:szCs w:val="24"/>
      </w:rPr>
      <w:fldChar w:fldCharType="separate"/>
    </w:r>
    <w:r>
      <w:rPr>
        <w:szCs w:val="24"/>
      </w:rPr>
      <w:t>10</w:t>
    </w:r>
    <w:r>
      <w:rPr>
        <w:szCs w:val="24"/>
      </w:rPr>
      <w:fldChar w:fldCharType="end"/>
    </w:r>
  </w:p>
  <w:p>
    <w:pPr>
      <w:tabs>
        <w:tab w:val="center" w:pos="4677"/>
        <w:tab w:val="right" w:pos="9355"/>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677"/>
        <w:tab w:val="right" w:pos="9355"/>
      </w:tabs>
      <w:rPr>
        <w:szCs w:val="24"/>
      </w:rPr>
    </w:pPr>
  </w:p>
  <w:p>
    <w:pPr>
      <w:tabs>
        <w:tab w:val="center" w:pos="4677"/>
        <w:tab w:val="right" w:pos="9355"/>
      </w:tabs>
      <w:jc w:val="center"/>
      <w:rPr>
        <w:b/>
        <w:szCs w:val="24"/>
      </w:rPr>
    </w:pPr>
    <w:r>
      <w:rPr>
        <w:b/>
        <w:szCs w:val="24"/>
      </w:rPr>
      <w:t xml:space="preserve">                                                                                                        </w:t>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677"/>
        <w:tab w:val="right" w:pos="9355"/>
      </w:tabs>
      <w:rPr>
        <w:szCs w:val="24"/>
      </w:rPr>
    </w:pPr>
    <w:r>
      <w:rPr>
        <w:szCs w:val="24"/>
      </w:rPr>
      <w:fldChar w:fldCharType="begin"/>
    </w:r>
    <w:r>
      <w:rPr>
        <w:szCs w:val="24"/>
      </w:rPr>
      <w:instrText xml:space="preserve">PAGE  </w:instrText>
    </w:r>
    <w:r>
      <w:rPr>
        <w:szCs w:val="24"/>
      </w:rPr>
      <w:fldChar w:fldCharType="separate"/>
    </w:r>
    <w:r>
      <w:rPr>
        <w:szCs w:val="24"/>
      </w:rPr>
      <w:t>10</w:t>
    </w:r>
    <w:r>
      <w:rPr>
        <w:szCs w:val="24"/>
      </w:rPr>
      <w:fldChar w:fldCharType="end"/>
    </w:r>
  </w:p>
  <w:p>
    <w:pPr>
      <w:tabs>
        <w:tab w:val="center" w:pos="4677"/>
        <w:tab w:val="right" w:pos="9355"/>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677"/>
        <w:tab w:val="right" w:pos="9355"/>
      </w:tabs>
      <w:rPr>
        <w:szCs w:val="24"/>
      </w:rPr>
    </w:pPr>
  </w:p>
  <w:p>
    <w:pPr>
      <w:tabs>
        <w:tab w:val="center" w:pos="4677"/>
        <w:tab w:val="right" w:pos="9355"/>
      </w:tabs>
      <w:jc w:val="center"/>
      <w:rPr>
        <w:b/>
        <w:szCs w:val="24"/>
      </w:rPr>
    </w:pPr>
    <w:r>
      <w:rPr>
        <w:b/>
        <w:szCs w:val="24"/>
      </w:rPr>
      <w:t xml:space="preserve">                                                                                                        </w:t>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677"/>
        <w:tab w:val="right" w:pos="9355"/>
      </w:tabs>
      <w:rPr>
        <w:szCs w:val="24"/>
      </w:rPr>
    </w:pPr>
    <w:r>
      <w:rPr>
        <w:szCs w:val="24"/>
      </w:rPr>
      <w:fldChar w:fldCharType="begin"/>
    </w:r>
    <w:r>
      <w:rPr>
        <w:szCs w:val="24"/>
      </w:rPr>
      <w:instrText xml:space="preserve">PAGE  </w:instrText>
    </w:r>
    <w:r>
      <w:rPr>
        <w:szCs w:val="24"/>
      </w:rPr>
      <w:fldChar w:fldCharType="separate"/>
    </w:r>
    <w:r>
      <w:rPr>
        <w:szCs w:val="24"/>
      </w:rPr>
      <w:t>10</w:t>
    </w:r>
    <w:r>
      <w:rPr>
        <w:szCs w:val="24"/>
      </w:rPr>
      <w:fldChar w:fldCharType="end"/>
    </w:r>
  </w:p>
  <w:p>
    <w:pPr>
      <w:tabs>
        <w:tab w:val="center" w:pos="4677"/>
        <w:tab w:val="right" w:pos="9355"/>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677"/>
        <w:tab w:val="right" w:pos="9355"/>
      </w:tabs>
      <w:rPr>
        <w:szCs w:val="24"/>
      </w:rPr>
    </w:pPr>
  </w:p>
  <w:p>
    <w:pPr>
      <w:tabs>
        <w:tab w:val="center" w:pos="4677"/>
        <w:tab w:val="right" w:pos="9355"/>
      </w:tabs>
      <w:jc w:val="center"/>
      <w:rPr>
        <w:b/>
        <w:szCs w:val="24"/>
      </w:rPr>
    </w:pPr>
    <w:r>
      <w:rPr>
        <w:b/>
        <w:szCs w:val="24"/>
      </w:rPr>
      <w:t xml:space="preserve">                                                                                                        </w:t>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720"/>
  <w:hyphenationZone w:val="396"/>
  <w:doNotHyphenateCaps/>
  <w:drawingGridHorizontalSpacing w:val="57"/>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041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hapeDefaults>
    <o:shapedefaults v:ext="edit" spidmax="1026"/>
    <o:shapelayout v:ext="edit">
      <o:idmap v:ext="edit" data="1"/>
    </o:shapelayout>
  </w:shapeDefaults>
  <w:decimalSymbol w:val=","/>
  <w:listSeparator w:val=";"/>
  <w14:docId w14:val="6C6579D2"/>
  <w15:docId w15:val="{3C96EBC5-C1B2-4D1C-BB54-0FC1C1F1FCB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25.xml"/>
  <Relationship Id="rId15" Type="http://schemas.openxmlformats.org/officeDocument/2006/relationships/header" Target="header26.xml"/>
  <Relationship Id="rId16" Type="http://schemas.openxmlformats.org/officeDocument/2006/relationships/footer" Target="footer25.xml"/>
  <Relationship Id="rId17" Type="http://schemas.openxmlformats.org/officeDocument/2006/relationships/footer" Target="footer26.xml"/>
  <Relationship Id="rId18" Type="http://schemas.openxmlformats.org/officeDocument/2006/relationships/header" Target="header27.xml"/>
  <Relationship Id="rId19" Type="http://schemas.openxmlformats.org/officeDocument/2006/relationships/footer" Target="footer27.xml"/>
  <Relationship Id="rId2" Type="http://schemas.openxmlformats.org/officeDocument/2006/relationships/header" Target="header17.xml"/>
  <Relationship Id="rId20" Type="http://schemas.openxmlformats.org/officeDocument/2006/relationships/customXml" Target="../customXml/item1.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LSTYBINĖMS (VALSTYBĖS PERDUOTOMS SAVIVALDYBĖMS) FUNKCIJOMS ATLIKTI LĖŠŲ APSKAIČIAVIMO METODIKOS PATVIRTINIMO“." DocPartId="9c7f68d253d748e6b3f9680e4a0b6d22" PartId="b67407956e61441e8c93d17c682b46d2">
    <Part Type="preambule" DocPartId="c50a8d7f369a40dd90d9e54160772892" PartId="55d5d22a608c40a68eef400cb178ce1a"/>
    <Part Type="pastraipa" DocPartId="18b62307bfd54dcba4fc392d4aa6552a" PartId="cc14e74733e0451c97d9d33ffd48bfc1"/>
    <Part Type="signatura" DocPartId="8c4de057a2c2439cb2950775db4aada6" PartId="fad1a127a59d4acc917eb0312e5d1401"/>
  </Part>
  <Part Type="patvirtinta" Title="VALSTYBINĖMS (VALSTYBĖS PERDUOTOMS SAVIVALDYBĖMS) FUNKCIJOMS ATLIKTI LĖŠŲ APSKAIČIAVIMO METODIKA" DocPartId="1bc2153b75554a12b1482425866ae281" PartId="9496a43942304e70a3ff938f64d8d879">
    <Part Type="skyrius" Nr="1" Title="BENDROSIOS NUOSTATOS" DocPartId="5c0478c25d5f4330944b1e8c10207f5c" PartId="e33231cd50f64ff49cc5431608e312a9">
      <Part Type="punktas" Nr="1" Abbr="1 p." DocPartId="2173f573a70d49e6aa7f6893071dee0d" PartId="a7720b5f196548509adda740ab40f56a"/>
      <Part Type="punktas" Nr="2" Abbr="2 p." DocPartId="d0e9c684de104aed912f1e04d3f59a98" PartId="915e5bfbb62e447c9f29ea924fa4de97">
        <Part Type="papunktis" Nr="2.1" Abbr="2.1 pp." DocPartId="6a24ba72c585486093f5f4aa01fb4160" PartId="5241cef5039e456794caf152c1778e03"/>
        <Part Type="papunktis" Nr="2.2" Abbr="2.2 pp." DocPartId="43a72c0999ca4a54aa2e14cc9fc745c5" PartId="f0711fbb2da447fab26fd22a2a02c4ae"/>
        <Part Type="papunktis" Nr="2.3" Abbr="2.3 pp." DocPartId="73d77c8e808847f3ad452edb6c62a746" PartId="2e413a8f566f4ed4b3886248eed3abac"/>
      </Part>
    </Part>
    <Part Type="skyrius" Nr="2" Title="CIVILINĖS SAUGOS FUNKCIJAI ATLIKTI BIUDŽETO LĖŠŲ POREIKIO SKAIČIAVIMAS" DocPartId="03b2c6be12164e01b13b1c4513feda0e" PartId="8077979554f7494a94d799532b6bd93f"/>
    <Part Type="skyrius" Nr="3" Title="PRIEŠGAISRINĖS SAUGOS FUNKCIJAI ATLIKTI BIUDŽETO LĖŠŲ POREIKIO SKAIČIAVIMAS" DocPartId="e7f86fa6183041b1ae48626a78c17e9c" PartId="67a0da386f2141d3924e3dcb4abf814d">
      <Part Type="punktas" Nr="8" Abbr="8 p." DocPartId="039814b4d3134657b6f528e36a05a301" PartId="34a015d77fdc408fbf8a71b3789cf323"/>
      <Part Type="punktas" Nr="9" Abbr="9 p." DocPartId="b1a7243ccccc4326b6c0f2f86a720821" PartId="c47f3b8cb0de4d19933f31d9fa4507b5"/>
      <Part Type="punktas" Nr="10" Abbr="10 p." DocPartId="f89b1366615345f391730f77eb0791c5" PartId="df449800811d4e2fafda19de9b7b25a9"/>
      <Part Type="punktas" Nr="11" Abbr="11 p." DocPartId="bc8953532d2d4f9782e598f5967c0048" PartId="be477857069f4ae9a664c4ac96c6409a"/>
      <Part Type="punktas" Nr="12" Abbr="12 p." DocPartId="c1f3759a32444262bfffd788697cb30d" PartId="4be8c730482e411b9ff80db3bac57dc5"/>
      <Part Type="punktas" Nr="13" Abbr="13 p." DocPartId="109534388cbc4b3fbc7e2b9b9b1b8785" PartId="e91925d1b19442d98d33f538a7818660"/>
      <Part Type="punktas" Nr="14" Abbr="14 p." DocPartId="5f692f0a6769450287fbc2405293efbe" PartId="335f4f404f4a4217addfc9c435d54717"/>
      <Part Type="punktas" Nr="15" Abbr="15 p." DocPartId="252ecc7f00a6424a9ab08aa3d776003c" PartId="1494edd135d64fe78a8fa1caa538dfdf"/>
      <Part Type="punktas" Nr="16" Abbr="16 p." DocPartId="878f7d11748e4aa09677ffb960f3f850" PartId="5d29a6ad228a4aac8321af43877f4f71"/>
      <Part Type="punktas" Nr="17" Abbr="17 p." DocPartId="5a3f3b9fb9b04babb3027472c5baae7b" PartId="1f88b03404354589bf3ccd35e3b8d318"/>
      <Part Type="punktas" Nr="18" Abbr="18 p." DocPartId="a66f459acc5744e5abf7cb54aacf8ab2" PartId="2dead05d2ef3440abf67b0c2a837e930"/>
      <Part Type="punktas" Nr="19" Abbr="19 p." DocPartId="32341a2416474e80a869d9e49ad8154d" PartId="836b78f8ddb3492f9f2db37a7ea81c1f"/>
      <Part Type="punktas" Nr="20" Abbr="20 p." DocPartId="8c4625f43d1948a2bfbf38e0dd8ce54c" PartId="dba550acac064c6dbc85f29e8b1620e0">
        <Part Type="papunktis" Nr="20.1" Abbr="20.1 pp." DocPartId="e24a77a3c93540b78fc489d517217cf9" PartId="e86552d77b36464cbd2b1ff90df445ec"/>
        <Part Type="papunktis" Nr="20.2" Abbr="20.2 pp." DocPartId="8659e52f83ed41ac99be22bcdbfd9add" PartId="f59511b6268544c7a09a14a706930698"/>
      </Part>
      <Part Type="punktas" Nr="21" Abbr="21 p." DocPartId="9f64a7d6d91246b8903020510ac1b638" PartId="615fe14965f74d448c615c798582d9a6"/>
      <Part Type="punktas" Nr="22" Abbr="22 p." DocPartId="faaf3f076eaf45779758c2b70759c300" PartId="898b0651e46649cf82e49b26dd883dcf"/>
      <Part Type="punktas" Nr="23" Abbr="23 p." DocPartId="c45f950fb43c475cbf515f35e3065d6a" PartId="70b442798f054988b7b45be98ce9c2d1">
        <Part Type="papunktis" Nr="23.1" Abbr="23.1 pp." DocPartId="55192952befd4c87b7a7a53cc8c77381" PartId="fb0f356b7db34a088b7b98bbcc4d96dc"/>
        <Part Type="papunktis" Nr="23.2" Abbr="23.2 pp." DocPartId="470a97341fc6417dba8f455f90ff6e11" PartId="976ff21d52354dec91b4384af7e40906"/>
      </Part>
      <Part Type="punktas" Nr="24" Abbr="24 p." DocPartId="711210db609d49ceb1b4ac27dd229c47" PartId="65826dee09874b7aba0b0f0266975960">
        <Part Type="papunktis" Nr="24.1" Abbr="24.1 pp." DocPartId="e39e322d72d84003ba9fae96dae24add" PartId="a1b1a2602e044ae5bf6b389ef4f1d4d2">
          <Part Type="papunktis" Nr="24.1.1" Abbr="24.1.1 pp." DocPartId="6723e16cacee4ec38c998511f7c5d763" PartId="6b0d0e3113cb45e295749400aa47c71e"/>
          <Part Type="papunktis" Nr="24.1.2" Abbr="24.1.2 pp." DocPartId="3b5ad7c1d5214b3f95e7e6dfc36ea447" PartId="141380f56ad34f38a45d28884a364b87"/>
          <Part Type="papunktis" Nr="24.1.3" Abbr="24.1.3 pp." DocPartId="08a794364027406d8c91a19583f85dbf" PartId="d7b057ab8e774bde91e7716dfa9ee060"/>
          <Part Type="papunktis" Nr="24.1.4" Abbr="24.1.4 pp." DocPartId="e1e527f8fa494f96b3450777748bfdee" PartId="4618b93ff1214f2d954f255192c1c3a4"/>
        </Part>
        <Part Type="papunktis" Nr="24.2" Abbr="24.2 pp." DocPartId="c88bcc4b1887492d8ec9099eb6ae84a6" PartId="ce8364c90f2944acbbe9c58184890aad"/>
      </Part>
      <Part Type="punktas" Nr="25" Abbr="25 p." DocPartId="79c354aa6cb644258c847462d9819b87" PartId="a4f4899f69324cc68c53088292f2995c"/>
    </Part>
    <Part Type="skyrius" Nr="4" Title="GYVENAMOSIOS VIETOS DEKLARAVIMO DUOMENŲ IR GYVENAMOSIOS VIETOS NEDEKLARAVUSIŲ ASMENŲ APSKAITOS DUOMENŲ TVARKYMO FUNKCIJAI ATLIKTI VALSTYBĖS BIUDŽETO LĖŠŲ POREIKIO SKAIČIAVIMAS" DocPartId="38273ecfb9c7428b8a1c9c2ec9056ce4" PartId="700dd7c0d39843d4abfbef16e0e7e2ba">
      <Part Type="punktas" Nr="26" Abbr="26 p." DocPartId="c2ce90951e8741438dd8bbf4d3b2bf06" PartId="0de0dfc0650442019dbf5582590449c9"/>
      <Part Type="punktas" Nr="27" Abbr="27 p." DocPartId="be60787dece9424caab3a310d45e1724" PartId="8757ab25595a41149309aee8bc75911b"/>
      <Part Type="punktas" Nr="28" Abbr="28 p." DocPartId="3efc1407667a4e0995189acfd4c74374" PartId="a3abc84a989440bb9658d286c2bc181f"/>
      <Part Type="punktas" Nr="29" Abbr="29 p." DocPartId="ccbe94df19c54f3285f85b87841908ff" PartId="dfed459039e042e8a1ecaf6a51ea14df"/>
      <Part Type="punktas" Nr="30" Abbr="30 p." DocPartId="41cc4af75c0343cfae7ad470bd264fa3" PartId="cbc9983ffcff425987e3ce5828b36501"/>
      <Part Type="punktas" Nr="31" Abbr="31 p." DocPartId="d32ca2ddf81540518173ddbbd876f2e1" PartId="8538fa92c0304d7d88711b25fc00e461"/>
      <Part Type="punktas" Nr="32" Abbr="32 p." DocPartId="cb5c0d0326f24de697458ca58c0bbcfb" PartId="7c57e0fe727940aa9ac06aa24e7cc57d"/>
      <Part Type="punktas" Nr="33" Abbr="33 p." DocPartId="744aa5db7e55429ab032f2755201de7e" PartId="d2ff327117b941a99c6d6c0225db6ea9"/>
    </Part>
    <Part Type="pabaiga" DocPartId="33575452e7bc422d80055402c9b7e239" PartId="7ae3492489874deca00044909c8d4d4d"/>
  </Part>
</Parts>
</file>

<file path=customXml/itemProps1.xml><?xml version="1.0" encoding="utf-8"?>
<ds:datastoreItem xmlns:ds="http://schemas.openxmlformats.org/officeDocument/2006/customXml" ds:itemID="{36516F0D-6001-40F5-A3D3-D4E02A911B70}">
  <ds:schemaRefs>
    <ds:schemaRef ds:uri="http://lrs.lt/TAIS/DocParts"/>
  </ds:schemaRefs>
</ds:datastoreItem>
</file>

<file path=docProps/app.xml><?xml version="1.0" encoding="utf-8"?>
<Properties xmlns="http://schemas.openxmlformats.org/officeDocument/2006/extended-properties">
  <Template>Normal.dotm</Template>
  <TotalTime>18</TotalTime>
  <Pages>10</Pages>
  <Words>12271</Words>
  <Characters>6996</Characters>
  <Application>Microsoft Office Word</Application>
  <DocSecurity>0</DocSecurity>
  <Lines>58</Lines>
  <Paragraphs>38</Paragraphs>
  <ScaleCrop>false</ScaleCrop>
  <Company>Teisines informacijos centras</Company>
  <LinksUpToDate>false</LinksUpToDate>
  <CharactersWithSpaces>19229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2015-08-20T11:51:00Z</dcterms:created>
  <dc:creator>Sandra</dc:creator>
  <lastModifiedBy>JUOSPONIENĖ Karolina</lastModifiedBy>
  <dcterms:modified xsi:type="dcterms:W3CDTF">2025-07-16T13:38:00Z</dcterms:modified>
  <revision>22</revision>
  <dc:title>LIETUVOS RESPUBLIKOS VIDAUS REIKALŲ MINISTRO</dc:title>
</coreProperties>
</file>