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er10.xml" ContentType="application/vnd.openxmlformats-officedocument.wordprocessingml.footer+xml"/>
  <Override PartName="/word/footer11.xml" ContentType="application/vnd.openxmlformats-officedocument.wordprocessingml.footer+xml"/>
  <Override PartName="/word/footer12.xml" ContentType="application/vnd.openxmlformats-officedocument.wordprocessingml.footer+xml"/>
  <Override PartName="/word/footer4.xml" ContentType="application/vnd.openxmlformats-officedocument.wordprocessingml.footer+xml"/>
  <Override PartName="/word/footer5.xml" ContentType="application/vnd.openxmlformats-officedocument.wordprocessingml.foot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oter8.xml" ContentType="application/vnd.openxmlformats-officedocument.wordprocessingml.footer+xml"/>
  <Override PartName="/word/footer9.xml" ContentType="application/vnd.openxmlformats-officedocument.wordprocessingml.footer+xml"/>
  <Override PartName="/word/footnotes.xml" ContentType="application/vnd.openxmlformats-officedocument.wordprocessingml.footnotes+xml"/>
  <Override PartName="/word/header10.xml" ContentType="application/vnd.openxmlformats-officedocument.wordprocessingml.header+xml"/>
  <Override PartName="/word/header11.xml" ContentType="application/vnd.openxmlformats-officedocument.wordprocessingml.header+xml"/>
  <Override PartName="/word/header12.xml" ContentType="application/vnd.openxmlformats-officedocument.wordprocessingml.header+xml"/>
  <Override PartName="/word/header4.xml" ContentType="application/vnd.openxmlformats-officedocument.wordprocessingml.header+xml"/>
  <Override PartName="/word/header5.xml" ContentType="application/vnd.openxmlformats-officedocument.wordprocessingml.header+xml"/>
  <Override PartName="/word/header6.xml" ContentType="application/vnd.openxmlformats-officedocument.wordprocessingml.header+xml"/>
  <Override PartName="/word/header7.xml" ContentType="application/vnd.openxmlformats-officedocument.wordprocessingml.header+xml"/>
  <Override PartName="/word/header8.xml" ContentType="application/vnd.openxmlformats-officedocument.wordprocessingml.header+xml"/>
  <Override PartName="/word/header9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extended-properties" Target="docProps/app.xml"/>
  <Relationship Id="rId3" Type="http://schemas.openxmlformats.org/officeDocument/2006/relationships/officeDocument" Target="word/document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taisx="http://lrs.lt/TAIS/DocPartXmlMark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body>
    <w:sdt>
      <w:sdtPr>
        <w:alias w:val="pagrindine"/>
        <w:tag w:val="part_2aa7669c95ab463fb07d620c20fbea7d"/>
        <w:lock w:val="sdtLocked"/>
        <w:richText/>
      </w:sdtPr>
      <w:sdtContent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b/>
              <w:i/>
            </w:rPr>
            <w:t>Suvestinė redakcija nuo 2024-05-25 iki 2024-12-31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  <w:sz w:val="20"/>
            </w:rPr>
          </w:pPr>
          <w:bookmarkStart w:id="0" w:name="_GoBack"/>
          <w:bookmarkEnd w:id="0"/>
          <w:r>
            <w:rPr>
              <w:rFonts w:ascii="Arial" w:hAnsi="Arial"/>
              <w:sz w:val="20"/>
              <w:i/>
            </w:rPr>
            <w:t xml:space="preserve">Nutarimas paskelbtas: Žin. 2006, Nr. </w:t>
          </w:r>
          <w:fldSimple w:instr="HYPERLINK https://www.e-tar.lt/portal/legalAct.html?documentId=TAR.E7733EEB4DF6">
            <w:r w:rsidRPr="00532B9F">
              <w:rPr>
                <w:rFonts w:ascii="Arial" w:eastAsia="MS Mincho" w:hAnsi="Arial"/>
                <w:sz w:val="20"/>
                <w:i/>
                <w:iCs/>
                <w:color w:val="0000FF" w:themeColor="hyperlink"/>
                <w:u w:val="single"/>
              </w:rPr>
              <w:t>31-1092</w:t>
            </w:r>
          </w:fldSimple>
          <w:r>
            <w:rPr>
              <w:rFonts w:ascii="Arial" w:eastAsia="MS Mincho" w:hAnsi="Arial"/>
              <w:sz w:val="20"/>
              <w:i/>
              <w:iCs/>
            </w:rPr>
            <w:t>, i. k. 1061100NUTA00000259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rPr>
              <w:rFonts w:ascii="Arial" w:hAnsi="Arial"/>
              <w:sz w:val="20"/>
              <w:b/>
              <w:i/>
            </w:rPr>
          </w:pPr>
          <w:r>
            <w:rPr>
              <w:rFonts w:ascii="Arial" w:hAnsi="Arial"/>
              <w:sz w:val="20"/>
              <w:b/>
              <w:i/>
            </w:rPr>
            <w:t>Nauja redakcija nuo 2024-05-25:</w:t>
          </w:r>
        </w:p>
        <w:p>
          <w:pPr>
            <w:rPr>
              <w:rFonts w:ascii="Arial" w:hAnsi="Arial"/>
              <w:sz w:val="20"/>
              <w:i/>
            </w:rPr>
          </w:pPr>
          <w:r>
            <w:rPr>
              <w:rFonts w:ascii="Arial" w:hAnsi="Arial"/>
              <w:sz w:val="20"/>
              <w:i/>
            </w:rPr>
            <w:t xml:space="preserve">Nr. </w:t>
          </w:r>
          <w:fldSimple w:instr="HYPERLINK https://www.e-tar.lt/portal/legalAct.html?documentId=3ffbdf60198911ef8b14c5bcce136045">
            <w:r w:rsidRPr="00532B9F">
              <w:rPr>
                <w:rFonts w:ascii="Arial" w:eastAsia="MS Mincho" w:hAnsi="Arial"/>
                <w:sz w:val="20"/>
                <w:i/>
                <w:iCs/>
                <w:color w:val="0000FF" w:themeColor="hyperlink"/>
                <w:u w:val="single"/>
              </w:rPr>
              <w:t>375</w:t>
            </w:r>
          </w:fldSimple>
          <w:r>
            <w:rPr>
              <w:rFonts w:ascii="Arial" w:eastAsia="MS Mincho" w:hAnsi="Arial"/>
              <w:sz w:val="20"/>
              <w:i/>
              <w:iCs/>
            </w:rPr>
            <w:t>,
2024-05-22,
paskelbta TAR 2024-05-24, i. k. 2024-09325                </w:t>
          </w:r>
        </w:p>
        <w:p>
          <w:pPr>
            <w:rPr>
              <w:rFonts w:ascii="Arial" w:hAnsi="Arial"/>
              <w:sz w:val="22"/>
            </w:rPr>
          </w:pPr>
        </w:p>
        <w:p>
          <w:pPr>
            <w:jc w:val="center"/>
            <w:rPr>
              <w:b/>
              <w:color w:val="000000"/>
              <w:szCs w:val="24"/>
              <w:lang w:eastAsia="lt-LT"/>
            </w:rPr>
          </w:pPr>
          <w:r>
            <w:rPr>
              <w:b/>
              <w:color w:val="000000"/>
              <w:szCs w:val="24"/>
              <w:lang w:eastAsia="lt-LT"/>
            </w:rPr>
            <w:t>LIETUVOS RESPUBLIKOS VYRIAUSYBĖ</w:t>
          </w:r>
        </w:p>
        <w:p>
          <w:pPr>
            <w:jc w:val="center"/>
            <w:rPr>
              <w:b/>
              <w:color w:val="000000"/>
              <w:szCs w:val="24"/>
              <w:lang w:eastAsia="lt-LT"/>
            </w:rPr>
          </w:pPr>
        </w:p>
        <w:p>
          <w:pPr>
            <w:jc w:val="center"/>
            <w:rPr>
              <w:b/>
              <w:color w:val="000000"/>
              <w:szCs w:val="24"/>
              <w:lang w:eastAsia="lt-LT"/>
            </w:rPr>
          </w:pPr>
          <w:r>
            <w:rPr>
              <w:b/>
              <w:color w:val="000000"/>
              <w:szCs w:val="24"/>
              <w:lang w:eastAsia="lt-LT"/>
            </w:rPr>
            <w:t>NUTARIMAS</w:t>
          </w:r>
        </w:p>
        <w:p>
          <w:pPr>
            <w:jc w:val="center"/>
            <w:rPr>
              <w:b/>
              <w:color w:val="000000"/>
              <w:szCs w:val="24"/>
              <w:lang w:eastAsia="lt-LT"/>
            </w:rPr>
          </w:pPr>
          <w:r>
            <w:rPr>
              <w:b/>
              <w:color w:val="000000"/>
              <w:szCs w:val="24"/>
              <w:lang w:eastAsia="lt-LT"/>
            </w:rPr>
            <w:t>DĖL ĮGALIOJIMŲ SUTEIKIMO ĮGYVENDINANT LIETUVOS RESPUBLIKOS SOCIALINIŲ PASLAUGŲ ĮSTATYMĄ</w:t>
          </w:r>
        </w:p>
        <w:p>
          <w:pPr>
            <w:jc w:val="center"/>
            <w:rPr>
              <w:color w:val="000000"/>
              <w:szCs w:val="24"/>
              <w:lang w:eastAsia="lt-LT"/>
            </w:rPr>
          </w:pPr>
        </w:p>
        <w:p>
          <w:pPr>
            <w:jc w:val="center"/>
            <w:rPr>
              <w:color w:val="000000"/>
            </w:rPr>
          </w:pPr>
          <w:r>
            <w:rPr>
              <w:color w:val="000000"/>
            </w:rPr>
            <w:t>2006 m. kovo 16 d. Nr. 259</w:t>
          </w:r>
        </w:p>
        <w:p>
          <w:pPr>
            <w:jc w:val="center"/>
            <w:rPr>
              <w:color w:val="000000"/>
            </w:rPr>
          </w:pPr>
          <w:r>
            <w:rPr>
              <w:color w:val="000000"/>
            </w:rPr>
            <w:t>Vilnius</w:t>
          </w:r>
        </w:p>
        <w:p>
          <w:pPr>
            <w:jc w:val="center"/>
            <w:rPr>
              <w:color w:val="000000"/>
            </w:rPr>
          </w:pPr>
        </w:p>
        <w:p>
          <w:pPr>
            <w:spacing w:line="360" w:lineRule="atLeast"/>
            <w:jc w:val="center"/>
            <w:rPr>
              <w:color w:val="000000"/>
              <w:szCs w:val="24"/>
              <w:lang w:eastAsia="lt-LT"/>
            </w:rPr>
          </w:pPr>
        </w:p>
        <w:sdt>
          <w:sdtPr>
            <w:alias w:val="preambule"/>
            <w:tag w:val="part_576a84df9a48444aafb148ae66a67395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r>
                <w:rPr>
                  <w:color w:val="000000"/>
                  <w:szCs w:val="24"/>
                  <w:lang w:eastAsia="lt-LT"/>
                </w:rPr>
                <w:t xml:space="preserve">Vadovaudamasi Lietuvos Respublikos socialinių paslaugų įstatymo </w:t>
              </w:r>
              <w:r>
                <w:rPr>
                  <w:color w:val="000000"/>
                </w:rPr>
                <w:t>(2023 m. gruodžio 14 d. įstatymo Nr. XIV-2357 redakcija)</w:t>
              </w:r>
              <w:r>
                <w:rPr>
                  <w:color w:val="000000"/>
                  <w:szCs w:val="24"/>
                  <w:lang w:eastAsia="lt-LT"/>
                </w:rPr>
                <w:t xml:space="preserve"> 11 straipsnio 2 dalimi, 14 straipsnio 2 dalies 1 punktu ir 3 dalies 1 punktu, 30 straipsnio 3 dalimi, 33 straipsnio 5 dalies 4 punktu, 35 straipsnio 3 dalimi, 41 straipsnio 5 dalimi, 42 straipsnio 10 dalimi, Lietuvos Respublikos </w:t>
              </w:r>
              <w:r>
                <w:rPr>
                  <w:szCs w:val="24"/>
                  <w:lang w:eastAsia="lt-LT"/>
                </w:rPr>
                <w:t>Vyriausybė</w:t>
              </w:r>
              <w:r>
                <w:rPr>
                  <w:spacing w:val="100"/>
                  <w:szCs w:val="24"/>
                  <w:lang w:eastAsia="lt-LT"/>
                </w:rPr>
                <w:t xml:space="preserve"> nutari</w:t>
              </w:r>
              <w:r>
                <w:rPr>
                  <w:szCs w:val="24"/>
                  <w:lang w:eastAsia="lt-LT"/>
                </w:rPr>
                <w:t>a:</w:t>
              </w:r>
            </w:p>
          </w:sdtContent>
        </w:sdt>
        <w:sdt>
          <w:sdtPr>
            <w:alias w:val="1 p."/>
            <w:tag w:val="part_6cbb992ac6fe4de9979324ac8c1e1c72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  <w:rPr>
                  <w:color w:val="000000"/>
                  <w:szCs w:val="24"/>
                  <w:lang w:eastAsia="lt-LT"/>
                </w:rPr>
              </w:pPr>
              <w:sdt>
                <w:sdtPr>
                  <w:alias w:val="Numeris"/>
                  <w:tag w:val="nr_6cbb992ac6fe4de9979324ac8c1e1c72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1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 xml:space="preserve">. Įgalioti </w:t>
              </w:r>
              <w:r>
                <w:rPr>
                  <w:color w:val="000000"/>
                </w:rPr>
                <w:t>Lietuvos Respublikos socialinės apsaugos ir darbo ministeriją patvirtinti</w:t>
              </w:r>
              <w:r>
                <w:rPr>
                  <w:color w:val="000000"/>
                  <w:szCs w:val="24"/>
                  <w:lang w:eastAsia="lt-LT"/>
                </w:rPr>
                <w:t>:</w:t>
              </w:r>
            </w:p>
            <w:sdt>
              <w:sdtPr>
                <w:alias w:val="1.1 pp."/>
                <w:tag w:val="part_225bf8dfbd6d4464847a808d0a76b827"/>
                <w:lock w:val="sdtLocked"/>
                <w:richText/>
              </w:sdtPr>
              <w:sdtContent>
                <w:p>
                  <w:pPr>
                    <w:spacing w:line="360" w:lineRule="atLeast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225bf8dfbd6d4464847a808d0a76b827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1.1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Mokėjimo už socialines paslaugas tvarkos aprašą;</w:t>
                  </w:r>
                </w:p>
              </w:sdtContent>
            </w:sdt>
            <w:sdt>
              <w:sdtPr>
                <w:alias w:val="1.2 pp."/>
                <w:tag w:val="part_40c50a05b1ae4e91ad475e3987579702"/>
                <w:lock w:val="sdtLocked"/>
                <w:richText/>
              </w:sdtPr>
              <w:sdtContent>
                <w:p>
                  <w:pPr>
                    <w:spacing w:line="360" w:lineRule="atLeast"/>
                    <w:ind w:firstLine="720"/>
                    <w:jc w:val="both"/>
                    <w:rPr>
                      <w:color w:val="000000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0c50a05b1ae4e91ad475e3987579702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1.2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 xml:space="preserve">. </w:t>
                  </w:r>
                  <w:r>
                    <w:rPr>
                      <w:color w:val="000000"/>
                      <w:shd w:val="clear" w:color="auto" w:fill="FFFFFF"/>
                    </w:rPr>
                    <w:t>Socialinių paslaugų finansavimo ir lėšų apskaičiavimo metodiką</w:t>
                  </w:r>
                  <w:r>
                    <w:rPr>
                      <w:color w:val="000000"/>
                      <w:szCs w:val="24"/>
                      <w:lang w:eastAsia="lt-LT"/>
                    </w:rPr>
                    <w:t>;</w:t>
                  </w:r>
                </w:p>
              </w:sdtContent>
            </w:sdt>
            <w:sdt>
              <w:sdtPr>
                <w:alias w:val="1.3 pp."/>
                <w:tag w:val="part_47a4b13a615846f390ec532b73678d5d"/>
                <w:lock w:val="sdtLocked"/>
                <w:richText/>
              </w:sdtPr>
              <w:sdtContent>
                <w:p>
                  <w:pPr>
                    <w:spacing w:line="360" w:lineRule="atLeast"/>
                    <w:ind w:firstLine="720"/>
                    <w:jc w:val="both"/>
                    <w:rPr>
                      <w:color w:val="00000A"/>
                      <w:szCs w:val="24"/>
                      <w:lang w:eastAsia="lt-LT"/>
                    </w:rPr>
                  </w:pPr>
                  <w:sdt>
                    <w:sdtPr>
                      <w:alias w:val="Numeris"/>
                      <w:tag w:val="nr_47a4b13a615846f390ec532b73678d5d"/>
                      <w:lock w:val="sdtLocked"/>
                      <w:richText/>
                    </w:sdtPr>
                    <w:sdtContent>
                      <w:r>
                        <w:rPr>
                          <w:color w:val="000000"/>
                          <w:szCs w:val="24"/>
                          <w:lang w:eastAsia="lt-LT"/>
                        </w:rPr>
                        <w:t>1.3</w:t>
                      </w:r>
                    </w:sdtContent>
                  </w:sdt>
                  <w:r>
                    <w:rPr>
                      <w:color w:val="000000"/>
                      <w:szCs w:val="24"/>
                      <w:lang w:eastAsia="lt-LT"/>
                    </w:rPr>
                    <w:t>. Socialinių paslaugų planavimo metodiką</w:t>
                  </w:r>
                  <w:r>
                    <w:rPr>
                      <w:color w:val="00000A"/>
                      <w:szCs w:val="24"/>
                      <w:lang w:eastAsia="lt-LT"/>
                    </w:rPr>
                    <w:t>.</w:t>
                  </w:r>
                </w:p>
              </w:sdtContent>
            </w:sdt>
          </w:sdtContent>
        </w:sdt>
        <w:sdt>
          <w:sdtPr>
            <w:alias w:val="2 p."/>
            <w:tag w:val="part_3b02d355e6f04e728a8dcbd2addd19e7"/>
            <w:lock w:val="sdtLocked"/>
            <w:richText/>
          </w:sdtPr>
          <w:sdtContent>
            <w:p>
              <w:pPr>
                <w:spacing w:line="360" w:lineRule="atLeast"/>
                <w:ind w:firstLine="720"/>
                <w:jc w:val="both"/>
              </w:pPr>
              <w:sdt>
                <w:sdtPr>
                  <w:alias w:val="Numeris"/>
                  <w:tag w:val="nr_3b02d355e6f04e728a8dcbd2addd19e7"/>
                  <w:lock w:val="sdtLocked"/>
                  <w:richText/>
                </w:sdtPr>
                <w:sdtContent>
                  <w:r>
                    <w:rPr>
                      <w:color w:val="000000"/>
                      <w:szCs w:val="24"/>
                      <w:lang w:eastAsia="lt-LT"/>
                    </w:rPr>
                    <w:t>2</w:t>
                  </w:r>
                </w:sdtContent>
              </w:sdt>
              <w:r>
                <w:rPr>
                  <w:color w:val="000000"/>
                  <w:szCs w:val="24"/>
                  <w:lang w:eastAsia="lt-LT"/>
                </w:rPr>
                <w:t xml:space="preserve">. Įgalioti Socialinių paslaugų priežiūros departamentą prie Socialinės apsaugos ir darbo ministerijos atlikti socialinių paslaugų įstaigų pateiktų derinti </w:t>
              </w:r>
              <w:r>
                <w:rPr>
                  <w:color w:val="000000"/>
                </w:rPr>
                <w:t>psichologinės ir socialinės reabilitacijos programų vertinimą, teikti išvadas dėl šių programų.</w:t>
              </w:r>
            </w:p>
          </w:sdtContent>
        </w:sdt>
        <w:sdt>
          <w:sdtPr>
            <w:alias w:val="signatura"/>
            <w:tag w:val="part_3c8e776c694e465a9863fa2bc41a8359"/>
            <w:lock w:val="sdtLocked"/>
            <w:richText/>
          </w:sdtPr>
          <w:sdtContent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  <w:r>
                <w:t>MINISTRAS PIRMININKAS</w:t>
                <w:tab/>
                <w:t>ALGIRDAS BRAZAUSKAS</w:t>
              </w:r>
            </w:p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</w:p>
            <w:p>
              <w:pPr>
                <w:tabs>
                  <w:tab w:val="right" w:pos="9639"/>
                </w:tabs>
              </w:pPr>
              <w:r>
                <w:t>SOCIALINĖS APSAUGOS IR DARBO MINISTRĖ</w:t>
                <w:tab/>
                <w:t>VILIJA BLINKEVIČIŪTĖ</w:t>
              </w:r>
            </w:p>
          </w:sdtContent>
        </w:sdt>
        <w:p/>
        <w:p>
          <w:pPr>
            <w:jc w:val="both"/>
            <w:rPr>
              <w:rFonts w:ascii="Arial" w:hAnsi="Arial"/>
              <w:sz w:val="20"/>
              <w:b/>
            </w:rPr>
          </w:pPr>
        </w:p>
        <w:p>
          <w:pPr>
            <w:jc w:val="both"/>
            <w:rPr>
              <w:rFonts w:ascii="Arial" w:hAnsi="Arial"/>
              <w:sz w:val="20"/>
              <w:b/>
            </w:rPr>
          </w:pPr>
        </w:p>
        <w:p>
          <w:pPr>
            <w:jc w:val="both"/>
            <w:rPr>
              <w:rFonts w:ascii="Arial" w:hAnsi="Arial"/>
              <w:b/>
            </w:rPr>
          </w:pPr>
          <w:r>
            <w:rPr>
              <w:rFonts w:ascii="Arial" w:hAnsi="Arial"/>
              <w:sz w:val="20"/>
              <w:b/>
            </w:rPr>
            <w:t>Pakeitimai: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1.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Lietuvos Respublikos Vyriausybė, Nutarimas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TAR.3D79DE919126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187</w:t>
            </w:r>
          </w:fldSimple>
          <w:r>
            <w:rPr>
              <w:rFonts w:ascii="Arial" w:eastAsia="MS Mincho" w:hAnsi="Arial"/>
              <w:sz w:val="20"/>
              <w:iCs/>
            </w:rPr>
            <w:t>,
2007-02-13,
Žin., 2007, Nr.
22-837 (2007-02-20), i. k. 1071100NUTA00000187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Lietuvos Respublikos Vyriausybės 2006 m. kovo 16 d. nutarimo Nr. 259 "Dėl įgaliojimų suteikimo įgyvendinant Lietuvos Respublikos socialinių paslaugų įstatymą" papildymo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2.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Lietuvos Respublikos Vyriausybė, Nutarimas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TAR.A87E5CD27348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1005</w:t>
            </w:r>
          </w:fldSimple>
          <w:r>
            <w:rPr>
              <w:rFonts w:ascii="Arial" w:eastAsia="MS Mincho" w:hAnsi="Arial"/>
              <w:sz w:val="20"/>
              <w:iCs/>
            </w:rPr>
            <w:t>,
2010-07-07,
Žin., 2010, Nr.
84-4424 (2010-07-15), i. k. 1101100NUTA00001005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Lietuvos Respublikos Vyriausybės 2006 m. kovo 16 d. nutarimo Nr. 259 "Dėl įgaliojimų suteikimo įgyvendinant Lietuvos Respublikos socialinių paslaugų įstatymą"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3.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Lietuvos Respublikos Vyriausybė, Nutarimas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TAR.A068B0DB0CD5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1517</w:t>
            </w:r>
          </w:fldSimple>
          <w:r>
            <w:rPr>
              <w:rFonts w:ascii="Arial" w:eastAsia="MS Mincho" w:hAnsi="Arial"/>
              <w:sz w:val="20"/>
              <w:iCs/>
            </w:rPr>
            <w:t>,
2010-10-20,
Žin., 2010, Nr.
128-6529 (2010-10-30), i. k. 1101100NUTA00001517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įstaigų prie ministerijų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4.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Lietuvos Respublikos Vyriausybė, Nutarimas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72f22f10900811e4bb408baba2bdddf3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1477</w:t>
            </w:r>
          </w:fldSimple>
          <w:r>
            <w:rPr>
              <w:rFonts w:ascii="Arial" w:eastAsia="MS Mincho" w:hAnsi="Arial"/>
              <w:sz w:val="20"/>
              <w:iCs/>
            </w:rPr>
            <w:t>,
2014-12-23,
paskelbta TAR 2014-12-30, i. k. 2014-20985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Lietuvos Respublikos Vyriausybės 2006 m. kovo 16 d. nutarimo Nr. 259 „Dėl įgaliojimų suteikimo įgyvendinant Lietuvos Respublikos socialinių paslaugų įstatymą“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5.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Lietuvos Respublikos Vyriausybė, Nutarimas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b3aa5bd0841711e7a3c4a5eb10f04386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674</w:t>
            </w:r>
          </w:fldSimple>
          <w:r>
            <w:rPr>
              <w:rFonts w:ascii="Arial" w:eastAsia="MS Mincho" w:hAnsi="Arial"/>
              <w:sz w:val="20"/>
              <w:iCs/>
            </w:rPr>
            <w:t>,
2017-08-16,
paskelbta TAR 2017-08-21, i. k. 2017-13474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Lietuvos Respublikos Vyriausybės 2006 m. kovo 16 d. nutarimo Nr. 259 „Dėl įgaliojimų suteikimo įgyvendinant Lietuvos Respublikos socialinių paslaugų įstatymą“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6.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Lietuvos Respublikos Vyriausybė, Nutarimas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165bbcc0f7a811ec8fa7d02a65c371ad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675</w:t>
            </w:r>
          </w:fldSimple>
          <w:r>
            <w:rPr>
              <w:rFonts w:ascii="Arial" w:eastAsia="MS Mincho" w:hAnsi="Arial"/>
              <w:sz w:val="20"/>
              <w:iCs/>
            </w:rPr>
            <w:t>,
2022-06-29,
paskelbta TAR 2022-06-29, i. k. 2022-14009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Lietuvos Respublikos Vyriausybės 2006 m. kovo 16 d. nutarimo Nr. 259 „Dėl įgaliojimų suteikimo įgyvendinant Lietuvos Respublikos socialinių paslaugų įstatymą“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7.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
                    Lietuvos Respublikos Vyriausybė, Nutarimas
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 xml:space="preserve">Nr. </w:t>
          </w:r>
          <w:fldSimple w:instr="HYPERLINK https://www.e-tar.lt/portal/legalAct.html?documentId=3ffbdf60198911ef8b14c5bcce136045">
            <w:r w:rsidRPr="00532B9F">
              <w:rPr>
                <w:rFonts w:ascii="Arial" w:eastAsia="MS Mincho" w:hAnsi="Arial"/>
                <w:sz w:val="20"/>
                <w:iCs/>
                <w:color w:val="0000FF" w:themeColor="hyperlink"/>
                <w:u w:val="single"/>
              </w:rPr>
              <w:t>375</w:t>
            </w:r>
          </w:fldSimple>
          <w:r>
            <w:rPr>
              <w:rFonts w:ascii="Arial" w:eastAsia="MS Mincho" w:hAnsi="Arial"/>
              <w:sz w:val="20"/>
              <w:iCs/>
            </w:rPr>
            <w:t>,
2024-05-22,
paskelbta TAR 2024-05-24, i. k. 2024-09325                </w:t>
          </w:r>
        </w:p>
        <w:p>
          <w:pPr>
            <w:jc w:val="both"/>
            <w:rPr>
              <w:rFonts w:ascii="Arial" w:hAnsi="Arial"/>
            </w:rPr>
          </w:pPr>
          <w:r>
            <w:rPr>
              <w:rFonts w:ascii="Arial" w:hAnsi="Arial"/>
              <w:sz w:val="20"/>
            </w:rPr>
            <w:t>Dėl Lietuvos Respublikos Vyriausybės 2006 m. kovo 16 d. nutarimo Nr. 259 „Dėl įgaliojimų suteikimo įgyvendinant Lietuvos Respublikos socialinių paslaugų įstatymą“ pakeitimo</w:t>
          </w:r>
        </w:p>
        <w:p>
          <w:pPr>
            <w:jc w:val="both"/>
            <w:rPr>
              <w:rFonts w:ascii="Arial" w:hAnsi="Arial"/>
              <w:sz w:val="20"/>
            </w:rPr>
          </w:pPr>
        </w:p>
        <w:p>
          <w:pPr>
            <w:widowControl w:val="0"/>
            <w:rPr>
              <w:rFonts w:ascii="Arial" w:hAnsi="Arial"/>
              <w:snapToGrid w:val="0"/>
            </w:rPr>
          </w:pPr>
        </w:p>
      </w:sdtContent>
    </w:sdt>
    <w:sectPr>
      <w:headerReference w:type="even" r:id="rId1"/>
      <w:headerReference w:type="default" r:id="rId2"/>
      <w:footerReference w:type="even" r:id="rId3"/>
      <w:footerReference w:type="default" r:id="rId4"/>
      <w:headerReference w:type="first" r:id="rId5"/>
      <w:footerReference w:type="first" r:id="rId6"/>
      <w:pgSz w:w="11906" w:h="16838"/>
      <w:pgMar w:top="1701" w:right="567" w:bottom="1134" w:left="1701" w:header="567" w:footer="567" w:gutter="0"/>
      <w:cols w:space="1296"/>
      <w:titlePg/>
      <w:docGrid w:linePitch="360"/>
    </w:sectPr>
  </w:body>
</w:document>
</file>

<file path=word/endnotes.xml><?xml version="1.0" encoding="utf-8"?>
<w:end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endnote w:type="separator" w:id="-1">
    <w:p>
      <w:r>
        <w:separator/>
      </w:r>
    </w:p>
  </w:endnote>
  <w:endnote w:type="continuationSeparator" w:id="0">
    <w:p>
      <w:r>
        <w:continuationSeparator/>
      </w:r>
    </w:p>
  </w:endnote>
</w:endnotes>
</file>

<file path=word/fontTable.xml><?xml version="1.0" encoding="utf-8"?>
<w:font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er10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1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1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4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5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6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819"/>
        <w:tab w:val="right" w:pos="9638"/>
      </w:tabs>
    </w:pPr>
  </w:p>
</w:ftr>
</file>

<file path=word/footer7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8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er9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819"/>
        <w:tab w:val="right" w:pos="9638"/>
      </w:tabs>
    </w:pPr>
  </w:p>
</w:ftr>
</file>

<file path=word/footnotes.xml><?xml version="1.0" encoding="utf-8"?>
<w:footnot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footnote w:type="separator" w:id="-1">
    <w:p>
      <w:r>
        <w:separator/>
      </w:r>
    </w:p>
  </w:footnote>
  <w:footnote w:type="continuationSeparator" w:id="0">
    <w:p>
      <w:r>
        <w:continuationSeparator/>
      </w:r>
    </w:p>
  </w:footnote>
</w:footnotes>
</file>

<file path=word/header10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end"/>
    </w:r>
  </w:p>
  <w:p>
    <w:pPr>
      <w:tabs>
        <w:tab w:val="center" w:pos="4153"/>
        <w:tab w:val="right" w:pos="8306"/>
      </w:tabs>
      <w:ind w:right="360"/>
    </w:pPr>
  </w:p>
</w:hdr>
</file>

<file path=word/header1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separate"/>
    </w:r>
    <w:r>
      <w:t>2</w:t>
    </w:r>
    <w:r>
      <w:fldChar w:fldCharType="end"/>
    </w:r>
  </w:p>
  <w:p>
    <w:pPr>
      <w:tabs>
        <w:tab w:val="center" w:pos="4153"/>
        <w:tab w:val="right" w:pos="8306"/>
      </w:tabs>
      <w:ind w:right="360"/>
    </w:pPr>
  </w:p>
</w:hdr>
</file>

<file path=word/header1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val="en-GB"/>
      </w:rPr>
    </w:pPr>
  </w:p>
</w:hdr>
</file>

<file path=word/header4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end"/>
    </w:r>
  </w:p>
  <w:p>
    <w:pPr>
      <w:tabs>
        <w:tab w:val="center" w:pos="4153"/>
        <w:tab w:val="right" w:pos="8306"/>
      </w:tabs>
      <w:ind w:right="360"/>
    </w:pPr>
  </w:p>
</w:hdr>
</file>

<file path=word/header5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separate"/>
    </w:r>
    <w:r>
      <w:t>1</w:t>
    </w:r>
    <w:r>
      <w:fldChar w:fldCharType="end"/>
    </w:r>
  </w:p>
  <w:p>
    <w:pPr>
      <w:tabs>
        <w:tab w:val="center" w:pos="4153"/>
        <w:tab w:val="right" w:pos="8306"/>
      </w:tabs>
      <w:ind w:right="360"/>
    </w:pPr>
  </w:p>
</w:hdr>
</file>

<file path=word/header6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p14 w15 w16se">
  <w:p>
    <w:pPr>
      <w:tabs>
        <w:tab w:val="center" w:pos="4153"/>
        <w:tab w:val="right" w:pos="8306"/>
      </w:tabs>
      <w:rPr>
        <w:lang w:val="en-GB"/>
      </w:rPr>
    </w:pPr>
  </w:p>
</w:hdr>
</file>

<file path=word/header7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end"/>
    </w:r>
  </w:p>
  <w:p>
    <w:pPr>
      <w:tabs>
        <w:tab w:val="center" w:pos="4153"/>
        <w:tab w:val="right" w:pos="8306"/>
      </w:tabs>
      <w:ind w:right="360"/>
    </w:pPr>
  </w:p>
</w:hdr>
</file>

<file path=word/header8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framePr w:wrap="auto" w:vAnchor="text" w:hAnchor="margin" w:xAlign="center" w:y="1"/>
      <w:tabs>
        <w:tab w:val="center" w:pos="4153"/>
        <w:tab w:val="right" w:pos="8306"/>
      </w:tabs>
    </w:pPr>
    <w:r>
      <w:fldChar w:fldCharType="begin"/>
    </w:r>
    <w:r>
      <w:instrText xml:space="preserve">PAGE  </w:instrText>
    </w:r>
    <w:r>
      <w:fldChar w:fldCharType="separate"/>
    </w:r>
    <w:r>
      <w:t>1</w:t>
    </w:r>
    <w:r>
      <w:fldChar w:fldCharType="end"/>
    </w:r>
  </w:p>
  <w:p>
    <w:pPr>
      <w:tabs>
        <w:tab w:val="center" w:pos="4153"/>
        <w:tab w:val="right" w:pos="8306"/>
      </w:tabs>
      <w:ind w:right="360"/>
    </w:pPr>
  </w:p>
</w:hdr>
</file>

<file path=word/header9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 wp14">
  <w:p>
    <w:pPr>
      <w:tabs>
        <w:tab w:val="center" w:pos="4153"/>
        <w:tab w:val="right" w:pos="8306"/>
      </w:tabs>
      <w:rPr>
        <w:lang w:val="en-GB"/>
      </w:rPr>
    </w:pPr>
  </w:p>
</w:hdr>
</file>

<file path=word/settings.xml><?xml version="1.0" encoding="utf-8"?>
<w: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zoom w:val="bestFit" w:percent="61"/>
  <w:proofState w:spelling="clean" w:grammar="clean"/>
  <w:defaultTabStop w:val="1296"/>
  <w:hyphenationZone w:val="396"/>
  <w:doNotHyphenateCaps/>
  <w:drawingGridHorizontalSpacing w:val="57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547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attachedSchema w:val="urn:tic.lt:LLAdmDocST"/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5BC356A"/>
  <w15:docId w15:val="{7D33CDC4-EF95-43BB-A526-3071C7DE25CA}"/>
</w:settings>
</file>

<file path=word/styles.xml><?xml version="1.0" encoding="utf-8"?>
<w:style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Light Shading"/>
    <w:lsdException w:name="Light List"/>
    <w:lsdException w:name="Light Grid"/>
    <w:lsdException w:name="Medium Shading 1"/>
    <w:lsdException w:name="Medium Shading 2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prastasis">
    <w:name w:val="Normal"/>
    <w:qFormat/>
  </w:style>
  <w:style w:type="character" w:default="1" w:styleId="Numatytasispastraiposriftas">
    <w:name w:val="Default Paragraph Font"/>
    <w:uiPriority w:val="1"/>
    <w:semiHidden/>
    <w:unhideWhenUsed/>
  </w:style>
  <w:style w:type="table" w:default="1" w:styleId="prastojilent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raonra">
    <w:name w:val="No List"/>
    <w:uiPriority w:val="99"/>
    <w:semiHidden/>
    <w:unhideWhenUsed/>
  </w:style>
  <w:style w:type="character" w:styleId="Hipersaitas">
    <w:name w:val="Hyperlink"/>
    <w:basedOn w:val="Numatytasispastraiposriftas"/>
    <w:uiPriority w:val="99"/>
    <w:unhideWhenUsed/>
    <w:rPr>
      <w:color w:val="0000FF"/>
      <w:u w:val="single"/>
    </w:rPr>
  </w:style>
</w:styles>
</file>

<file path=word/webSettings.xml><?xml version="1.0" encoding="utf-8"?>
<w:webSettings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xmlns:xsi="http://www.w3.org/2001/XMLSchema-instance" mc:Ignorable="w14 w15 w16se">
  <w:divs>
    <w:div w:id="723626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800323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74613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175181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header" Target="header10.xml"/>
  <Relationship Id="rId10" Type="http://schemas.openxmlformats.org/officeDocument/2006/relationships/settings" Target="settings.xml"/>
  <Relationship Id="rId11" Type="http://schemas.openxmlformats.org/officeDocument/2006/relationships/styles" Target="styles.xml"/>
  <Relationship Id="rId12" Type="http://schemas.openxmlformats.org/officeDocument/2006/relationships/theme" Target="theme/theme1.xml"/>
  <Relationship Id="rId13" Type="http://schemas.openxmlformats.org/officeDocument/2006/relationships/webSettings" Target="webSettings.xml"/>
  <Relationship Id="rId14" Type="http://schemas.openxmlformats.org/officeDocument/2006/relationships/customXml" Target="../customXml/item1.xml"/>
  <Relationship Id="rId2" Type="http://schemas.openxmlformats.org/officeDocument/2006/relationships/header" Target="header11.xml"/>
  <Relationship Id="rId3" Type="http://schemas.openxmlformats.org/officeDocument/2006/relationships/footer" Target="footer10.xml"/>
  <Relationship Id="rId4" Type="http://schemas.openxmlformats.org/officeDocument/2006/relationships/footer" Target="footer11.xml"/>
  <Relationship Id="rId5" Type="http://schemas.openxmlformats.org/officeDocument/2006/relationships/header" Target="header12.xml"/>
  <Relationship Id="rId6" Type="http://schemas.openxmlformats.org/officeDocument/2006/relationships/footer" Target="footer12.xml"/>
  <Relationship Id="rId7" Type="http://schemas.openxmlformats.org/officeDocument/2006/relationships/endnotes" Target="endnotes.xml"/>
  <Relationship Id="rId8" Type="http://schemas.openxmlformats.org/officeDocument/2006/relationships/fontTable" Target="fontTable.xml"/>
  <Relationship Id="rId9" Type="http://schemas.openxmlformats.org/officeDocument/2006/relationships/footnotes" Target="footnotes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fbea82bffb9b466186ca08797282f498" PartId="2aa7669c95ab463fb07d620c20fbea7d">
    <Part Type="preambule" DocPartId="240fb569e3294d61ad3f21031e59995b" PartId="576a84df9a48444aafb148ae66a67395"/>
    <Part Type="punktas" Nr="1" Abbr="1 p." DocPartId="3946e1748f344f1c84067e7e4d4fc083" PartId="6cbb992ac6fe4de9979324ac8c1e1c72">
      <Part Type="papunktis" Nr="1.1" Abbr="1.1 pp." DocPartId="06296a287251457ea4a0540818ef383d" PartId="225bf8dfbd6d4464847a808d0a76b827"/>
      <Part Type="papunktis" Nr="1.2" Abbr="1.2 pp." DocPartId="2394c0deaa4442169079237a38145b6d" PartId="40c50a05b1ae4e91ad475e3987579702"/>
      <Part Type="papunktis" Nr="1.3" Abbr="1.3 pp." DocPartId="aaf62b09fba548d48d9fd51e6ae75b6a" PartId="47a4b13a615846f390ec532b73678d5d"/>
    </Part>
    <Part Type="punktas" Nr="2" Abbr="2 p." DocPartId="c78ffb40c6b04c0badb0cdd29c180a3e" PartId="3b02d355e6f04e728a8dcbd2addd19e7"/>
    <Part Type="signatura" DocPartId="b2758564f8ea4e9a92ca40c695c8b638" PartId="3c8e776c694e465a9863fa2bc41a8359"/>
  </Part>
</Parts>
</file>

<file path=customXml/itemProps1.xml><?xml version="1.0" encoding="utf-8"?>
<ds:datastoreItem xmlns:ds="http://schemas.openxmlformats.org/officeDocument/2006/customXml" ds:itemID="{FF75BF1D-AA2F-482A-88DE-19A3A08C7102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>
  <Template>Normal.dotm</Template>
  <TotalTime>6</TotalTime>
  <Pages>2</Pages>
  <Words>1429</Words>
  <Characters>815</Characters>
  <Application>Microsoft Office Word</Application>
  <DocSecurity>0</DocSecurity>
  <Lines>6</Lines>
  <Paragraphs>4</Paragraphs>
  <ScaleCrop>false</ScaleCrop>
  <Company/>
  <LinksUpToDate>false</LinksUpToDate>
  <CharactersWithSpaces>2240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2015-01-05T08:29:00Z</dcterms:created>
  <dc:creator>marina.buivid@gmail.com</dc:creator>
  <lastModifiedBy>TRAPINSKIENĖ Aušrinė</lastModifiedBy>
  <dcterms:modified xsi:type="dcterms:W3CDTF">2024-05-27T05:50:00Z</dcterms:modified>
  <revision>12</revision>
</coreProperties>
</file>