
<file path=[Content_Types].xml><?xml version="1.0" encoding="utf-8"?>
<Types xmlns="http://schemas.openxmlformats.org/package/2006/content-types">
  <Default Extension="bin" ContentType="application/vnd.openxmlformats-officedocument.oleObject"/>
  <Default Extension="gif" ContentType="image/gif"/>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c28b8b930b04eb6833bf6523d21e558"/>
        <w:lock w:val="sdtLocked"/>
        <w:richText/>
      </w:sdtPr>
      <w:sdtContent>
        <w:p>
          <w:pPr>
            <w:jc w:val="both"/>
            <w:rPr>
              <w:rFonts w:ascii="Times New Roman" w:hAnsi="Times New Roman"/>
            </w:rPr>
          </w:pPr>
          <w:r>
            <w:rPr>
              <w:rFonts w:ascii="Times New Roman" w:hAnsi="Times New Roman"/>
              <w:b/>
              <w:i/>
            </w:rPr>
            <w:t>Suvestinė redakcija nuo 2026-07-02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ECA3E41BD530">
            <w:r w:rsidRPr="00532B9F">
              <w:rPr>
                <w:rFonts w:ascii="Times New Roman" w:eastAsia="MS Mincho" w:hAnsi="Times New Roman"/>
                <w:sz w:val="20"/>
                <w:i/>
                <w:iCs/>
                <w:color w:val="0000FF" w:themeColor="hyperlink"/>
                <w:u w:val="single"/>
              </w:rPr>
              <w:t>143-5205</w:t>
            </w:r>
          </w:fldSimple>
          <w:r>
            <w:rPr>
              <w:rFonts w:ascii="Times New Roman" w:eastAsia="MS Mincho" w:hAnsi="Times New Roman"/>
              <w:sz w:val="20"/>
              <w:i/>
              <w:iCs/>
            </w:rPr>
            <w:t>, i. k. 1052250ISAK000V-943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2018-02-07:</w:t>
          </w:r>
        </w:p>
        <w:p>
          <w:pPr>
            <w:rPr>
              <w:rFonts w:ascii="Times New Roman" w:hAnsi="Times New Roman"/>
              <w:sz w:val="20"/>
              <w:i/>
            </w:rPr>
          </w:pPr>
          <w:r>
            <w:rPr>
              <w:rFonts w:ascii="Times New Roman" w:hAnsi="Times New Roman"/>
              <w:sz w:val="20"/>
              <w:i/>
            </w:rPr>
            <w:t xml:space="preserve">Nr. </w:t>
          </w:r>
          <w:fldSimple w:instr="HYPERLINK https://www.e-tar.lt/portal/legalAct.html?documentId=d390d2700a8211e8a5fc9d9b3a58917b">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2018-02-02,
paskelbta TAR 2018-02-06, i. k. 2018-01808                </w:t>
          </w:r>
        </w:p>
        <w:p>
          <w:pPr>
            <w:rPr>
              <w:rFonts w:ascii="Times New Roman" w:hAnsi="Times New Roman"/>
              <w:sz w:val="22"/>
            </w:rPr>
          </w:pPr>
        </w:p>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LIETUVOS RESPUBLIKOS SVEIKATOS APSAUGOS MINISTRAS</w:t>
          </w:r>
        </w:p>
        <w:p>
          <w:pPr>
            <w:tabs>
              <w:tab w:val="center" w:pos="4819"/>
              <w:tab w:val="right" w:pos="9638"/>
            </w:tabs>
            <w:ind w:right="463" w:firstLine="720"/>
            <w:jc w:val="center"/>
            <w:rPr>
              <w:b/>
              <w:color w:val="000000"/>
              <w:szCs w:val="24"/>
              <w:lang w:eastAsia="lt-LT"/>
            </w:rPr>
          </w:pPr>
        </w:p>
        <w:p>
          <w:pPr>
            <w:tabs>
              <w:tab w:val="center" w:pos="4819"/>
              <w:tab w:val="right" w:pos="9638"/>
            </w:tabs>
            <w:ind w:right="463"/>
            <w:jc w:val="center"/>
            <w:rPr>
              <w:b/>
              <w:color w:val="000000"/>
              <w:szCs w:val="24"/>
              <w:lang w:eastAsia="lt-LT"/>
            </w:rPr>
          </w:pPr>
          <w:r>
            <w:rPr>
              <w:b/>
              <w:color w:val="000000"/>
              <w:szCs w:val="24"/>
              <w:lang w:eastAsia="lt-LT"/>
            </w:rPr>
            <w:t>ĮSAKYMAS</w:t>
          </w:r>
        </w:p>
        <w:p>
          <w:pPr>
            <w:tabs>
              <w:tab w:val="left" w:pos="426"/>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r>
            <w:rPr>
              <w:b/>
              <w:color w:val="000000"/>
              <w:szCs w:val="24"/>
              <w:lang w:eastAsia="lt-LT"/>
            </w:rPr>
            <w:t>DĖL PIRMINĖS AMBULATORINĖS ASMENS SVEIKATOS PRIEŽIŪROS PASLAUGŲ TEIKIMO ORGANIZAVIMO IR ŠIŲ PASLAUGŲ IŠLAIDŲ APMOKĖJIMO TVARKOS APRAŠO TVIRTINIMO</w:t>
          </w:r>
        </w:p>
        <w:p>
          <w:pPr>
            <w:tabs>
              <w:tab w:val="left" w:pos="426"/>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color w:val="000000"/>
              <w:szCs w:val="24"/>
              <w:lang w:eastAsia="lt-LT"/>
            </w:rPr>
          </w:pPr>
        </w:p>
        <w:p>
          <w:pPr>
            <w:tabs>
              <w:tab w:val="left" w:pos="426"/>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2005 m. gruodžio 5 d. Nr. V-943</w:t>
          </w:r>
        </w:p>
        <w:p>
          <w:pPr>
            <w:tabs>
              <w:tab w:val="left" w:pos="426"/>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r>
            <w:t>Vilnius</w:t>
          </w:r>
        </w:p>
        <w:p>
          <w:pPr>
            <w:tabs>
              <w:tab w:val="left" w:pos="426"/>
              <w:tab w:val="left" w:pos="993"/>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szCs w:val="24"/>
              <w:lang w:eastAsia="lt-LT"/>
            </w:rPr>
          </w:pPr>
        </w:p>
        <w:sdt>
          <w:sdtPr>
            <w:alias w:val="preambule"/>
            <w:tag w:val="part_61e4dbdaccae436db43918967c8b4cd3"/>
            <w:lock w:val="sdtLocked"/>
            <w:richText/>
          </w:sdtPr>
          <w:sdtContent>
            <w:p>
              <w:pPr>
                <w:tabs>
                  <w:tab w:val="left" w:pos="851"/>
                </w:tabs>
                <w:ind w:firstLine="851"/>
                <w:jc w:val="both"/>
                <w:rPr>
                  <w:color w:val="000000"/>
                  <w:szCs w:val="24"/>
                </w:rPr>
              </w:pPr>
              <w:r>
                <w:rPr>
                  <w:szCs w:val="24"/>
                </w:rPr>
                <w:t>Vadovaudamasis Lietuvos Respublikos sveikatos priežiūros įstaigų įstatymo 10 straipsnio 6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1 p."/>
            <w:tag w:val="part_92b0fac22c0748efb80947507c04530f"/>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92b0fac22c0748efb80947507c04530f"/>
                  <w:lock w:val="sdtLocked"/>
                  <w:richText/>
                </w:sdtPr>
                <w:sdtContent>
                  <w:r>
                    <w:rPr>
                      <w:color w:val="000000"/>
                      <w:szCs w:val="24"/>
                    </w:rPr>
                    <w:t>1</w:t>
                  </w:r>
                </w:sdtContent>
              </w:sdt>
              <w:r>
                <w:rPr>
                  <w:color w:val="000000"/>
                  <w:szCs w:val="24"/>
                </w:rPr>
                <w:t xml:space="preserve">. </w:t>
              </w:r>
              <w:r>
                <w:rPr>
                  <w:szCs w:val="24"/>
                  <w:lang w:eastAsia="lt-LT"/>
                </w:rPr>
                <w:t xml:space="preserve">T v i r t i n u </w:t>
              </w:r>
              <w:r>
                <w:rPr>
                  <w:color w:val="000000"/>
                  <w:szCs w:val="24"/>
                  <w:lang w:eastAsia="lt-LT"/>
                </w:rPr>
                <w:t>Pirminės ambulatorinės asmens sveikatos priežiūros paslaugų teikimo organizavimo ir šių paslaugų išlaidų apmokėjimo tvarkos aprašą (pridedama).</w:t>
              </w:r>
            </w:p>
          </w:sdtContent>
        </w:sdt>
        <w:sdt>
          <w:sdtPr>
            <w:alias w:val="2 p."/>
            <w:tag w:val="part_7e39445b3e994891bb1232096c921a0e"/>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7e39445b3e994891bb1232096c921a0e"/>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3 p."/>
            <w:tag w:val="part_c8c61e7bd07f41ef81febe5449006e65"/>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signatura"/>
            <w:tag w:val="part_0a653303633844a1a36511063fe3096d"/>
            <w:lock w:val="sdtLocked"/>
            <w:richText/>
          </w:sdtPr>
          <w:sdtContent>
            <w:p>
              <w:pPr>
                <w:tabs>
                  <w:tab w:val="right" w:pos="9639"/>
                </w:tabs>
              </w:pPr>
            </w:p>
            <w:p>
              <w:pPr>
                <w:tabs>
                  <w:tab w:val="right" w:pos="9639"/>
                </w:tabs>
              </w:pPr>
            </w:p>
            <w:p>
              <w:pPr>
                <w:tabs>
                  <w:tab w:val="right" w:pos="9639"/>
                </w:tabs>
              </w:pPr>
            </w:p>
            <w:p>
              <w:pPr>
                <w:tabs>
                  <w:tab w:val="right" w:pos="9639"/>
                </w:tabs>
              </w:pPr>
              <w:r>
                <w:t>SVEIKATOS APSAUGOS MINISTRAS</w:t>
                <w:tab/>
                <w:t>ŽILVINAS PADAIGA</w:t>
              </w:r>
            </w:p>
          </w:sdtContent>
        </w:sdt>
        <w:p/>
      </w:sdtContent>
    </w:sdt>
    <w:sdt>
      <w:sdtPr>
        <w:alias w:val="patvirtinta"/>
        <w:tag w:val="part_5e110299616347689465b388bea9cd8d"/>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6" w:h="16838"/>
              <w:pgMar w:top="1255" w:right="567" w:bottom="1134" w:left="1701" w:header="567" w:footer="567" w:gutter="0"/>
              <w:pgNumType w:start="1"/>
              <w:cols w:space="1296"/>
              <w:titlePg/>
              <w:docGrid w:linePitch="360"/>
            </w:sectPr>
          </w:pPr>
        </w:p>
        <w:p>
          <w:pPr>
            <w:ind w:left="5103"/>
            <w:rPr>
              <w:szCs w:val="24"/>
            </w:rPr>
          </w:pPr>
          <w:r>
            <w:rPr>
              <w:szCs w:val="24"/>
            </w:rPr>
            <w:t>PATVIRTINTA</w:t>
          </w:r>
        </w:p>
        <w:p>
          <w:pPr>
            <w:ind w:left="5103"/>
            <w:jc w:val="both"/>
            <w:rPr>
              <w:szCs w:val="24"/>
            </w:rPr>
          </w:pPr>
          <w:r>
            <w:rPr>
              <w:szCs w:val="24"/>
            </w:rPr>
            <w:t>Lietuvos Respublikos sveikatos apsaugos</w:t>
          </w:r>
        </w:p>
        <w:p>
          <w:pPr>
            <w:ind w:left="5103"/>
            <w:jc w:val="both"/>
            <w:rPr>
              <w:szCs w:val="24"/>
            </w:rPr>
          </w:pPr>
          <w:r>
            <w:rPr>
              <w:szCs w:val="24"/>
            </w:rPr>
            <w:t xml:space="preserve">ministro </w:t>
          </w:r>
          <w:smartTag w:uri="urn:schemas-microsoft-com:office:smarttags" w:element="metricconverter">
            <w:smartTagPr>
              <w:attr w:name="ProductID" w:val="2005 m"/>
            </w:smartTagPr>
            <w:r>
              <w:rPr>
                <w:szCs w:val="24"/>
              </w:rPr>
              <w:t>2005 m</w:t>
            </w:r>
          </w:smartTag>
          <w:r>
            <w:rPr>
              <w:szCs w:val="24"/>
            </w:rPr>
            <w:t xml:space="preserve">. gruodžio 5 d. </w:t>
          </w:r>
        </w:p>
        <w:p>
          <w:pPr>
            <w:ind w:left="5103"/>
            <w:jc w:val="both"/>
            <w:rPr>
              <w:szCs w:val="24"/>
            </w:rPr>
          </w:pPr>
          <w:r>
            <w:rPr>
              <w:szCs w:val="24"/>
            </w:rPr>
            <w:t xml:space="preserve">įsakymu Nr. V-943 (2018 m. vasario 2 d. </w:t>
          </w:r>
        </w:p>
        <w:p>
          <w:pPr>
            <w:ind w:left="5103"/>
            <w:jc w:val="both"/>
            <w:rPr>
              <w:szCs w:val="24"/>
            </w:rPr>
          </w:pPr>
          <w:r>
            <w:rPr>
              <w:szCs w:val="24"/>
            </w:rPr>
            <w:t>įsakymo Nr. V-124 redakcija)</w:t>
          </w:r>
        </w:p>
        <w:p>
          <w:pPr>
            <w:rPr>
              <w:szCs w:val="24"/>
            </w:rPr>
          </w:pPr>
        </w:p>
        <w:p>
          <w:pPr>
            <w:rPr>
              <w:szCs w:val="24"/>
            </w:rPr>
          </w:pPr>
        </w:p>
        <w:p>
          <w:pPr>
            <w:jc w:val="center"/>
            <w:rPr>
              <w:b/>
              <w:szCs w:val="24"/>
            </w:rPr>
          </w:pPr>
          <w:sdt>
            <w:sdtPr>
              <w:alias w:val="Pavadinimas"/>
              <w:tag w:val="title_5e110299616347689465b388bea9cd8d"/>
              <w:lock w:val="sdtLocked"/>
              <w:richText/>
            </w:sdtPr>
            <w:sdtContent>
              <w:r>
                <w:rPr>
                  <w:b/>
                  <w:szCs w:val="24"/>
                </w:rPr>
                <w:t xml:space="preserve">PIRMINĖS AMBULATORINĖS ASMENS SVEIKATOS PRIEŽIŪROS PASLAUGŲ TEIKIMO ORGANIZAVIMO IR ŠIŲ PASLAUGŲ IŠLAIDŲ APMOKĖJIMO TVARKOS APRAŠAS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p>
        <w:sdt>
          <w:sdtPr>
            <w:alias w:val="skyrius"/>
            <w:tag w:val="part_44a7e62ad1b7483db96f44ce470f719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44a7e62ad1b7483db96f44ce470f7197"/>
                  <w:lock w:val="sdtLocked"/>
                  <w:richText/>
                </w:sdtPr>
                <w:sdtContent>
                  <w:r>
                    <w:rPr>
                      <w:b/>
                      <w:szCs w:val="24"/>
                    </w:rPr>
                    <w:t>I</w:t>
                  </w:r>
                </w:sdtContent>
              </w:sdt>
              <w:r>
                <w:rPr>
                  <w:b/>
                  <w:szCs w:val="24"/>
                </w:rPr>
                <w:t xml:space="preserve"> SKYRIUS</w:t>
              </w:r>
            </w:p>
            <w:p>
              <w:pPr>
                <w:jc w:val="center"/>
                <w:rPr>
                  <w:b/>
                  <w:szCs w:val="24"/>
                </w:rPr>
              </w:pPr>
              <w:sdt>
                <w:sdtPr>
                  <w:alias w:val="Pavadinimas"/>
                  <w:tag w:val="title_44a7e62ad1b7483db96f44ce470f7197"/>
                  <w:lock w:val="sdtLocked"/>
                  <w:richText/>
                </w:sdtPr>
                <w:sdtContent>
                  <w:r>
                    <w:rPr>
                      <w:b/>
                      <w:szCs w:val="24"/>
                    </w:rPr>
                    <w:t>BENDROSIOS NUOSTATOS</w:t>
                  </w:r>
                </w:sdtContent>
              </w:sdt>
            </w:p>
            <w:p>
              <w:pPr>
                <w:jc w:val="center"/>
                <w:rPr>
                  <w:b/>
                  <w:szCs w:val="24"/>
                </w:rPr>
              </w:pPr>
            </w:p>
            <w:sdt>
              <w:sdtPr>
                <w:alias w:val="1 p."/>
                <w:tag w:val="part_049a470c6c214fd89a4b33471c3d643f"/>
                <w:lock w:val="sdtLocked"/>
                <w:richText/>
              </w:sdtPr>
              <w:sdtContent>
                <w:p>
                  <w:pPr>
                    <w:tabs>
                      <w:tab w:val="left" w:pos="1134"/>
                    </w:tabs>
                    <w:ind w:firstLine="710"/>
                    <w:jc w:val="both"/>
                    <w:rPr>
                      <w:color w:val="000000"/>
                      <w:szCs w:val="24"/>
                      <w:lang w:eastAsia="lt-LT"/>
                    </w:rPr>
                  </w:pPr>
                  <w:sdt>
                    <w:sdtPr>
                      <w:alias w:val="Numeris"/>
                      <w:tag w:val="nr_049a470c6c214fd89a4b33471c3d643f"/>
                      <w:lock w:val="sdtLocked"/>
                      <w:richText/>
                    </w:sdtPr>
                    <w:sdtContent>
                      <w:r>
                        <w:rPr>
                          <w:color w:val="000000"/>
                          <w:szCs w:val="24"/>
                          <w:lang w:eastAsia="lt-LT"/>
                        </w:rPr>
                        <w:t>1</w:t>
                      </w:r>
                    </w:sdtContent>
                  </w:sdt>
                  <w:r>
                    <w:rPr>
                      <w:color w:val="000000"/>
                      <w:szCs w:val="24"/>
                      <w:lang w:eastAsia="lt-LT"/>
                    </w:rPr>
                    <w:t>.</w:t>
                    <w:tab/>
                    <w:t>Pirminės ambulatorinės asmens sveikatos priežiūros paslaugų teikimo organizavimo ir šių paslaugų išlaidų apmokėjimo Privalomojo sveikatos draudimo fondo biudžeto lėšomis tvarkos aprašas (toliau – Aprašas) nustato pirminės ambulatorinės asmens sveikatos priežiūros (toliau – PAASP) paslaugų, įskaitant tas PAASP paslaugas, už kurias mokamas skatinamasis priedas, teikimo organizavimo ir šių paslaugų išlaidų apmokėjimo iš Privalomojo sveikatos draudimo fondo (toliau – PSDF) biudžeto lėšų tvarką bei gerų PAASP rezultatų rodiklius, jų reikšmių apskaičiavimo ir mokėjimo PAASP paslaugas teikiančioms asmens sveikatos priežiūros įstaigoms (toliau – PAASP įstaiga) iš PSDF biudžeto lėšų pagal šiuos rodiklius tvarką.</w:t>
                  </w:r>
                </w:p>
              </w:sdtContent>
            </w:sdt>
            <w:sdt>
              <w:sdtPr>
                <w:alias w:val="2 p."/>
                <w:tag w:val="part_0610d8c215464caa8bd7a23c1abcf5c9"/>
                <w:lock w:val="sdtLocked"/>
                <w:richText/>
              </w:sdtPr>
              <w:sdtContent>
                <w:p>
                  <w:pPr>
                    <w:tabs>
                      <w:tab w:val="left" w:pos="993"/>
                      <w:tab w:val="left" w:pos="1134"/>
                    </w:tabs>
                    <w:ind w:firstLine="709"/>
                    <w:jc w:val="both"/>
                    <w:rPr>
                      <w:color w:val="000000"/>
                      <w:szCs w:val="24"/>
                      <w:lang w:eastAsia="lt-LT"/>
                    </w:rPr>
                  </w:pPr>
                  <w:sdt>
                    <w:sdtPr>
                      <w:alias w:val="Numeris"/>
                      <w:tag w:val="nr_0610d8c215464caa8bd7a23c1abcf5c9"/>
                      <w:lock w:val="sdtLocked"/>
                      <w:richText/>
                    </w:sdtPr>
                    <w:sdtContent>
                      <w:r>
                        <w:rPr>
                          <w:color w:val="000000"/>
                          <w:szCs w:val="24"/>
                        </w:rPr>
                        <w:t>2</w:t>
                      </w:r>
                    </w:sdtContent>
                  </w:sdt>
                  <w:r>
                    <w:rPr>
                      <w:color w:val="000000"/>
                      <w:szCs w:val="24"/>
                    </w:rPr>
                    <w:t>. PAASP apima šeimos gydytojo</w:t>
                  </w:r>
                  <w:r>
                    <w:rPr>
                      <w:b/>
                      <w:bCs/>
                      <w:color w:val="000000"/>
                      <w:szCs w:val="24"/>
                    </w:rPr>
                    <w:t xml:space="preserve"> </w:t>
                  </w:r>
                  <w:r>
                    <w:rPr>
                      <w:color w:val="000000"/>
                      <w:szCs w:val="24"/>
                    </w:rPr>
                    <w:t>(arba vidaus ligų gydytojo, vaikų ligų gydytojo, gydytojo akušerio ginekologo ir gydytojo chirurgo ar vaikų chirurgo, ar abdominalinės chirurgijos gydytojo kartu) komandos teikiamas paslaugas, pirminę ambulatorinę odontologinę priežiūrą ir pirminę ambulatorinę psichikos sveikatos priežiūrą. PAASP įstaigoje, kurioje dirba šeimos gydytojas, gali būti sudaroma ir vidaus ligų gydytojo komanda. Jeigu prie PAASP įstaigos yra prirašyta daugiau kaip 800 vaikų, gali būti steigiama ir vaikų ligų gydytojo komanda.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60ea0d5dd11ec8d9390588bf2de65">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2022-05-17,
paskelbta TAR 2022-05-17, i. k. 2022-10394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3 p."/>
                <w:tag w:val="part_44cfe73e9e1b4f83bf0c7906891cf488"/>
                <w:lock w:val="sdtLocked"/>
                <w:richText/>
              </w:sdtPr>
              <w:sdtContent>
                <w:p>
                  <w:pPr>
                    <w:tabs>
                      <w:tab w:val="left" w:pos="993"/>
                      <w:tab w:val="left" w:pos="1134"/>
                      <w:tab w:val="left" w:pos="1418"/>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lang w:eastAsia="lt-LT"/>
                    </w:rPr>
                  </w:pPr>
                  <w:sdt>
                    <w:sdtPr>
                      <w:alias w:val="Numeris"/>
                      <w:tag w:val="nr_44cfe73e9e1b4f83bf0c7906891cf488"/>
                      <w:lock w:val="sdtLocked"/>
                      <w:richText/>
                    </w:sdtPr>
                    <w:sdtContent>
                      <w:r>
                        <w:rPr>
                          <w:color w:val="000000"/>
                          <w:szCs w:val="24"/>
                          <w:lang w:eastAsia="lt-LT"/>
                        </w:rPr>
                        <w:t>3</w:t>
                      </w:r>
                    </w:sdtContent>
                  </w:sdt>
                  <w:r>
                    <w:rPr>
                      <w:color w:val="000000"/>
                      <w:szCs w:val="24"/>
                      <w:lang w:eastAsia="lt-LT"/>
                    </w:rPr>
                    <w:t>.</w:t>
                    <w:tab/>
                    <w:t>Apraše vartojamos sąvokos ir jų apibrėžtys:</w:t>
                  </w:r>
                </w:p>
                <w:sdt>
                  <w:sdtPr>
                    <w:alias w:val="3.1 pp."/>
                    <w:tag w:val="part_d56df4bcb8bc47f08f0000fcbc0b82d6"/>
                    <w:lock w:val="sdtLocked"/>
                    <w:richText/>
                  </w:sdtPr>
                  <w:sdtContent>
                    <w:p>
                      <w:pPr>
                        <w:tabs>
                          <w:tab w:val="left" w:pos="993"/>
                          <w:tab w:val="left" w:pos="1134"/>
                        </w:tabs>
                        <w:ind w:firstLine="709"/>
                        <w:jc w:val="both"/>
                      </w:pPr>
                      <w:sdt>
                        <w:sdtPr>
                          <w:alias w:val="Numeris"/>
                          <w:tag w:val="nr_d56df4bcb8bc47f08f0000fcbc0b82d6"/>
                          <w:lock w:val="sdtLocked"/>
                          <w:richText/>
                        </w:sdtPr>
                        <w:sdtContent>
                          <w:r>
                            <w:rPr>
                              <w:szCs w:val="24"/>
                              <w:lang w:eastAsia="lt-LT"/>
                            </w:rPr>
                            <w:t>3.1</w:t>
                          </w:r>
                        </w:sdtContent>
                      </w:sdt>
                      <w:r>
                        <w:rPr>
                          <w:szCs w:val="24"/>
                          <w:lang w:eastAsia="lt-LT"/>
                        </w:rPr>
                        <w:t>.</w:t>
                      </w:r>
                      <w:r>
                        <w:rPr>
                          <w:szCs w:val="24"/>
                        </w:rPr>
                        <w:t xml:space="preserve"> </w:t>
                      </w:r>
                      <w:r>
                        <w:rPr>
                          <w:b/>
                          <w:bCs/>
                          <w:szCs w:val="24"/>
                          <w:lang w:eastAsia="lt-LT"/>
                        </w:rPr>
                        <w:t>Apylinkė</w:t>
                      </w:r>
                      <w:r>
                        <w:rPr>
                          <w:szCs w:val="24"/>
                          <w:lang w:eastAsia="lt-LT"/>
                        </w:rPr>
                        <w:t xml:space="preserve"> – šeimos gydytojo (arba vidaus ligų gydytojo, vaikų ligų gydytojo, gydytojo akušerio ginekologo ir gydytojo chirurgo kartu) arba vaikų ligų gydytojo, arba vidaus ligų gydytojo</w:t>
                      </w:r>
                      <w:r>
                        <w:rPr>
                          <w:b/>
                          <w:bCs/>
                          <w:szCs w:val="24"/>
                          <w:lang w:eastAsia="lt-LT"/>
                        </w:rPr>
                        <w:t xml:space="preserve"> </w:t>
                      </w:r>
                      <w:r>
                        <w:rPr>
                          <w:szCs w:val="24"/>
                          <w:lang w:eastAsia="lt-LT"/>
                        </w:rPr>
                        <w:t>komandai priskirta aptarnauti prisirašiusiųjų asmenų grupė.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3.2 pp."/>
                    <w:tag w:val="part_a1461ef013784c50b6f1a704e30ca3ee"/>
                    <w:lock w:val="sdtLocked"/>
                    <w:richText/>
                  </w:sdtPr>
                  <w:sdtContent>
                    <w:p>
                      <w:pPr>
                        <w:tabs>
                          <w:tab w:val="left" w:pos="0"/>
                          <w:tab w:val="left" w:pos="426"/>
                          <w:tab w:val="left" w:pos="851"/>
                          <w:tab w:val="left" w:pos="1134"/>
                        </w:tabs>
                        <w:ind w:firstLine="709"/>
                        <w:jc w:val="both"/>
                        <w:rPr>
                          <w:color w:val="000000"/>
                          <w:szCs w:val="24"/>
                          <w:lang w:eastAsia="lt-LT"/>
                        </w:rPr>
                      </w:pPr>
                      <w:sdt>
                        <w:sdtPr>
                          <w:alias w:val="Numeris"/>
                          <w:tag w:val="nr_a1461ef013784c50b6f1a704e30ca3ee"/>
                          <w:lock w:val="sdtLocked"/>
                          <w:richText/>
                        </w:sdtPr>
                        <w:sdtContent>
                          <w:r>
                            <w:rPr>
                              <w:color w:val="000000"/>
                              <w:szCs w:val="24"/>
                            </w:rPr>
                            <w:t>3.2</w:t>
                          </w:r>
                        </w:sdtContent>
                      </w:sdt>
                      <w:r>
                        <w:rPr>
                          <w:color w:val="000000"/>
                          <w:szCs w:val="24"/>
                        </w:rPr>
                        <w:t xml:space="preserve">. </w:t>
                      </w:r>
                      <w:r>
                        <w:rPr>
                          <w:b/>
                          <w:bCs/>
                          <w:szCs w:val="24"/>
                        </w:rPr>
                        <w:t xml:space="preserve">Gerų PAASP rezultatų rodikliai </w:t>
                      </w:r>
                      <w:r>
                        <w:rPr>
                          <w:szCs w:val="24"/>
                        </w:rPr>
                        <w:t xml:space="preserve">– </w:t>
                      </w:r>
                      <w:r>
                        <w:rPr>
                          <w:color w:val="000000"/>
                          <w:szCs w:val="24"/>
                        </w:rPr>
                        <w:t>teikiamų paslaugų prieinamumo, kokybės ir efektyvumo vertinimo rodikliai.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12ef05f0311eca9ac839120d251c4">
                        <w:r w:rsidRPr="00532B9F">
                          <w:rPr>
                            <w:rFonts w:ascii="Times New Roman" w:eastAsia="MS Mincho" w:hAnsi="Times New Roman"/>
                            <w:sz w:val="20"/>
                            <w:i/>
                            <w:iCs/>
                            <w:color w:val="0000FF" w:themeColor="hyperlink"/>
                            <w:u w:val="single"/>
                          </w:rPr>
                          <w:t>V-2869</w:t>
                        </w:r>
                      </w:fldSimple>
                      <w:r>
                        <w:rPr>
                          <w:rFonts w:ascii="Times New Roman" w:eastAsia="MS Mincho" w:hAnsi="Times New Roman"/>
                          <w:sz w:val="20"/>
                          <w:i/>
                          <w:iCs/>
                        </w:rPr>
                        <w:t>,
2021-12-17,
paskelbta TAR 2021-12-17, i. k. 2021-26055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3.3 pp."/>
                    <w:tag w:val="part_d18a9dd10c0f4db9ba0353651c8ab5b9"/>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6a66b08c1a11e8adc2b65cf0f647e0">
                        <w:r w:rsidRPr="00532B9F">
                          <w:rPr>
                            <w:rFonts w:ascii="Times New Roman" w:eastAsia="MS Mincho" w:hAnsi="Times New Roman"/>
                            <w:sz w:val="20"/>
                            <w:i/>
                            <w:iCs/>
                            <w:color w:val="0000FF" w:themeColor="hyperlink"/>
                            <w:u w:val="single"/>
                          </w:rPr>
                          <w:t>V-826</w:t>
                        </w:r>
                      </w:fldSimple>
                      <w:r>
                        <w:rPr>
                          <w:rFonts w:ascii="Times New Roman" w:eastAsia="MS Mincho" w:hAnsi="Times New Roman"/>
                          <w:sz w:val="20"/>
                          <w:i/>
                          <w:iCs/>
                        </w:rPr>
                        <w:t>,
2018-07-19,
paskelbta TAR 2018-07-23, i. k. 2018-12257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3.4 pp."/>
                    <w:tag w:val="part_cbd826d0719342719410b408f28d088d"/>
                    <w:lock w:val="sdtLocked"/>
                    <w:richText/>
                  </w:sdtPr>
                  <w:sdtContent>
                    <w:p>
                      <w:pPr>
                        <w:ind w:firstLine="709"/>
                        <w:jc w:val="both"/>
                        <w:rPr>
                          <w:color w:val="000000"/>
                          <w:szCs w:val="24"/>
                          <w:lang w:eastAsia="lt-LT"/>
                        </w:rPr>
                      </w:pPr>
                      <w:sdt>
                        <w:sdtPr>
                          <w:alias w:val="Numeris"/>
                          <w:tag w:val="nr_cbd826d0719342719410b408f28d088d"/>
                          <w:lock w:val="sdtLocked"/>
                          <w:richText/>
                        </w:sdtPr>
                        <w:sdtContent>
                          <w:r>
                            <w:rPr>
                              <w:szCs w:val="24"/>
                              <w:lang w:eastAsia="lt-LT"/>
                            </w:rPr>
                            <w:t>3.4</w:t>
                          </w:r>
                        </w:sdtContent>
                      </w:sdt>
                      <w:r>
                        <w:rPr>
                          <w:szCs w:val="24"/>
                          <w:lang w:eastAsia="lt-LT"/>
                        </w:rPr>
                        <w:t xml:space="preserve">. </w:t>
                      </w:r>
                      <w:r>
                        <w:rPr>
                          <w:b/>
                          <w:bCs/>
                          <w:szCs w:val="24"/>
                          <w:lang w:eastAsia="lt-LT"/>
                        </w:rPr>
                        <w:t>Pirminė ambulatorinė odontologinė priežiūra</w:t>
                      </w:r>
                      <w:r>
                        <w:rPr>
                          <w:szCs w:val="24"/>
                          <w:lang w:eastAsia="lt-LT"/>
                        </w:rPr>
                        <w:t xml:space="preserve"> – nespecializuotos pirminės odontologinės asmens sveikatos priežiūros paslaugos, pagal atitinkamas medicinos normas teikiamos gydytojo odontologo ir (ar) burnos higienisto kartu su gydytojo odontologo padėjėju arba be jo licenciją teikti odontologijos ir (ar) burnos higienos paslaugas turinčiose asmens sveikatos priežiūros įstaigose,  ambulatorinėse asmens sveikatos priežiūros įstaigose ir (ar) mobiliosiose ambulatorijose, pacientų namuose ar socialinės globos įstaigose, ar įstatymų nustatyta tvarka laisvės atėmimo vietų ligoninės, tardymo izoliatorių, pataisos įstaigų patalpose.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1a390b24a11eba871a26c1fc3fbc1">
                        <w:r w:rsidRPr="00532B9F">
                          <w:rPr>
                            <w:rFonts w:ascii="Times New Roman" w:eastAsia="MS Mincho" w:hAnsi="Times New Roman"/>
                            <w:sz w:val="20"/>
                            <w:i/>
                            <w:iCs/>
                            <w:color w:val="0000FF" w:themeColor="hyperlink"/>
                            <w:u w:val="single"/>
                          </w:rPr>
                          <w:t>V-1060</w:t>
                        </w:r>
                      </w:fldSimple>
                      <w:r>
                        <w:rPr>
                          <w:rFonts w:ascii="Times New Roman" w:eastAsia="MS Mincho" w:hAnsi="Times New Roman"/>
                          <w:sz w:val="20"/>
                          <w:i/>
                          <w:iCs/>
                        </w:rPr>
                        <w:t>,
2021-05-11,
paskelbta TAR 2021-05-11, i. k. 2021-10480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60ea0d5dd11ec8d9390588bf2de65">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2022-05-17,
paskelbta TAR 2022-05-17, i. k. 2022-10394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651af0e63f11ecb369fde863feb27d">
                        <w:r w:rsidRPr="00532B9F">
                          <w:rPr>
                            <w:rFonts w:ascii="Times New Roman" w:eastAsia="MS Mincho" w:hAnsi="Times New Roman"/>
                            <w:sz w:val="20"/>
                            <w:i/>
                            <w:iCs/>
                            <w:color w:val="0000FF" w:themeColor="hyperlink"/>
                            <w:u w:val="single"/>
                          </w:rPr>
                          <w:t>V-1049</w:t>
                        </w:r>
                      </w:fldSimple>
                      <w:r>
                        <w:rPr>
                          <w:rFonts w:ascii="Times New Roman" w:eastAsia="MS Mincho" w:hAnsi="Times New Roman"/>
                          <w:sz w:val="20"/>
                          <w:i/>
                          <w:iCs/>
                        </w:rPr>
                        <w:t>,
2022-06-07,
paskelbta TAR 2022-06-07, i. k. 2022-12286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3.5 pp."/>
                    <w:tag w:val="part_ae2f3dbd85e04d8d8c3f7be63c85c7eb"/>
                    <w:lock w:val="sdtLocked"/>
                    <w:richText/>
                  </w:sdtPr>
                  <w:sdtContent>
                    <w:p>
                      <w:pPr>
                        <w:tabs>
                          <w:tab w:val="left" w:pos="851"/>
                          <w:tab w:val="left" w:pos="1134"/>
                        </w:tabs>
                        <w:ind w:firstLine="709"/>
                        <w:jc w:val="both"/>
                        <w:rPr>
                          <w:color w:val="000000"/>
                          <w:szCs w:val="24"/>
                          <w:lang w:eastAsia="lt-LT"/>
                        </w:rPr>
                      </w:pPr>
                      <w:sdt>
                        <w:sdtPr>
                          <w:alias w:val="Numeris"/>
                          <w:tag w:val="nr_ae2f3dbd85e04d8d8c3f7be63c85c7eb"/>
                          <w:lock w:val="sdtLocked"/>
                          <w:richText/>
                        </w:sdtPr>
                        <w:sdtContent>
                          <w:r>
                            <w:rPr>
                              <w:rFonts w:eastAsia="Calibri"/>
                              <w:color w:val="000000"/>
                              <w:szCs w:val="24"/>
                            </w:rPr>
                            <w:t>3.5</w:t>
                          </w:r>
                        </w:sdtContent>
                      </w:sdt>
                      <w:r>
                        <w:rPr>
                          <w:rFonts w:eastAsia="Calibri"/>
                          <w:color w:val="000000"/>
                          <w:szCs w:val="24"/>
                        </w:rPr>
                        <w:t>. </w:t>
                      </w:r>
                      <w:r>
                        <w:rPr>
                          <w:rFonts w:eastAsia="Calibri"/>
                          <w:b/>
                          <w:color w:val="000000"/>
                          <w:szCs w:val="24"/>
                        </w:rPr>
                        <w:t>Pirminė ambulatorinė psichikos sveikatos priežiūra</w:t>
                      </w:r>
                      <w:r>
                        <w:rPr>
                          <w:rFonts w:eastAsia="Calibri"/>
                          <w:color w:val="000000"/>
                          <w:szCs w:val="24"/>
                        </w:rPr>
                        <w:t> – pirminės psichikos sveikatos priežiūros paslaugos, teikiamos psichikos sveikatos centruose arba įstaigose, atitinkančiose psichikos sveikatos centrams taikomus reikalavimus (toliau – pirminės ambulatorinės psichikos sveikatos priežiūros paslaugas teikianti įstaiga), ar mobiliosiose ambulatorijose, pacientų namuose, socialinės globos įstaigose ir(ar) įstatymų nustatyta tvarka laisvės atėmimo vietų įstaigose.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1a390b24a11eba871a26c1fc3fbc1">
                        <w:r w:rsidRPr="00532B9F">
                          <w:rPr>
                            <w:rFonts w:ascii="Times New Roman" w:eastAsia="MS Mincho" w:hAnsi="Times New Roman"/>
                            <w:sz w:val="20"/>
                            <w:i/>
                            <w:iCs/>
                            <w:color w:val="0000FF" w:themeColor="hyperlink"/>
                            <w:u w:val="single"/>
                          </w:rPr>
                          <w:t>V-1060</w:t>
                        </w:r>
                      </w:fldSimple>
                      <w:r>
                        <w:rPr>
                          <w:rFonts w:ascii="Times New Roman" w:eastAsia="MS Mincho" w:hAnsi="Times New Roman"/>
                          <w:sz w:val="20"/>
                          <w:i/>
                          <w:iCs/>
                        </w:rPr>
                        <w:t>,
2021-05-11,
paskelbta TAR 2021-05-11, i. k. 2021-10480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db0eb02b6c11ee9de9e7e0fd363afc">
                        <w:r w:rsidRPr="00532B9F">
                          <w:rPr>
                            <w:rFonts w:ascii="Times New Roman" w:eastAsia="MS Mincho" w:hAnsi="Times New Roman"/>
                            <w:sz w:val="20"/>
                            <w:i/>
                            <w:iCs/>
                            <w:color w:val="0000FF" w:themeColor="hyperlink"/>
                            <w:u w:val="single"/>
                          </w:rPr>
                          <w:t>V-853</w:t>
                        </w:r>
                      </w:fldSimple>
                      <w:r>
                        <w:rPr>
                          <w:rFonts w:ascii="Times New Roman" w:eastAsia="MS Mincho" w:hAnsi="Times New Roman"/>
                          <w:sz w:val="20"/>
                          <w:i/>
                          <w:iCs/>
                        </w:rPr>
                        <w:t>,
2023-07-26,
paskelbta TAR 2023-07-26, i. k. 2023-15164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3.6 pp."/>
                    <w:tag w:val="part_fd51bd80cdc74087847c579fae9f888d"/>
                    <w:lock w:val="sdtLocked"/>
                    <w:richText/>
                  </w:sdtPr>
                  <w:sdtContent>
                    <w:p>
                      <w:pPr>
                        <w:tabs>
                          <w:tab w:val="left" w:pos="426"/>
                          <w:tab w:val="left" w:pos="1134"/>
                          <w:tab w:val="left" w:pos="1418"/>
                          <w:tab w:val="left" w:pos="1560"/>
                        </w:tabs>
                        <w:ind w:firstLine="709"/>
                        <w:jc w:val="both"/>
                        <w:rPr>
                          <w:color w:val="000000"/>
                          <w:szCs w:val="24"/>
                          <w:lang w:eastAsia="lt-LT"/>
                        </w:rPr>
                      </w:pPr>
                      <w:sdt>
                        <w:sdtPr>
                          <w:alias w:val="Numeris"/>
                          <w:tag w:val="nr_fd51bd80cdc74087847c579fae9f888d"/>
                          <w:lock w:val="sdtLocked"/>
                          <w:richText/>
                        </w:sdtPr>
                        <w:sdtContent>
                          <w:r>
                            <w:rPr>
                              <w:color w:val="000000"/>
                              <w:szCs w:val="24"/>
                              <w:lang w:eastAsia="lt-LT"/>
                            </w:rPr>
                            <w:t>3.6</w:t>
                          </w:r>
                        </w:sdtContent>
                      </w:sdt>
                      <w:r>
                        <w:rPr>
                          <w:color w:val="000000"/>
                          <w:szCs w:val="24"/>
                          <w:lang w:eastAsia="lt-LT"/>
                        </w:rPr>
                        <w:t>.</w:t>
                        <w:tab/>
                      </w:r>
                      <w:r>
                        <w:rPr>
                          <w:b/>
                          <w:color w:val="000000"/>
                          <w:szCs w:val="24"/>
                          <w:lang w:eastAsia="lt-LT"/>
                        </w:rPr>
                        <w:t>Skatinamasis priedas už PAASP paslaugas</w:t>
                      </w:r>
                      <w:r>
                        <w:rPr>
                          <w:color w:val="000000"/>
                          <w:szCs w:val="24"/>
                          <w:lang w:eastAsia="lt-LT"/>
                        </w:rPr>
                        <w:t xml:space="preserve"> – PAASP paslaugos kainos dalis, mokama PAASP įstaigai iš PSDF biudžeto lėšų už suteiktas PAASP paslaugas, nustatytas Aprašo IV skyriuje, tokiu būdu siekiant aktyvaus šių paslaugų teikimo.</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3.7 pp."/>
                    <w:tag w:val="part_b82d7abea777454bbf7235b48371648c"/>
                    <w:lock w:val="sdtLocked"/>
                    <w:richText/>
                  </w:sdtPr>
                  <w:sdtContent>
                    <w:p>
                      <w:pPr>
                        <w:ind w:firstLine="709"/>
                        <w:jc w:val="both"/>
                      </w:pPr>
                      <w:sdt>
                        <w:sdtPr>
                          <w:alias w:val="Numeris"/>
                          <w:tag w:val="nr_b82d7abea777454bbf7235b48371648c"/>
                          <w:lock w:val="sdtLocked"/>
                          <w:richText/>
                        </w:sdtPr>
                        <w:sdtContent>
                          <w:r>
                            <w:rPr>
                              <w:color w:val="000000"/>
                              <w:szCs w:val="24"/>
                              <w:lang w:eastAsia="lt-LT"/>
                            </w:rPr>
                            <w:t>3.7</w:t>
                          </w:r>
                        </w:sdtContent>
                      </w:sdt>
                      <w:r>
                        <w:rPr>
                          <w:color w:val="000000"/>
                          <w:szCs w:val="24"/>
                          <w:lang w:eastAsia="lt-LT"/>
                        </w:rPr>
                        <w:t xml:space="preserve">. </w:t>
                      </w:r>
                      <w:r>
                        <w:rPr>
                          <w:b/>
                          <w:bCs/>
                          <w:color w:val="000000"/>
                          <w:szCs w:val="24"/>
                          <w:lang w:eastAsia="lt-LT"/>
                        </w:rPr>
                        <w:t>Šeimos gydytojo komandos paslaugos</w:t>
                      </w:r>
                      <w:r>
                        <w:rPr>
                          <w:color w:val="000000"/>
                          <w:szCs w:val="24"/>
                          <w:lang w:eastAsia="lt-LT"/>
                        </w:rPr>
                        <w:t xml:space="preserve"> – nespecializuotos asmens sveikatos priežiūros paslaugos, kurias asmens sveikatos priežiūros įstaigose, turinčiose licenciją teikti šeimos medicinos paslaugas, ambulatorinėse asmens sveikatos priežiūros įstaigose ir (ar) mobiliosiose ambulatorijose, pacientų namuose ar socialinės globos įstaigose, ar įstatymų nustatyta tvarka laisvės atėmimo vietų ligoninės, tardymo izoliatorių, pataisos įstaigų patalpose pagal savo kompetenciją teikia šie šeimos gydytojo komandos nariai: šeimos gydytojas, bendrosios praktikos slaugytojas arba išplėstinės praktikos slaugytojas </w:t>
                      </w:r>
                      <w:r>
                        <w:rPr>
                          <w:color w:val="000000"/>
                          <w:szCs w:val="24"/>
                        </w:rPr>
                        <w:t>(toliau visi kartu ar kiekvienas atskirai – slaugytojas)</w:t>
                      </w:r>
                      <w:r>
                        <w:rPr>
                          <w:color w:val="000000"/>
                          <w:szCs w:val="24"/>
                          <w:lang w:eastAsia="lt-LT"/>
                        </w:rPr>
                        <w:t>, akušeris, atvejo vadybininkas, kineziterapeutas, gyvensenos medicinos specialistas, apylinkės administratorius, socialinis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d38dc0230211e9bf1ef395f41d6fbc">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2019-01-24,
paskelbta TAR 2019-01-28, i. k. 2019-01246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1a390b24a11eba871a26c1fc3fbc1">
                        <w:r w:rsidRPr="00532B9F">
                          <w:rPr>
                            <w:rFonts w:ascii="Times New Roman" w:eastAsia="MS Mincho" w:hAnsi="Times New Roman"/>
                            <w:sz w:val="20"/>
                            <w:i/>
                            <w:iCs/>
                            <w:color w:val="0000FF" w:themeColor="hyperlink"/>
                            <w:u w:val="single"/>
                          </w:rPr>
                          <w:t>V-1060</w:t>
                        </w:r>
                      </w:fldSimple>
                      <w:r>
                        <w:rPr>
                          <w:rFonts w:ascii="Times New Roman" w:eastAsia="MS Mincho" w:hAnsi="Times New Roman"/>
                          <w:sz w:val="20"/>
                          <w:i/>
                          <w:iCs/>
                        </w:rPr>
                        <w:t>,
2021-05-11,
paskelbta TAR 2021-05-11, i. k. 2021-10480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3.7-1 pp."/>
                    <w:tag w:val="part_b425d16215304d898a1813b6e93894c9"/>
                    <w:lock w:val="sdtLocked"/>
                    <w:richText/>
                  </w:sdtPr>
                  <w:sdtContent>
                    <w:p>
                      <w:pPr>
                        <w:ind w:firstLine="709"/>
                        <w:jc w:val="both"/>
                      </w:pPr>
                      <w:sdt>
                        <w:sdtPr>
                          <w:alias w:val="Numeris"/>
                          <w:tag w:val="nr_b425d16215304d898a1813b6e93894c9"/>
                          <w:lock w:val="sdtLocked"/>
                          <w:richText/>
                        </w:sdtPr>
                        <w:sdtContent>
                          <w:r>
                            <w:rPr>
                              <w:szCs w:val="24"/>
                            </w:rPr>
                            <w:t>3.7</w:t>
                          </w:r>
                          <w:r>
                            <w:rPr>
                              <w:szCs w:val="24"/>
                              <w:vertAlign w:val="superscript"/>
                            </w:rPr>
                            <w:t>1</w:t>
                          </w:r>
                        </w:sdtContent>
                      </w:sdt>
                      <w:r>
                        <w:rPr>
                          <w:szCs w:val="24"/>
                        </w:rPr>
                        <w:t xml:space="preserve">. </w:t>
                      </w:r>
                      <w:r>
                        <w:rPr>
                          <w:b/>
                          <w:bCs/>
                          <w:color w:val="000000"/>
                          <w:szCs w:val="24"/>
                        </w:rPr>
                        <w:t>Vidaus ligų gydytojo arba vaikų ligų gydytojo komandos paslaugos</w:t>
                      </w:r>
                      <w:r>
                        <w:rPr>
                          <w:color w:val="000000"/>
                          <w:szCs w:val="24"/>
                        </w:rPr>
                        <w:t> – nespecializuotos asmens sveikatos priežiūros paslaugos, kurias asmens sveikatos priežiūros įstaigose, turinčiose licenciją teikti šeimos medicinos paslaugas, ambulatorinėse asmens sveikatos priežiūros įstaigose ir (ar) mobiliosiose ambulatorijose, pacientų namuose ar socialinės globos įstaigose, ar įstatymų nustatyta tvarka laisvės atėmimo vietų ligoninės, tardymo izoliatorių, pataisos įstaigų patalpose pagal savo kompetenciją teikia šie vidaus ligų gydytojo arba vaikų ligų gydytojo komandos nariai: vaikų ligų gydytojas arba vidaus ligų gydytojas ir slaugytojas, akušeris, atvejo vadybininkas, kineziterapeutas, gyvensenos medicinos specialistas, apylinkės administratorius, socialinis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3.8 pp."/>
                    <w:tag w:val="part_6e065a480eb1411a8119300374d28a10"/>
                    <w:lock w:val="sdtLocked"/>
                    <w:richText/>
                  </w:sdtPr>
                  <w:sdtContent>
                    <w:p>
                      <w:pPr>
                        <w:tabs>
                          <w:tab w:val="left" w:pos="851"/>
                          <w:tab w:val="left" w:pos="1134"/>
                        </w:tabs>
                        <w:ind w:firstLine="709"/>
                        <w:jc w:val="both"/>
                        <w:rPr>
                          <w:szCs w:val="24"/>
                          <w:lang w:eastAsia="lt-LT"/>
                        </w:rPr>
                      </w:pPr>
                      <w:sdt>
                        <w:sdtPr>
                          <w:alias w:val="Numeris"/>
                          <w:tag w:val="nr_6e065a480eb1411a8119300374d28a10"/>
                          <w:lock w:val="sdtLocked"/>
                          <w:richText/>
                        </w:sdtPr>
                        <w:sdtContent>
                          <w:r>
                            <w:rPr>
                              <w:rFonts w:eastAsia="Calibri"/>
                              <w:color w:val="000000"/>
                              <w:szCs w:val="24"/>
                            </w:rPr>
                            <w:t>3.8</w:t>
                          </w:r>
                        </w:sdtContent>
                      </w:sdt>
                      <w:r>
                        <w:rPr>
                          <w:rFonts w:eastAsia="Calibri"/>
                          <w:color w:val="000000"/>
                          <w:szCs w:val="24"/>
                        </w:rPr>
                        <w:t xml:space="preserve">. </w:t>
                      </w:r>
                      <w:r>
                        <w:rPr>
                          <w:rFonts w:eastAsia="Calibri"/>
                          <w:b/>
                          <w:color w:val="000000"/>
                          <w:szCs w:val="24"/>
                        </w:rPr>
                        <w:t>Mobilioji ambulatorija</w:t>
                      </w:r>
                      <w:r>
                        <w:rPr>
                          <w:rFonts w:eastAsia="Calibri"/>
                          <w:color w:val="000000"/>
                          <w:szCs w:val="24"/>
                        </w:rPr>
                        <w:t xml:space="preserve"> – PAASP įstaigos, turinčios įstaigos asmens sveikatos priežiūros licenciją, suteikiančią teisę teikti atitinkamas pirminės ambulatorinės asmens sveikatos priežiūros šeimos medicinos ir (ar) pirminės ambulatorinės odontologinės asmens sveikatos priežiūros, ir (ar) burnos higienos asmens sveikatos priežiūros paslaugas, ir (ar) pirmines ambulatorines psichikos sveikatos priežiūros paslaugas, laikina šeimos gydytojo komandos ar pirminės ambulatorinės odontologinės asmens sveikatos priežiūros paslaugų teikimo vieta (specialios paskirties automobilis arba ekstremaliosios situacijos metu ar savivaldybėje paskelbtos mobilizacijos metu savivaldybės  administracijos sprendimu laikinai pirminės ambulatorinės asmens sveikatos priežiūros paslaugai teikti pritaikytas kabinetas arba laikinas modulinis statinys ar, teikiant pirminės ambulatorinės psichikos sveikatos priežiūros paslaugas, paslaugai teikti pritaikytas kabinetas).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db0eb02b6c11ee9de9e7e0fd363afc">
                        <w:r w:rsidRPr="00532B9F">
                          <w:rPr>
                            <w:rFonts w:ascii="Times New Roman" w:eastAsia="MS Mincho" w:hAnsi="Times New Roman"/>
                            <w:sz w:val="20"/>
                            <w:i/>
                            <w:iCs/>
                            <w:color w:val="0000FF" w:themeColor="hyperlink"/>
                            <w:u w:val="single"/>
                          </w:rPr>
                          <w:t>V-853</w:t>
                        </w:r>
                      </w:fldSimple>
                      <w:r>
                        <w:rPr>
                          <w:rFonts w:ascii="Times New Roman" w:eastAsia="MS Mincho" w:hAnsi="Times New Roman"/>
                          <w:sz w:val="20"/>
                          <w:i/>
                          <w:iCs/>
                        </w:rPr>
                        <w:t>,
2023-07-26,
paskelbta TAR 2023-07-26, i. k. 2023-15164            </w:t>
                      </w:r>
                    </w:p>
                    <w:p/>
                  </w:sdtContent>
                </w:sdt>
                <w:sdt>
                  <w:sdtPr>
                    <w:alias w:val="3.9 pp."/>
                    <w:tag w:val="part_33419260a9b0406783e62a3ee5a5346b"/>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33419260a9b0406783e62a3ee5a5346b"/>
                          <w:lock w:val="sdtLocked"/>
                          <w:richText/>
                        </w:sdtPr>
                        <w:sdtContent>
                          <w:r>
                            <w:rPr>
                              <w:color w:val="000000"/>
                              <w:szCs w:val="24"/>
                              <w:lang w:eastAsia="lt-LT"/>
                            </w:rPr>
                            <w:t>3.9</w:t>
                          </w:r>
                        </w:sdtContent>
                      </w:sdt>
                      <w:r>
                        <w:rPr>
                          <w:color w:val="000000"/>
                          <w:szCs w:val="24"/>
                          <w:lang w:eastAsia="lt-LT"/>
                        </w:rPr>
                        <w:t xml:space="preserve">. </w:t>
                      </w:r>
                      <w:r>
                        <w:rPr>
                          <w:rFonts w:eastAsia="SimSun"/>
                          <w:b/>
                          <w:bCs/>
                          <w:szCs w:val="24"/>
                        </w:rPr>
                        <w:t>Atvejo vadybininkas</w:t>
                      </w:r>
                      <w:r>
                        <w:rPr>
                          <w:rFonts w:eastAsia="SimSun"/>
                          <w:szCs w:val="24"/>
                        </w:rPr>
                        <w:t xml:space="preserve"> – pacientui priskiriamas šeimos gydytojo komandos narys, kuris, atsižvelgdamas į kitų šeimos gydytojo komandos narių ir gydytojų specialistų rekomendacijas bei specifinius paciento ir (ar) jo šeimos narių poreikius, numato kompleksinių paslaugų poreikį, šias paslaugas organizuoja ir koordinuoja jų teikimą.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3.10 pp."/>
                    <w:tag w:val="part_b728394a823f4c6cbd187717c4d02314"/>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b728394a823f4c6cbd187717c4d02314"/>
                          <w:lock w:val="sdtLocked"/>
                          <w:richText/>
                        </w:sdtPr>
                        <w:sdtContent>
                          <w:r>
                            <w:rPr>
                              <w:color w:val="000000"/>
                              <w:szCs w:val="24"/>
                              <w:lang w:eastAsia="lt-LT"/>
                            </w:rPr>
                            <w:t>3.10</w:t>
                          </w:r>
                        </w:sdtContent>
                      </w:sdt>
                      <w:r>
                        <w:rPr>
                          <w:color w:val="000000"/>
                          <w:szCs w:val="24"/>
                          <w:lang w:eastAsia="lt-LT"/>
                        </w:rPr>
                        <w:t xml:space="preserve">. </w:t>
                      </w:r>
                      <w:r>
                        <w:rPr>
                          <w:b/>
                          <w:bCs/>
                          <w:color w:val="000000"/>
                          <w:szCs w:val="24"/>
                          <w:lang w:eastAsia="lt-LT"/>
                        </w:rPr>
                        <w:t>Šeimos gydytojo komandos konsiliumas</w:t>
                      </w:r>
                      <w:r>
                        <w:rPr>
                          <w:color w:val="000000"/>
                          <w:szCs w:val="24"/>
                          <w:lang w:eastAsia="lt-LT"/>
                        </w:rPr>
                        <w:t xml:space="preserve"> (toliau – konsiliumas) – ne mažiau kaip trijų šeimos gydytojo komandos narių, iš kurių bent vienas yra gydytojas, pasitarimas, skirtas individualiam paciento sveikatos būklės stebėsenos planui sudaryti, sveikatos būklės pokyčiams pagal kiekvieno paslaugą teikiančio sveikatos priežiūros specialisto kompetenciją įvertinti ir paciento sveikatos stabilizavimo ar pagerinimo priemonėms numatyti.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3.11 pp."/>
                    <w:tag w:val="part_414905bc8c8f4b8389f5b4ff428e086b"/>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14905bc8c8f4b8389f5b4ff428e086b"/>
                          <w:lock w:val="sdtLocked"/>
                          <w:richText/>
                        </w:sdtPr>
                        <w:sdtContent>
                          <w:r>
                            <w:rPr>
                              <w:color w:val="000000"/>
                              <w:szCs w:val="24"/>
                              <w:lang w:eastAsia="lt-LT"/>
                            </w:rPr>
                            <w:t>3.11</w:t>
                          </w:r>
                        </w:sdtContent>
                      </w:sdt>
                      <w:r>
                        <w:rPr>
                          <w:color w:val="000000"/>
                          <w:szCs w:val="24"/>
                          <w:lang w:eastAsia="lt-LT"/>
                        </w:rPr>
                        <w:t xml:space="preserve">. </w:t>
                      </w:r>
                      <w:r>
                        <w:rPr>
                          <w:rFonts w:eastAsia="SimSun"/>
                          <w:b/>
                          <w:bCs/>
                          <w:szCs w:val="24"/>
                        </w:rPr>
                        <w:t>Apylinkės administratorius</w:t>
                      </w:r>
                      <w:r>
                        <w:rPr>
                          <w:rFonts w:eastAsia="SimSun"/>
                          <w:szCs w:val="24"/>
                        </w:rPr>
                        <w:t xml:space="preserve"> – šeimos gydytojo komandos narys, kuris padeda tvarkyti  šeimos gydytojui priskirtos apylinkės pacientų dokumentus, administruoti pacientų srautus, organizuoti ir koordinuoti apylinkės pacientams reikalingų paslaugų teikimą ir registruoja pacientus sveikatos priežiūros paslaugoms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3.12 pp."/>
                    <w:tag w:val="part_82a2e5c808f44f5f9d714c19249d6ea4"/>
                    <w:lock w:val="sdtLocked"/>
                    <w:richText/>
                  </w:sdtPr>
                  <w:sdtContent>
                    <w:p>
                      <w:pPr>
                        <w:ind w:firstLine="851"/>
                        <w:jc w:val="both"/>
                        <w:rPr>
                          <w:szCs w:val="24"/>
                          <w:lang w:eastAsia="lt-LT"/>
                        </w:rPr>
                      </w:pPr>
                      <w:sdt>
                        <w:sdtPr>
                          <w:alias w:val="Numeris"/>
                          <w:tag w:val="nr_82a2e5c808f44f5f9d714c19249d6ea4"/>
                          <w:lock w:val="sdtLocked"/>
                          <w:richText/>
                        </w:sdtPr>
                        <w:sdtContent>
                          <w:r>
                            <w:rPr>
                              <w:szCs w:val="24"/>
                            </w:rPr>
                            <w:t>3.12</w:t>
                          </w:r>
                        </w:sdtContent>
                      </w:sdt>
                      <w:r>
                        <w:rPr>
                          <w:szCs w:val="24"/>
                        </w:rPr>
                        <w:t xml:space="preserve">. </w:t>
                      </w:r>
                      <w:r>
                        <w:rPr>
                          <w:b/>
                          <w:bCs/>
                          <w:szCs w:val="24"/>
                        </w:rPr>
                        <w:t>Medicinos gydytojas</w:t>
                      </w:r>
                      <w:r>
                        <w:rPr>
                          <w:szCs w:val="24"/>
                        </w:rPr>
                        <w:t xml:space="preserve"> – asmuo, teisės aktų nustatyta tvarka įgijęs medicinos gydytojo profesinę kvalifikaciją ir pagal medicinos normą MN 7:2022 „Medicinos gydytojas“, patvirtintą Lietuvos Respublikos sveikatos apsaugos ministro 2022 m. gegužės 9 d. įsakymu Nr. V-930 „Dėl Lietuvos medicinos normos MN 7:2022 „Medicinos gydytojas“ patvirtinimo“, savarankiškai teikiantis skubiąją medicinos pagalbą</w:t>
                      </w:r>
                      <w:r>
                        <w:rPr>
                          <w:b/>
                          <w:bCs/>
                          <w:szCs w:val="24"/>
                        </w:rPr>
                        <w:t xml:space="preserve"> </w:t>
                      </w:r>
                      <w:r>
                        <w:rPr>
                          <w:szCs w:val="24"/>
                        </w:rPr>
                        <w:t>skubiosios medicinos pagalbos kabinete arba, šeimos gydytojui jį pasitelkus, savarankiškai teikiantis PAASP paslaugas pagal medicinos normą.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3.13 pp."/>
                    <w:tag w:val="part_6af82b7cb1b342929e62993c66dd9b96"/>
                    <w:lock w:val="sdtLocked"/>
                    <w:richText/>
                  </w:sdtPr>
                  <w:sdtContent>
                    <w:p>
                      <w:pPr>
                        <w:tabs>
                          <w:tab w:val="num" w:pos="720"/>
                        </w:tabs>
                        <w:ind w:firstLine="851"/>
                        <w:jc w:val="both"/>
                        <w:textAlignment w:val="baseline"/>
                        <w:rPr>
                          <w:szCs w:val="24"/>
                          <w:lang w:eastAsia="lt-LT"/>
                        </w:rPr>
                      </w:pPr>
                      <w:sdt>
                        <w:sdtPr>
                          <w:alias w:val="Numeris"/>
                          <w:tag w:val="nr_6af82b7cb1b342929e62993c66dd9b96"/>
                          <w:lock w:val="sdtLocked"/>
                          <w:richText/>
                        </w:sdtPr>
                        <w:sdtContent>
                          <w:r>
                            <w:rPr>
                              <w:szCs w:val="24"/>
                              <w:lang w:eastAsia="lt-LT"/>
                            </w:rPr>
                            <w:t>3.13</w:t>
                          </w:r>
                        </w:sdtContent>
                      </w:sdt>
                      <w:r>
                        <w:rPr>
                          <w:szCs w:val="24"/>
                          <w:lang w:eastAsia="lt-LT"/>
                        </w:rPr>
                        <w:t>. Kitos Apraše vartojamos sąvokos suprantamos taip, kaip jos yra apibrėžtos Lietuvos Respublikos sveikatos priežiūros įstaigų įstatyme, Ambulatorinių slaugos ir akušerijos ankstyvosios intervencijos paslaugų šeimoms teikimo reikalavimų ir šių paslaugų išlaidų apmokėjimo Privalomojo sveikatos draudimo fondo biudžeto lėšomis tvarkos apraše, patvirtintame Lietuvos Respublikos sveikatos apsaugos ministro 2000 m. gegužės 31 d. įsakymu Nr. 301 „Dėl profilaktinių sveikatos tikrinimų sveikatos priežiūros įstaigose“ (toliau – Ambulatorinių slaugos ir akušerijos ankstyvosios intervencijos paslaugų šeimoms teikimo reikalavimų ir šių paslaugų išlaidų apmokėjimo PSDF biudžeto lėšomis tvarkos aprašas).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3da4a0218e11efbdaea558de59136c">
                        <w:r w:rsidRPr="00532B9F">
                          <w:rPr>
                            <w:rFonts w:ascii="Times New Roman" w:eastAsia="MS Mincho" w:hAnsi="Times New Roman"/>
                            <w:sz w:val="20"/>
                            <w:i/>
                            <w:iCs/>
                            <w:color w:val="0000FF" w:themeColor="hyperlink"/>
                            <w:u w:val="single"/>
                          </w:rPr>
                          <w:t>V-606</w:t>
                        </w:r>
                      </w:fldSimple>
                      <w:r>
                        <w:rPr>
                          <w:rFonts w:ascii="Times New Roman" w:eastAsia="MS Mincho" w:hAnsi="Times New Roman"/>
                          <w:sz w:val="20"/>
                          <w:i/>
                          <w:iCs/>
                        </w:rPr>
                        <w:t>,
2024-06-03,
paskelbta TAR 2024-06-03, i. k. 2024-10082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Content>
            </w:sdt>
          </w:sdtContent>
        </w:sdt>
        <w:sdt>
          <w:sdtPr>
            <w:alias w:val="skyrius"/>
            <w:tag w:val="part_c308d98aa40242c3b272182c65e20e92"/>
            <w:lock w:val="sdtLocked"/>
            <w:richText/>
          </w:sdtPr>
          <w:sdtContent>
            <w:p>
              <w:pPr>
                <w:jc w:val="center"/>
                <w:rPr>
                  <w:b/>
                  <w:szCs w:val="24"/>
                </w:rPr>
              </w:pPr>
              <w:sdt>
                <w:sdtPr>
                  <w:alias w:val="Numeris"/>
                  <w:tag w:val="nr_c308d98aa40242c3b272182c65e20e92"/>
                  <w:lock w:val="sdtLocked"/>
                  <w:richText/>
                </w:sdtPr>
                <w:sdtContent>
                  <w:r>
                    <w:rPr>
                      <w:b/>
                      <w:szCs w:val="24"/>
                    </w:rPr>
                    <w:t>II</w:t>
                  </w:r>
                </w:sdtContent>
              </w:sdt>
              <w:r>
                <w:rPr>
                  <w:b/>
                  <w:szCs w:val="24"/>
                </w:rPr>
                <w:t xml:space="preserve"> SKYRIUS</w:t>
              </w:r>
            </w:p>
            <w:p>
              <w:pPr>
                <w:ind w:firstLine="720"/>
                <w:jc w:val="center"/>
                <w:rPr>
                  <w:b/>
                  <w:szCs w:val="24"/>
                </w:rPr>
              </w:pPr>
              <w:sdt>
                <w:sdtPr>
                  <w:alias w:val="Pavadinimas"/>
                  <w:tag w:val="title_c308d98aa40242c3b272182c65e20e92"/>
                  <w:lock w:val="sdtLocked"/>
                  <w:richText/>
                </w:sdtPr>
                <w:sdtContent>
                  <w:r>
                    <w:rPr>
                      <w:b/>
                      <w:szCs w:val="24"/>
                    </w:rPr>
                    <w:t>PAASP PASLAUGŲ TEIKIMO ORGANIZAVIMO TVARKA</w:t>
                  </w:r>
                </w:sdtContent>
              </w:sdt>
            </w:p>
            <w:p>
              <w:pPr>
                <w:rPr>
                  <w:b/>
                  <w:szCs w:val="24"/>
                </w:rPr>
              </w:pPr>
            </w:p>
            <w:sdt>
              <w:sdtPr>
                <w:alias w:val="4 p."/>
                <w:tag w:val="part_b9bc9bf5cdf0466ca9a7c496de0f7e40"/>
                <w:lock w:val="sdtLocked"/>
                <w:richText/>
              </w:sdtPr>
              <w:sdtContent>
                <w:p>
                  <w:pPr>
                    <w:ind w:firstLine="851"/>
                    <w:jc w:val="both"/>
                    <w:rPr>
                      <w:color w:val="000000"/>
                      <w:szCs w:val="24"/>
                    </w:rPr>
                  </w:pPr>
                  <w:sdt>
                    <w:sdtPr>
                      <w:alias w:val="Numeris"/>
                      <w:tag w:val="nr_b9bc9bf5cdf0466ca9a7c496de0f7e40"/>
                      <w:lock w:val="sdtLocked"/>
                      <w:richText/>
                    </w:sdtPr>
                    <w:sdtContent>
                      <w:r>
                        <w:rPr>
                          <w:color w:val="000000"/>
                          <w:szCs w:val="24"/>
                        </w:rPr>
                        <w:t>4</w:t>
                      </w:r>
                    </w:sdtContent>
                  </w:sdt>
                  <w:r>
                    <w:rPr>
                      <w:color w:val="000000"/>
                      <w:szCs w:val="24"/>
                    </w:rPr>
                    <w:t xml:space="preserve">. </w:t>
                  </w:r>
                  <w:r>
                    <w:rPr>
                      <w:szCs w:val="24"/>
                    </w:rPr>
                    <w:t xml:space="preserve">Už PAASP paslaugų teikimą atsako šeimos gydytojo, </w:t>
                  </w:r>
                  <w:r>
                    <w:rPr>
                      <w:color w:val="000000"/>
                      <w:szCs w:val="24"/>
                    </w:rPr>
                    <w:t>vaikų ligų gydytojo ir vidaus ligų gydytojo</w:t>
                  </w:r>
                  <w:r>
                    <w:rPr>
                      <w:szCs w:val="24"/>
                    </w:rPr>
                    <w:t xml:space="preserve"> komandų paslaugas teikianti PAASP įstaiga, sudariusi sutartį su Valstybine ligonių kasa prie Sveikatos apsaugos ministerijos (toliau – VLK) dėl šių paslaugų išlaidų apmokėjimo iš PSDF biudžeto lėšų. PAASP įstaigos vadovas nustato tvarką, pagal kurią pacientams ir jų atstovams sudaroma galimybė kreiptis į bet kurį šeimos gydytojo ar </w:t>
                  </w:r>
                  <w:r>
                    <w:rPr>
                      <w:color w:val="000000"/>
                      <w:szCs w:val="24"/>
                    </w:rPr>
                    <w:t>vaikų ligų gydytojo, ar vidaus ligų gydytojo</w:t>
                  </w:r>
                  <w:r>
                    <w:rPr>
                      <w:szCs w:val="24"/>
                    </w:rPr>
                    <w:t xml:space="preserve">, prie kurio jie yra prisirašę, komandos narį. Šeimos gydytojo </w:t>
                  </w:r>
                  <w:r>
                    <w:rPr>
                      <w:color w:val="000000"/>
                      <w:szCs w:val="24"/>
                    </w:rPr>
                    <w:t>ar vaikų ligų gydytojo, ar vidaus ligų gydytojo</w:t>
                  </w:r>
                  <w:r>
                    <w:rPr>
                      <w:szCs w:val="24"/>
                    </w:rPr>
                    <w:t xml:space="preserve"> komandos nariai, teikdami PAASP paslaugas, vykdo Aprašo 2 priede nustatytas funkcijas. Vaikų ligų gydytojas ar vidaus ligų gydytojas, atsižvelgdamas į paciento sveikatos būklės vertinimo rezultatus, jo kompetenciją viršijančiais atvejais PAASP įstaigos vadovo nustatyta tvarka rekomenduoja pacientui kreiptis į šeimos gydytoją arba užregistruoja jį pas PAASP paslaugas teikiantį gydytoją chirurgą ar gydytoją akušerį ginekologą pacientui patogiu laiku.</w:t>
                  </w:r>
                </w:p>
                <w:p>
                  <w:pPr>
                    <w:tabs>
                      <w:tab w:val="left" w:pos="1134"/>
                    </w:tabs>
                    <w:ind w:firstLine="851"/>
                    <w:jc w:val="both"/>
                    <w:rPr>
                      <w:rFonts w:eastAsia="Calibri"/>
                      <w:color w:val="000000"/>
                      <w:szCs w:val="24"/>
                      <w:lang w:eastAsia="lt-LT"/>
                    </w:rPr>
                  </w:pPr>
                  <w:r>
                    <w:rPr>
                      <w:rFonts w:eastAsia="Calibri"/>
                      <w:color w:val="000000"/>
                      <w:szCs w:val="24"/>
                      <w:lang w:eastAsia="lt-LT"/>
                    </w:rPr>
                    <w:t>Rekomenduojamas</w:t>
                  </w:r>
                  <w:r>
                    <w:rPr>
                      <w:rFonts w:eastAsia="Calibri"/>
                      <w:b/>
                      <w:bCs/>
                      <w:color w:val="000000"/>
                      <w:szCs w:val="24"/>
                      <w:lang w:eastAsia="lt-LT"/>
                    </w:rPr>
                    <w:t xml:space="preserve"> </w:t>
                  </w:r>
                  <w:r>
                    <w:rPr>
                      <w:rFonts w:eastAsia="Calibri"/>
                      <w:color w:val="000000"/>
                      <w:szCs w:val="24"/>
                      <w:lang w:eastAsia="lt-LT"/>
                    </w:rPr>
                    <w:t xml:space="preserve">šeimos gydytojo arba vidaus ligų gydytojo, arba vaikų ligų gydytojo komandoje dirbančių narių etatų skaičius: </w:t>
                  </w:r>
                </w:p>
                <w:tbl>
                  <w:tblPr>
                    <w:tblW w:w="962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4394"/>
                    <w:gridCol w:w="4530"/>
                  </w:tblGrid>
                  <w:tr>
                    <w:tc>
                      <w:tcPr>
                        <w:tcW w:w="704" w:type="dxa"/>
                        <w:shd w:val="clear" w:color="auto" w:fill="FFFFFF"/>
                        <w:vAlign w:val="center"/>
                      </w:tcPr>
                      <w:p>
                        <w:pPr>
                          <w:tabs>
                            <w:tab w:val="left" w:pos="1134"/>
                          </w:tabs>
                          <w:ind w:left="-142" w:right="-221"/>
                          <w:jc w:val="center"/>
                          <w:rPr>
                            <w:color w:val="000000"/>
                            <w:szCs w:val="24"/>
                            <w:lang w:eastAsia="lt-LT"/>
                          </w:rPr>
                        </w:pPr>
                        <w:r>
                          <w:rPr>
                            <w:color w:val="000000"/>
                            <w:kern w:val="24"/>
                            <w:szCs w:val="24"/>
                          </w:rPr>
                          <w:t>Nr.</w:t>
                        </w:r>
                      </w:p>
                    </w:tc>
                    <w:tc>
                      <w:tcPr>
                        <w:tcW w:w="4394" w:type="dxa"/>
                        <w:shd w:val="clear" w:color="auto" w:fill="FFFFFF"/>
                        <w:vAlign w:val="center"/>
                      </w:tcPr>
                      <w:p>
                        <w:pPr>
                          <w:tabs>
                            <w:tab w:val="left" w:pos="1134"/>
                          </w:tabs>
                          <w:ind w:firstLine="851"/>
                          <w:jc w:val="center"/>
                          <w:rPr>
                            <w:color w:val="000000"/>
                            <w:szCs w:val="24"/>
                            <w:lang w:eastAsia="lt-LT"/>
                          </w:rPr>
                        </w:pPr>
                        <w:r>
                          <w:rPr>
                            <w:color w:val="000000"/>
                            <w:kern w:val="24"/>
                            <w:szCs w:val="24"/>
                          </w:rPr>
                          <w:t>Specialistas</w:t>
                        </w:r>
                      </w:p>
                    </w:tc>
                    <w:tc>
                      <w:tcPr>
                        <w:tcW w:w="4530" w:type="dxa"/>
                        <w:shd w:val="clear" w:color="auto" w:fill="FFFFFF"/>
                        <w:vAlign w:val="center"/>
                      </w:tcPr>
                      <w:p>
                        <w:pPr>
                          <w:tabs>
                            <w:tab w:val="left" w:pos="1134"/>
                          </w:tabs>
                          <w:ind w:firstLine="851"/>
                          <w:jc w:val="center"/>
                          <w:rPr>
                            <w:color w:val="000000"/>
                            <w:szCs w:val="24"/>
                            <w:lang w:eastAsia="lt-LT"/>
                          </w:rPr>
                        </w:pPr>
                        <w:r>
                          <w:rPr>
                            <w:color w:val="000000"/>
                            <w:kern w:val="24"/>
                            <w:szCs w:val="24"/>
                          </w:rPr>
                          <w:t>Etatai</w:t>
                        </w:r>
                      </w:p>
                    </w:tc>
                  </w:tr>
                  <w:tr>
                    <w:tc>
                      <w:tcPr>
                        <w:tcW w:w="704" w:type="dxa"/>
                        <w:shd w:val="clear" w:color="auto" w:fill="FFFFFF"/>
                        <w:vAlign w:val="bottom"/>
                      </w:tcPr>
                      <w:p>
                        <w:pPr>
                          <w:tabs>
                            <w:tab w:val="left" w:pos="1134"/>
                          </w:tabs>
                          <w:ind w:right="-363" w:firstLine="248"/>
                          <w:jc w:val="both"/>
                          <w:rPr>
                            <w:color w:val="000000"/>
                            <w:szCs w:val="24"/>
                            <w:lang w:eastAsia="lt-LT"/>
                          </w:rPr>
                        </w:pPr>
                        <w:r>
                          <w:rPr>
                            <w:color w:val="000000"/>
                            <w:kern w:val="24"/>
                            <w:szCs w:val="24"/>
                          </w:rPr>
                          <w:t>1</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šeimos gydytojas arba vidaus ligų gydytojas, arba vaikų ligų gydytojas</w:t>
                        </w:r>
                      </w:p>
                    </w:tc>
                    <w:tc>
                      <w:tcPr>
                        <w:tcW w:w="4530" w:type="dxa"/>
                        <w:shd w:val="clear" w:color="auto" w:fill="FFFFFF"/>
                        <w:vAlign w:val="bottom"/>
                      </w:tcPr>
                      <w:p>
                        <w:pPr>
                          <w:tabs>
                            <w:tab w:val="left" w:pos="1134"/>
                          </w:tabs>
                          <w:ind w:firstLine="851"/>
                          <w:jc w:val="center"/>
                          <w:rPr>
                            <w:color w:val="000000"/>
                            <w:szCs w:val="24"/>
                            <w:lang w:eastAsia="lt-LT"/>
                          </w:rPr>
                        </w:pPr>
                        <w:r>
                          <w:rPr>
                            <w:color w:val="000000"/>
                            <w:kern w:val="24"/>
                            <w:szCs w:val="24"/>
                          </w:rPr>
                          <w:t>1,00</w:t>
                        </w:r>
                      </w:p>
                    </w:tc>
                  </w:tr>
                  <w:tr>
                    <w:tc>
                      <w:tcPr>
                        <w:tcW w:w="704" w:type="dxa"/>
                        <w:shd w:val="clear" w:color="auto" w:fill="FFFFFF"/>
                        <w:vAlign w:val="bottom"/>
                      </w:tcPr>
                      <w:p>
                        <w:pPr>
                          <w:tabs>
                            <w:tab w:val="left" w:pos="1134"/>
                          </w:tabs>
                          <w:ind w:left="-864" w:firstLine="975"/>
                          <w:jc w:val="center"/>
                          <w:rPr>
                            <w:color w:val="000000"/>
                            <w:szCs w:val="24"/>
                            <w:lang w:eastAsia="lt-LT"/>
                          </w:rPr>
                        </w:pPr>
                        <w:r>
                          <w:rPr>
                            <w:color w:val="000000"/>
                            <w:kern w:val="24"/>
                            <w:szCs w:val="24"/>
                          </w:rPr>
                          <w:t>2</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slaugytojas</w:t>
                        </w:r>
                      </w:p>
                    </w:tc>
                    <w:tc>
                      <w:tcPr>
                        <w:tcW w:w="4530" w:type="dxa"/>
                        <w:shd w:val="clear" w:color="auto" w:fill="FFFFFF"/>
                        <w:vAlign w:val="bottom"/>
                      </w:tcPr>
                      <w:p>
                        <w:pPr>
                          <w:tabs>
                            <w:tab w:val="left" w:pos="1134"/>
                          </w:tabs>
                          <w:ind w:firstLine="851"/>
                          <w:jc w:val="center"/>
                          <w:rPr>
                            <w:color w:val="000000"/>
                            <w:szCs w:val="24"/>
                            <w:lang w:eastAsia="lt-LT"/>
                          </w:rPr>
                        </w:pPr>
                        <w:r>
                          <w:rPr>
                            <w:szCs w:val="24"/>
                          </w:rPr>
                          <w:t>iki 2,0 (ne mažiau kaip 1,5)</w:t>
                        </w:r>
                      </w:p>
                    </w:tc>
                  </w:tr>
                  <w:tr>
                    <w:tc>
                      <w:tcPr>
                        <w:tcW w:w="704" w:type="dxa"/>
                        <w:shd w:val="clear" w:color="auto" w:fill="FFFFFF"/>
                        <w:vAlign w:val="bottom"/>
                      </w:tcPr>
                      <w:p>
                        <w:pPr>
                          <w:tabs>
                            <w:tab w:val="left" w:pos="1134"/>
                          </w:tabs>
                          <w:ind w:left="-851" w:firstLine="975"/>
                          <w:jc w:val="center"/>
                          <w:rPr>
                            <w:color w:val="000000"/>
                            <w:szCs w:val="24"/>
                            <w:lang w:eastAsia="lt-LT"/>
                          </w:rPr>
                        </w:pPr>
                        <w:r>
                          <w:rPr>
                            <w:color w:val="000000"/>
                            <w:kern w:val="24"/>
                            <w:szCs w:val="24"/>
                          </w:rPr>
                          <w:t>3</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atvejo vadybininkas</w:t>
                        </w:r>
                      </w:p>
                    </w:tc>
                    <w:tc>
                      <w:tcPr>
                        <w:tcW w:w="4530" w:type="dxa"/>
                        <w:shd w:val="clear" w:color="auto" w:fill="FFFFFF"/>
                        <w:vAlign w:val="bottom"/>
                      </w:tcPr>
                      <w:p>
                        <w:pPr>
                          <w:tabs>
                            <w:tab w:val="left" w:pos="1134"/>
                          </w:tabs>
                          <w:ind w:firstLine="851"/>
                          <w:jc w:val="center"/>
                          <w:rPr>
                            <w:color w:val="000000"/>
                            <w:szCs w:val="24"/>
                            <w:lang w:eastAsia="lt-LT"/>
                          </w:rPr>
                        </w:pPr>
                        <w:r>
                          <w:rPr>
                            <w:color w:val="000000"/>
                            <w:kern w:val="24"/>
                            <w:szCs w:val="24"/>
                          </w:rPr>
                          <w:t>iki 0,50</w:t>
                        </w:r>
                      </w:p>
                    </w:tc>
                  </w:tr>
                  <w:tr>
                    <w:tc>
                      <w:tcPr>
                        <w:tcW w:w="704" w:type="dxa"/>
                        <w:shd w:val="clear" w:color="auto" w:fill="FFFFFF"/>
                        <w:vAlign w:val="bottom"/>
                      </w:tcPr>
                      <w:p>
                        <w:pPr>
                          <w:tabs>
                            <w:tab w:val="left" w:pos="1134"/>
                          </w:tabs>
                          <w:ind w:left="-851" w:firstLine="975"/>
                          <w:jc w:val="center"/>
                          <w:rPr>
                            <w:color w:val="000000"/>
                            <w:szCs w:val="24"/>
                            <w:lang w:eastAsia="lt-LT"/>
                          </w:rPr>
                        </w:pPr>
                        <w:r>
                          <w:rPr>
                            <w:color w:val="000000"/>
                            <w:kern w:val="24"/>
                            <w:szCs w:val="24"/>
                          </w:rPr>
                          <w:t>4</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socialinis darbuotojas</w:t>
                        </w:r>
                      </w:p>
                    </w:tc>
                    <w:tc>
                      <w:tcPr>
                        <w:tcW w:w="4530" w:type="dxa"/>
                        <w:shd w:val="clear" w:color="auto" w:fill="FFFFFF"/>
                        <w:vAlign w:val="bottom"/>
                      </w:tcPr>
                      <w:p>
                        <w:pPr>
                          <w:tabs>
                            <w:tab w:val="left" w:pos="1134"/>
                          </w:tabs>
                          <w:ind w:firstLine="851"/>
                          <w:jc w:val="center"/>
                          <w:rPr>
                            <w:color w:val="000000"/>
                            <w:szCs w:val="24"/>
                            <w:lang w:eastAsia="lt-LT"/>
                          </w:rPr>
                        </w:pPr>
                        <w:r>
                          <w:rPr>
                            <w:color w:val="000000"/>
                            <w:kern w:val="24"/>
                            <w:szCs w:val="24"/>
                          </w:rPr>
                          <w:t>iki 0,20</w:t>
                        </w:r>
                      </w:p>
                    </w:tc>
                  </w:tr>
                  <w:tr>
                    <w:tc>
                      <w:tcPr>
                        <w:tcW w:w="704" w:type="dxa"/>
                        <w:shd w:val="clear" w:color="auto" w:fill="FFFFFF"/>
                        <w:vAlign w:val="bottom"/>
                      </w:tcPr>
                      <w:p>
                        <w:pPr>
                          <w:tabs>
                            <w:tab w:val="left" w:pos="1134"/>
                          </w:tabs>
                          <w:ind w:left="-889" w:firstLine="1037"/>
                          <w:jc w:val="center"/>
                          <w:rPr>
                            <w:color w:val="000000"/>
                            <w:szCs w:val="24"/>
                            <w:lang w:eastAsia="lt-LT"/>
                          </w:rPr>
                        </w:pPr>
                        <w:r>
                          <w:rPr>
                            <w:color w:val="000000"/>
                            <w:kern w:val="24"/>
                            <w:szCs w:val="24"/>
                          </w:rPr>
                          <w:t>5</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akušeris</w:t>
                        </w:r>
                      </w:p>
                    </w:tc>
                    <w:tc>
                      <w:tcPr>
                        <w:tcW w:w="4530" w:type="dxa"/>
                        <w:shd w:val="clear" w:color="auto" w:fill="FFFFFF"/>
                        <w:vAlign w:val="bottom"/>
                      </w:tcPr>
                      <w:p>
                        <w:pPr>
                          <w:tabs>
                            <w:tab w:val="left" w:pos="1134"/>
                          </w:tabs>
                          <w:ind w:firstLine="851"/>
                          <w:jc w:val="center"/>
                          <w:rPr>
                            <w:color w:val="000000"/>
                            <w:szCs w:val="24"/>
                            <w:lang w:eastAsia="lt-LT"/>
                          </w:rPr>
                        </w:pPr>
                        <w:r>
                          <w:rPr>
                            <w:color w:val="000000"/>
                            <w:kern w:val="24"/>
                            <w:szCs w:val="24"/>
                          </w:rPr>
                          <w:t>iki 0,20</w:t>
                        </w:r>
                      </w:p>
                    </w:tc>
                  </w:tr>
                  <w:tr>
                    <w:tc>
                      <w:tcPr>
                        <w:tcW w:w="704" w:type="dxa"/>
                        <w:shd w:val="clear" w:color="auto" w:fill="FFFFFF"/>
                        <w:vAlign w:val="bottom"/>
                      </w:tcPr>
                      <w:p>
                        <w:pPr>
                          <w:tabs>
                            <w:tab w:val="left" w:pos="1134"/>
                          </w:tabs>
                          <w:ind w:left="-284" w:right="-79" w:firstLine="532"/>
                          <w:rPr>
                            <w:color w:val="000000"/>
                            <w:szCs w:val="24"/>
                            <w:lang w:eastAsia="lt-LT"/>
                          </w:rPr>
                        </w:pPr>
                        <w:r>
                          <w:rPr>
                            <w:color w:val="000000"/>
                            <w:kern w:val="24"/>
                            <w:szCs w:val="24"/>
                          </w:rPr>
                          <w:t>6</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kineziterapeutas</w:t>
                        </w:r>
                      </w:p>
                    </w:tc>
                    <w:tc>
                      <w:tcPr>
                        <w:tcW w:w="4530" w:type="dxa"/>
                        <w:shd w:val="clear" w:color="auto" w:fill="FFFFFF"/>
                        <w:vAlign w:val="bottom"/>
                      </w:tcPr>
                      <w:p>
                        <w:pPr>
                          <w:tabs>
                            <w:tab w:val="left" w:pos="1134"/>
                          </w:tabs>
                          <w:ind w:firstLine="851"/>
                          <w:jc w:val="center"/>
                          <w:rPr>
                            <w:color w:val="000000"/>
                            <w:szCs w:val="24"/>
                            <w:lang w:eastAsia="lt-LT"/>
                          </w:rPr>
                        </w:pPr>
                        <w:r>
                          <w:rPr>
                            <w:color w:val="000000"/>
                            <w:kern w:val="24"/>
                            <w:szCs w:val="24"/>
                          </w:rPr>
                          <w:t>iki 0,20</w:t>
                        </w:r>
                      </w:p>
                    </w:tc>
                  </w:tr>
                  <w:tr>
                    <w:trPr>
                      <w:trHeight w:val="70"/>
                    </w:trPr>
                    <w:tc>
                      <w:tcPr>
                        <w:tcW w:w="704" w:type="dxa"/>
                        <w:shd w:val="clear" w:color="auto" w:fill="FFFFFF"/>
                        <w:vAlign w:val="bottom"/>
                      </w:tcPr>
                      <w:p>
                        <w:pPr>
                          <w:tabs>
                            <w:tab w:val="left" w:pos="1134"/>
                          </w:tabs>
                          <w:ind w:left="-1415" w:right="-221" w:firstLine="1273"/>
                          <w:jc w:val="center"/>
                          <w:rPr>
                            <w:color w:val="000000"/>
                            <w:szCs w:val="24"/>
                            <w:lang w:eastAsia="lt-LT"/>
                          </w:rPr>
                        </w:pPr>
                        <w:r>
                          <w:rPr>
                            <w:color w:val="000000"/>
                            <w:kern w:val="24"/>
                            <w:szCs w:val="24"/>
                          </w:rPr>
                          <w:t>7</w:t>
                        </w:r>
                      </w:p>
                    </w:tc>
                    <w:tc>
                      <w:tcPr>
                        <w:tcW w:w="4394" w:type="dxa"/>
                        <w:shd w:val="clear" w:color="auto" w:fill="FFFFFF"/>
                        <w:vAlign w:val="bottom"/>
                      </w:tcPr>
                      <w:p>
                        <w:pPr>
                          <w:tabs>
                            <w:tab w:val="left" w:pos="1134"/>
                          </w:tabs>
                          <w:ind w:firstLine="851"/>
                          <w:jc w:val="both"/>
                          <w:rPr>
                            <w:color w:val="000000"/>
                            <w:szCs w:val="24"/>
                            <w:lang w:eastAsia="lt-LT"/>
                          </w:rPr>
                        </w:pPr>
                        <w:r>
                          <w:rPr>
                            <w:color w:val="000000"/>
                            <w:kern w:val="24"/>
                            <w:szCs w:val="24"/>
                          </w:rPr>
                          <w:t>gyvensenos medicinos specialistas</w:t>
                        </w:r>
                      </w:p>
                    </w:tc>
                    <w:tc>
                      <w:tcPr>
                        <w:tcW w:w="4530" w:type="dxa"/>
                        <w:shd w:val="clear" w:color="auto" w:fill="FFFFFF"/>
                        <w:vAlign w:val="bottom"/>
                      </w:tcPr>
                      <w:p>
                        <w:pPr>
                          <w:tabs>
                            <w:tab w:val="left" w:pos="1134"/>
                          </w:tabs>
                          <w:ind w:firstLine="851"/>
                          <w:jc w:val="center"/>
                          <w:rPr>
                            <w:color w:val="000000"/>
                            <w:szCs w:val="24"/>
                            <w:lang w:eastAsia="lt-LT"/>
                          </w:rPr>
                        </w:pPr>
                        <w:r>
                          <w:rPr>
                            <w:color w:val="000000"/>
                            <w:kern w:val="24"/>
                            <w:szCs w:val="24"/>
                          </w:rPr>
                          <w:t>iki 0,20</w:t>
                        </w:r>
                      </w:p>
                    </w:tc>
                  </w:tr>
                  <w:tr>
                    <w:trPr>
                      <w:trHeight w:val="70"/>
                    </w:trPr>
                    <w:tc>
                      <w:tcPr>
                        <w:tcW w:w="704" w:type="dxa"/>
                        <w:shd w:val="clear" w:color="auto" w:fill="FFFFFF"/>
                        <w:vAlign w:val="bottom"/>
                      </w:tcPr>
                      <w:p>
                        <w:pPr>
                          <w:tabs>
                            <w:tab w:val="left" w:pos="1134"/>
                          </w:tabs>
                          <w:ind w:left="-142" w:right="-221"/>
                          <w:jc w:val="center"/>
                          <w:rPr>
                            <w:color w:val="000000"/>
                            <w:kern w:val="24"/>
                            <w:szCs w:val="24"/>
                          </w:rPr>
                        </w:pPr>
                        <w:r>
                          <w:rPr>
                            <w:color w:val="000000"/>
                            <w:kern w:val="24"/>
                            <w:szCs w:val="24"/>
                          </w:rPr>
                          <w:t>8</w:t>
                        </w:r>
                      </w:p>
                    </w:tc>
                    <w:tc>
                      <w:tcPr>
                        <w:tcW w:w="4394" w:type="dxa"/>
                        <w:shd w:val="clear" w:color="auto" w:fill="FFFFFF"/>
                        <w:vAlign w:val="bottom"/>
                      </w:tcPr>
                      <w:p>
                        <w:pPr>
                          <w:tabs>
                            <w:tab w:val="left" w:pos="1134"/>
                          </w:tabs>
                          <w:ind w:firstLine="851"/>
                          <w:jc w:val="both"/>
                          <w:rPr>
                            <w:color w:val="000000"/>
                            <w:kern w:val="24"/>
                            <w:szCs w:val="24"/>
                          </w:rPr>
                        </w:pPr>
                        <w:r>
                          <w:rPr>
                            <w:color w:val="000000"/>
                            <w:kern w:val="24"/>
                            <w:szCs w:val="24"/>
                          </w:rPr>
                          <w:t>apylinkės administratorius</w:t>
                        </w:r>
                      </w:p>
                    </w:tc>
                    <w:tc>
                      <w:tcPr>
                        <w:tcW w:w="4530" w:type="dxa"/>
                        <w:shd w:val="clear" w:color="auto" w:fill="FFFFFF"/>
                        <w:vAlign w:val="bottom"/>
                      </w:tcPr>
                      <w:p>
                        <w:pPr>
                          <w:tabs>
                            <w:tab w:val="left" w:pos="1134"/>
                          </w:tabs>
                          <w:ind w:firstLine="851"/>
                          <w:jc w:val="center"/>
                          <w:rPr>
                            <w:color w:val="000000"/>
                            <w:kern w:val="24"/>
                            <w:szCs w:val="24"/>
                          </w:rPr>
                        </w:pPr>
                        <w:r>
                          <w:rPr>
                            <w:color w:val="000000"/>
                            <w:kern w:val="24"/>
                            <w:szCs w:val="24"/>
                          </w:rPr>
                          <w:t>iki 0,50</w:t>
                        </w:r>
                      </w:p>
                    </w:tc>
                  </w:tr>
                </w:tbl>
                <w:p>
                  <w:pP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2967635fc11f08fdabd4950271e2c">
                    <w:r w:rsidRPr="00532B9F">
                      <w:rPr>
                        <w:rFonts w:ascii="Times New Roman" w:eastAsia="MS Mincho" w:hAnsi="Times New Roman"/>
                        <w:sz w:val="20"/>
                        <w:i/>
                        <w:iCs/>
                        <w:color w:val="0000FF" w:themeColor="hyperlink"/>
                        <w:u w:val="single"/>
                      </w:rPr>
                      <w:t>V-487</w:t>
                    </w:r>
                  </w:fldSimple>
                  <w:r>
                    <w:rPr>
                      <w:rFonts w:ascii="Times New Roman" w:eastAsia="MS Mincho" w:hAnsi="Times New Roman"/>
                      <w:sz w:val="20"/>
                      <w:i/>
                      <w:iCs/>
                    </w:rPr>
                    <w:t>,
2025-05-21,
paskelbta TAR 2025-05-21, i. k. 2025-08959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4-1 p."/>
                <w:tag w:val="part_0e119390354743ce93cebce1729031aa"/>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0e119390354743ce93cebce1729031aa"/>
                      <w:lock w:val="sdtLocked"/>
                      <w:richText/>
                    </w:sdtPr>
                    <w:sdtContent>
                      <w:r>
                        <w:rPr>
                          <w:color w:val="000000"/>
                          <w:szCs w:val="24"/>
                        </w:rPr>
                        <w:t>4</w:t>
                      </w:r>
                      <w:r>
                        <w:rPr>
                          <w:color w:val="000000"/>
                          <w:szCs w:val="24"/>
                          <w:vertAlign w:val="superscript"/>
                        </w:rPr>
                        <w:t>1</w:t>
                      </w:r>
                    </w:sdtContent>
                  </w:sdt>
                  <w:r>
                    <w:rPr>
                      <w:color w:val="000000"/>
                      <w:szCs w:val="24"/>
                    </w:rPr>
                    <w:t>. Šeimos gydytojas  prireikus gali pasitelkti</w:t>
                  </w:r>
                  <w:r>
                    <w:rPr>
                      <w:b/>
                      <w:bCs/>
                      <w:color w:val="000000"/>
                      <w:szCs w:val="24"/>
                    </w:rPr>
                    <w:t xml:space="preserve"> </w:t>
                  </w:r>
                  <w:r>
                    <w:rPr>
                      <w:color w:val="000000"/>
                      <w:szCs w:val="24"/>
                    </w:rPr>
                    <w:t>vaikų ligų gydytoją,</w:t>
                  </w:r>
                  <w:r>
                    <w:rPr>
                      <w:b/>
                      <w:bCs/>
                      <w:color w:val="000000"/>
                      <w:szCs w:val="24"/>
                    </w:rPr>
                    <w:t xml:space="preserve"> </w:t>
                  </w:r>
                  <w:r>
                    <w:rPr>
                      <w:color w:val="000000"/>
                      <w:szCs w:val="24"/>
                    </w:rPr>
                    <w:t>gydytoją akušerį ginekologą,</w:t>
                  </w:r>
                  <w:r>
                    <w:rPr>
                      <w:b/>
                      <w:bCs/>
                      <w:color w:val="000000"/>
                      <w:szCs w:val="24"/>
                    </w:rPr>
                    <w:t xml:space="preserve"> </w:t>
                  </w:r>
                  <w:r>
                    <w:rPr>
                      <w:color w:val="000000"/>
                      <w:szCs w:val="24"/>
                    </w:rPr>
                    <w:t>gydytoją chirurgą arba vaikų chirurgą, arba abdominalinės chirurgijos gydytoją,</w:t>
                  </w:r>
                  <w:r>
                    <w:rPr>
                      <w:b/>
                      <w:bCs/>
                      <w:color w:val="000000"/>
                      <w:szCs w:val="24"/>
                    </w:rPr>
                    <w:t xml:space="preserve"> </w:t>
                  </w:r>
                  <w:r>
                    <w:rPr>
                      <w:color w:val="000000"/>
                      <w:szCs w:val="24"/>
                    </w:rPr>
                    <w:t>kurie sveikatos priežiūros paslaugas teiktų pagal savo medicinos normas, neviršydami šeimos gydytojo kompetencijos.</w:t>
                  </w:r>
                  <w:r>
                    <w:t xml:space="preserve"> </w:t>
                  </w:r>
                </w:p>
              </w:sdtContent>
            </w:sdt>
            <w:sdt>
              <w:sdtPr>
                <w:alias w:val="4-2 p."/>
                <w:tag w:val="part_6138dd9ecded476994e01a504bdbab5e"/>
                <w:lock w:val="sdtLocked"/>
                <w:richText/>
              </w:sdtPr>
              <w:sdtContent>
                <w:p>
                  <w:pPr>
                    <w:ind w:firstLine="851"/>
                    <w:jc w:val="both"/>
                  </w:pPr>
                  <w:sdt>
                    <w:sdtPr>
                      <w:alias w:val="Numeris"/>
                      <w:tag w:val="nr_6138dd9ecded476994e01a504bdbab5e"/>
                      <w:lock w:val="sdtLocked"/>
                      <w:richText/>
                    </w:sdtPr>
                    <w:sdtContent>
                      <w:r>
                        <w:rPr>
                          <w:color w:val="000000"/>
                          <w:szCs w:val="24"/>
                        </w:rPr>
                        <w:t>4</w:t>
                      </w:r>
                      <w:r>
                        <w:rPr>
                          <w:color w:val="000000"/>
                          <w:szCs w:val="24"/>
                          <w:vertAlign w:val="superscript"/>
                        </w:rPr>
                        <w:t>2</w:t>
                      </w:r>
                    </w:sdtContent>
                  </w:sdt>
                  <w:r>
                    <w:rPr>
                      <w:color w:val="000000"/>
                      <w:szCs w:val="24"/>
                    </w:rPr>
                    <w:t>.</w:t>
                  </w:r>
                  <w:r>
                    <w:rPr>
                      <w:color w:val="000000"/>
                      <w:szCs w:val="24"/>
                      <w:vertAlign w:val="superscript"/>
                    </w:rPr>
                    <w:t xml:space="preserve"> </w:t>
                  </w:r>
                  <w:r>
                    <w:rPr>
                      <w:color w:val="000000"/>
                      <w:szCs w:val="24"/>
                    </w:rPr>
                    <w:t xml:space="preserve"> Šeimos gydytojas prireikus gali pasitelkti medicinos gydytoją, kuris </w:t>
                  </w:r>
                  <w:r>
                    <w:rPr>
                      <w:szCs w:val="24"/>
                    </w:rPr>
                    <w:t xml:space="preserve">savarankiškai teiktų nustatytas PAASP paslaugas pagal medicinos normą. Medicinos gydytojas, atsižvelgdamas į paciento sveikatos būklės vertinimo rezultatus, jo kompetenciją viršijančiais atvejais rekomenduoja pacientui kreiptis į šeimos gydytoją arba užregistruoja jį pas šeimos gydytoją pacientui patogiu laiku.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5 p."/>
                <w:tag w:val="part_fd1fdc59d93d4aa4a28a5897752dbaa2"/>
                <w:lock w:val="sdtLocked"/>
                <w:richText/>
              </w:sdtPr>
              <w:sdtContent>
                <w:p>
                  <w:pPr>
                    <w:tabs>
                      <w:tab w:val="left" w:pos="993"/>
                      <w:tab w:val="left" w:pos="1134"/>
                      <w:tab w:val="left" w:pos="1418"/>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fd1fdc59d93d4aa4a28a5897752dbaa2"/>
                      <w:lock w:val="sdtLocked"/>
                      <w:richText/>
                    </w:sdtPr>
                    <w:sdtContent>
                      <w:r>
                        <w:rPr>
                          <w:color w:val="000000"/>
                          <w:szCs w:val="24"/>
                        </w:rPr>
                        <w:t>5</w:t>
                      </w:r>
                    </w:sdtContent>
                  </w:sdt>
                  <w:r>
                    <w:rPr>
                      <w:color w:val="000000"/>
                      <w:szCs w:val="24"/>
                    </w:rPr>
                    <w:t>.</w:t>
                    <w:tab/>
                  </w:r>
                  <w:r>
                    <w:rPr>
                      <w:color w:val="000000"/>
                      <w:szCs w:val="24"/>
                      <w:lang w:eastAsia="lt-LT"/>
                    </w:rPr>
                    <w:t>PAASP paslaugos mokslo tikslais gali būti teikiamos ne tik ambulatorines paslaugas teikiančiose įstaigose. PAASP paslaugų teikimas pacientų namuose organizuojamas Lietuvos Respublikos sveikatos apsaugos ministro nustatyta tvarka.</w:t>
                  </w:r>
                  <w:r>
                    <w:rPr>
                      <w:szCs w:val="24"/>
                    </w:rPr>
                    <w:t xml:space="preserve"> </w:t>
                  </w:r>
                </w:p>
              </w:sdtContent>
            </w:sdt>
            <w:sdt>
              <w:sdtPr>
                <w:alias w:val="6 p."/>
                <w:tag w:val="part_c25d1d2851a94febbcec7e193ccf2e15"/>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2018-04-21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ec620447e11e8ad2f97b2a095557a">
                    <w:r w:rsidRPr="00532B9F">
                      <w:rPr>
                        <w:rFonts w:ascii="Times New Roman" w:eastAsia="MS Mincho" w:hAnsi="Times New Roman"/>
                        <w:sz w:val="20"/>
                        <w:i/>
                        <w:iCs/>
                        <w:color w:val="0000FF" w:themeColor="hyperlink"/>
                        <w:u w:val="single"/>
                      </w:rPr>
                      <w:t>V-468</w:t>
                    </w:r>
                  </w:fldSimple>
                  <w:r>
                    <w:rPr>
                      <w:rFonts w:ascii="Times New Roman" w:eastAsia="MS Mincho" w:hAnsi="Times New Roman"/>
                      <w:sz w:val="20"/>
                      <w:i/>
                      <w:iCs/>
                    </w:rPr>
                    <w:t>,
2018-04-19,
paskelbta TAR 2018-04-20, i. k. 2018-06353        </w:t>
                  </w:r>
                </w:p>
                <w:p/>
              </w:sdtContent>
            </w:sdt>
            <w:sdt>
              <w:sdtPr>
                <w:alias w:val="7 p."/>
                <w:tag w:val="part_6fecfcfa964a427488393ce54b66da86"/>
                <w:lock w:val="sdtLocked"/>
                <w:richText/>
              </w:sdtPr>
              <w:sdtContent>
                <w:p>
                  <w:pPr>
                    <w:ind w:firstLine="709"/>
                    <w:jc w:val="both"/>
                    <w:rPr>
                      <w:bCs/>
                      <w:color w:val="000000"/>
                      <w:szCs w:val="24"/>
                      <w:lang w:eastAsia="lt-LT"/>
                    </w:rPr>
                  </w:pPr>
                  <w:sdt>
                    <w:sdtPr>
                      <w:alias w:val="Numeris"/>
                      <w:tag w:val="nr_6fecfcfa964a427488393ce54b66da86"/>
                      <w:lock w:val="sdtLocked"/>
                      <w:richText/>
                    </w:sdtPr>
                    <w:sdtContent>
                      <w:r>
                        <w:rPr>
                          <w:bCs/>
                          <w:color w:val="000000"/>
                          <w:szCs w:val="24"/>
                          <w:lang w:eastAsia="lt-LT"/>
                        </w:rPr>
                        <w:t>7</w:t>
                      </w:r>
                    </w:sdtContent>
                  </w:sdt>
                  <w:r>
                    <w:rPr>
                      <w:bCs/>
                      <w:color w:val="000000"/>
                      <w:szCs w:val="24"/>
                      <w:lang w:eastAsia="lt-LT"/>
                    </w:rPr>
                    <w:t>. Pirminės ambulatorinės odontologinės asmens sveikatos priežiūros paslaugas ir pirminės ambulatorinės psichikos sveikatos priežiūros paslaugas teikiantys sveikatos priežiūros specialistai bei kiti specialistai negali viršyti maksimalaus jų aptarnaujamų prirašytųjų gyventojų skaičiaus:</w:t>
                  </w:r>
                </w:p>
                <w:p>
                  <w:pPr>
                    <w:ind w:firstLine="567"/>
                    <w:jc w:val="both"/>
                    <w:rPr>
                      <w:bCs/>
                      <w:color w:val="000000"/>
                      <w:szCs w:val="24"/>
                      <w:lang w:eastAsia="lt-LT"/>
                    </w:rPr>
                  </w:pPr>
                </w:p>
                <w:tbl>
                  <w:tblPr>
                    <w:tblW w:w="9618" w:type="dxa"/>
                    <w:tblCellMar>
                      <w:left w:w="0" w:type="dxa"/>
                      <w:right w:w="0" w:type="dxa"/>
                    </w:tblCellMar>
                    <w:tblLook w:val="04A0" w:firstRow="1" w:lastRow="0" w:firstColumn="1" w:lastColumn="0" w:noHBand="0" w:noVBand="1"/>
                  </w:tblPr>
                  <w:tblGrid>
                    <w:gridCol w:w="393"/>
                    <w:gridCol w:w="3337"/>
                    <w:gridCol w:w="5790"/>
                    <w:gridCol w:w="98"/>
                  </w:tblGrid>
                  <w:tr>
                    <w:trPr>
                      <w:trHeight w:val="127"/>
                    </w:trPr>
                    <w:tc>
                      <w:tcPr>
                        <w:tcW w:w="204" w:type="pct"/>
                        <w:tcBorders>
                          <w:top w:val="single" w:sz="8" w:space="0" w:color="auto"/>
                          <w:left w:val="single" w:sz="8" w:space="0" w:color="auto"/>
                          <w:bottom w:val="single" w:sz="8" w:space="0" w:color="auto"/>
                          <w:right w:val="single" w:sz="8" w:space="0" w:color="auto"/>
                        </w:tcBorders>
                        <w:hideMark/>
                      </w:tcPr>
                      <w:p>
                        <w:pPr>
                          <w:ind w:firstLine="62"/>
                          <w:rPr>
                            <w:bCs/>
                            <w:szCs w:val="24"/>
                            <w:lang w:eastAsia="lt-LT"/>
                          </w:rPr>
                        </w:pPr>
                      </w:p>
                      <w:p>
                        <w:pPr>
                          <w:rPr>
                            <w:bCs/>
                            <w:szCs w:val="24"/>
                            <w:lang w:eastAsia="lt-LT"/>
                          </w:rPr>
                        </w:pPr>
                        <w:r>
                          <w:rPr>
                            <w:bCs/>
                            <w:color w:val="000000"/>
                            <w:szCs w:val="24"/>
                            <w:lang w:eastAsia="lt-LT"/>
                          </w:rPr>
                          <w:t>Eil. Nr.</w:t>
                        </w:r>
                      </w:p>
                    </w:tc>
                    <w:tc>
                      <w:tcPr>
                        <w:tcW w:w="1735" w:type="pct"/>
                        <w:tcBorders>
                          <w:top w:val="single" w:sz="8" w:space="0" w:color="auto"/>
                          <w:left w:val="nil"/>
                          <w:bottom w:val="single" w:sz="8" w:space="0" w:color="auto"/>
                          <w:right w:val="single" w:sz="8" w:space="0" w:color="auto"/>
                        </w:tcBorders>
                        <w:hideMark/>
                      </w:tcPr>
                      <w:p>
                        <w:pPr>
                          <w:ind w:firstLine="62"/>
                          <w:rPr>
                            <w:bCs/>
                            <w:szCs w:val="24"/>
                            <w:lang w:eastAsia="lt-LT"/>
                          </w:rPr>
                        </w:pPr>
                      </w:p>
                      <w:p>
                        <w:pPr>
                          <w:jc w:val="center"/>
                          <w:rPr>
                            <w:bCs/>
                            <w:szCs w:val="24"/>
                            <w:lang w:eastAsia="lt-LT"/>
                          </w:rPr>
                        </w:pPr>
                        <w:r>
                          <w:rPr>
                            <w:bCs/>
                            <w:color w:val="000000"/>
                            <w:szCs w:val="24"/>
                            <w:lang w:eastAsia="lt-LT"/>
                          </w:rPr>
                          <w:t xml:space="preserve">Sveikatos priežiūros specialistai ir kiti specialistai </w:t>
                        </w:r>
                      </w:p>
                    </w:tc>
                    <w:tc>
                      <w:tcPr>
                        <w:tcW w:w="3010" w:type="pct"/>
                        <w:tcBorders>
                          <w:top w:val="single" w:sz="8" w:space="0" w:color="auto"/>
                          <w:left w:val="nil"/>
                          <w:bottom w:val="single" w:sz="8" w:space="0" w:color="auto"/>
                          <w:right w:val="single" w:sz="8" w:space="0" w:color="auto"/>
                        </w:tcBorders>
                        <w:hideMark/>
                      </w:tcPr>
                      <w:p>
                        <w:pPr>
                          <w:ind w:firstLine="62"/>
                          <w:rPr>
                            <w:bCs/>
                            <w:szCs w:val="24"/>
                            <w:lang w:eastAsia="lt-LT"/>
                          </w:rPr>
                        </w:pPr>
                      </w:p>
                      <w:p>
                        <w:pPr>
                          <w:jc w:val="center"/>
                          <w:rPr>
                            <w:bCs/>
                            <w:szCs w:val="24"/>
                            <w:lang w:eastAsia="lt-LT"/>
                          </w:rPr>
                        </w:pPr>
                        <w:r>
                          <w:rPr>
                            <w:bCs/>
                            <w:color w:val="000000"/>
                            <w:szCs w:val="24"/>
                            <w:lang w:eastAsia="lt-LT"/>
                          </w:rPr>
                          <w:t>Maksimalus prirašytųjų gyventojų skaičius (vieno etato darbo krūviui)</w:t>
                        </w:r>
                      </w:p>
                    </w:tc>
                    <w:tc>
                      <w:tcPr>
                        <w:tcW w:w="51" w:type="pct"/>
                        <w:tcBorders>
                          <w:top w:val="nil"/>
                          <w:left w:val="nil"/>
                          <w:bottom w:val="nil"/>
                          <w:right w:val="nil"/>
                        </w:tcBorders>
                        <w:hideMark/>
                      </w:tcPr>
                      <w:p>
                        <w:pPr>
                          <w:ind w:firstLine="62"/>
                          <w:rPr>
                            <w:bCs/>
                            <w:szCs w:val="24"/>
                            <w:lang w:eastAsia="lt-LT"/>
                          </w:rPr>
                        </w:pPr>
                      </w:p>
                      <w:p>
                        <w:pPr>
                          <w:ind w:firstLine="62"/>
                          <w:rPr>
                            <w:bCs/>
                            <w:szCs w:val="24"/>
                            <w:lang w:eastAsia="lt-LT"/>
                          </w:rPr>
                        </w:pPr>
                      </w:p>
                    </w:tc>
                  </w:tr>
                  <w:tr>
                    <w:tc>
                      <w:tcPr>
                        <w:tcW w:w="204" w:type="pct"/>
                        <w:tcBorders>
                          <w:top w:val="nil"/>
                          <w:left w:val="single" w:sz="8" w:space="0" w:color="auto"/>
                          <w:bottom w:val="single" w:sz="8" w:space="0" w:color="auto"/>
                          <w:right w:val="single" w:sz="8" w:space="0" w:color="auto"/>
                        </w:tcBorders>
                        <w:hideMark/>
                      </w:tcPr>
                      <w:p>
                        <w:pPr>
                          <w:ind w:firstLine="62"/>
                          <w:rPr>
                            <w:szCs w:val="24"/>
                            <w:lang w:eastAsia="lt-LT"/>
                          </w:rPr>
                        </w:pPr>
                        <w:r>
                          <w:rPr>
                            <w:color w:val="000000"/>
                            <w:szCs w:val="24"/>
                            <w:lang w:eastAsia="lt-LT"/>
                          </w:rPr>
                          <w:t>1.</w:t>
                        </w:r>
                      </w:p>
                    </w:tc>
                    <w:tc>
                      <w:tcPr>
                        <w:tcW w:w="1735" w:type="pct"/>
                        <w:tcBorders>
                          <w:top w:val="nil"/>
                          <w:left w:val="nil"/>
                          <w:bottom w:val="single" w:sz="8" w:space="0" w:color="auto"/>
                          <w:right w:val="single" w:sz="8" w:space="0" w:color="auto"/>
                        </w:tcBorders>
                        <w:hideMark/>
                      </w:tcPr>
                      <w:p>
                        <w:pPr>
                          <w:ind w:firstLine="62"/>
                          <w:rPr>
                            <w:szCs w:val="24"/>
                            <w:lang w:eastAsia="lt-LT"/>
                          </w:rPr>
                        </w:pPr>
                        <w:r>
                          <w:rPr>
                            <w:color w:val="000000"/>
                            <w:szCs w:val="24"/>
                            <w:lang w:eastAsia="lt-LT"/>
                          </w:rPr>
                          <w:t>Gydytojas odontologas</w:t>
                        </w:r>
                      </w:p>
                    </w:tc>
                    <w:tc>
                      <w:tcPr>
                        <w:tcW w:w="3010" w:type="pct"/>
                        <w:tcBorders>
                          <w:top w:val="nil"/>
                          <w:left w:val="nil"/>
                          <w:bottom w:val="single" w:sz="8" w:space="0" w:color="auto"/>
                          <w:right w:val="single" w:sz="8" w:space="0" w:color="auto"/>
                        </w:tcBorders>
                        <w:hideMark/>
                      </w:tcPr>
                      <w:p>
                        <w:pPr>
                          <w:jc w:val="center"/>
                          <w:rPr>
                            <w:bCs/>
                            <w:szCs w:val="24"/>
                            <w:lang w:eastAsia="lt-LT"/>
                          </w:rPr>
                        </w:pPr>
                        <w:r>
                          <w:rPr>
                            <w:bCs/>
                            <w:color w:val="000000"/>
                            <w:szCs w:val="24"/>
                            <w:lang w:eastAsia="lt-LT"/>
                          </w:rPr>
                          <w:t>4 500</w:t>
                        </w:r>
                      </w:p>
                    </w:tc>
                    <w:tc>
                      <w:tcPr>
                        <w:tcW w:w="51" w:type="pct"/>
                        <w:tcBorders>
                          <w:top w:val="nil"/>
                          <w:left w:val="nil"/>
                          <w:bottom w:val="nil"/>
                          <w:right w:val="nil"/>
                        </w:tcBorders>
                        <w:hideMark/>
                      </w:tcPr>
                      <w:p>
                        <w:pPr>
                          <w:ind w:firstLine="62"/>
                          <w:rPr>
                            <w:bCs/>
                            <w:szCs w:val="24"/>
                            <w:lang w:eastAsia="lt-LT"/>
                          </w:rPr>
                        </w:pPr>
                      </w:p>
                      <w:p>
                        <w:pPr>
                          <w:ind w:firstLine="62"/>
                          <w:jc w:val="center"/>
                          <w:rPr>
                            <w:bCs/>
                            <w:szCs w:val="24"/>
                            <w:lang w:eastAsia="lt-LT"/>
                          </w:rPr>
                        </w:pPr>
                      </w:p>
                    </w:tc>
                  </w:tr>
                  <w:tr>
                    <w:tc>
                      <w:tcPr>
                        <w:tcW w:w="204" w:type="pct"/>
                        <w:tcBorders>
                          <w:top w:val="nil"/>
                          <w:left w:val="single" w:sz="8" w:space="0" w:color="auto"/>
                          <w:bottom w:val="single" w:sz="8" w:space="0" w:color="auto"/>
                          <w:right w:val="single" w:sz="8" w:space="0" w:color="auto"/>
                        </w:tcBorders>
                        <w:hideMark/>
                      </w:tcPr>
                      <w:p>
                        <w:pPr>
                          <w:ind w:firstLine="62"/>
                          <w:rPr>
                            <w:szCs w:val="24"/>
                            <w:lang w:eastAsia="lt-LT"/>
                          </w:rPr>
                        </w:pPr>
                        <w:r>
                          <w:rPr>
                            <w:color w:val="000000"/>
                            <w:szCs w:val="24"/>
                            <w:lang w:eastAsia="lt-LT"/>
                          </w:rPr>
                          <w:t>2.</w:t>
                        </w:r>
                      </w:p>
                    </w:tc>
                    <w:tc>
                      <w:tcPr>
                        <w:tcW w:w="1735" w:type="pct"/>
                        <w:tcBorders>
                          <w:top w:val="nil"/>
                          <w:left w:val="nil"/>
                          <w:bottom w:val="single" w:sz="8" w:space="0" w:color="auto"/>
                          <w:right w:val="single" w:sz="8" w:space="0" w:color="auto"/>
                        </w:tcBorders>
                        <w:hideMark/>
                      </w:tcPr>
                      <w:p>
                        <w:pPr>
                          <w:ind w:firstLine="62"/>
                          <w:rPr>
                            <w:bCs/>
                            <w:szCs w:val="24"/>
                            <w:lang w:eastAsia="lt-LT"/>
                          </w:rPr>
                        </w:pPr>
                        <w:r>
                          <w:rPr>
                            <w:bCs/>
                            <w:color w:val="000000"/>
                            <w:szCs w:val="24"/>
                            <w:lang w:eastAsia="lt-LT"/>
                          </w:rPr>
                          <w:t>Burnos higienistas</w:t>
                        </w:r>
                      </w:p>
                    </w:tc>
                    <w:tc>
                      <w:tcPr>
                        <w:tcW w:w="3010" w:type="pct"/>
                        <w:tcBorders>
                          <w:top w:val="nil"/>
                          <w:left w:val="nil"/>
                          <w:bottom w:val="single" w:sz="8" w:space="0" w:color="auto"/>
                          <w:right w:val="single" w:sz="8" w:space="0" w:color="auto"/>
                        </w:tcBorders>
                        <w:hideMark/>
                      </w:tcPr>
                      <w:p>
                        <w:pPr>
                          <w:jc w:val="center"/>
                          <w:rPr>
                            <w:bCs/>
                            <w:strike/>
                            <w:szCs w:val="24"/>
                            <w:lang w:eastAsia="lt-LT"/>
                          </w:rPr>
                        </w:pPr>
                        <w:r>
                          <w:rPr>
                            <w:bCs/>
                            <w:color w:val="000000"/>
                            <w:szCs w:val="24"/>
                            <w:lang w:eastAsia="lt-LT"/>
                          </w:rPr>
                          <w:t>7000</w:t>
                        </w:r>
                      </w:p>
                    </w:tc>
                    <w:tc>
                      <w:tcPr>
                        <w:tcW w:w="51" w:type="pct"/>
                        <w:tcBorders>
                          <w:top w:val="nil"/>
                          <w:left w:val="nil"/>
                          <w:bottom w:val="nil"/>
                          <w:right w:val="nil"/>
                        </w:tcBorders>
                        <w:hideMark/>
                      </w:tcPr>
                      <w:p>
                        <w:pPr>
                          <w:ind w:firstLine="62"/>
                          <w:rPr>
                            <w:bCs/>
                            <w:szCs w:val="24"/>
                            <w:lang w:eastAsia="lt-LT"/>
                          </w:rPr>
                        </w:pPr>
                      </w:p>
                      <w:p>
                        <w:pPr>
                          <w:ind w:firstLine="62"/>
                          <w:jc w:val="center"/>
                          <w:rPr>
                            <w:bCs/>
                            <w:szCs w:val="24"/>
                            <w:lang w:eastAsia="lt-LT"/>
                          </w:rPr>
                        </w:pPr>
                      </w:p>
                    </w:tc>
                  </w:tr>
                  <w:tr>
                    <w:tc>
                      <w:tcPr>
                        <w:tcW w:w="204" w:type="pct"/>
                        <w:tcBorders>
                          <w:top w:val="nil"/>
                          <w:left w:val="single" w:sz="8" w:space="0" w:color="auto"/>
                          <w:bottom w:val="single" w:sz="8" w:space="0" w:color="auto"/>
                          <w:right w:val="single" w:sz="8" w:space="0" w:color="auto"/>
                        </w:tcBorders>
                        <w:hideMark/>
                      </w:tcPr>
                      <w:p>
                        <w:pPr>
                          <w:ind w:firstLine="62"/>
                          <w:rPr>
                            <w:szCs w:val="24"/>
                            <w:lang w:eastAsia="lt-LT"/>
                          </w:rPr>
                        </w:pPr>
                        <w:r>
                          <w:rPr>
                            <w:color w:val="000000"/>
                            <w:szCs w:val="24"/>
                            <w:lang w:eastAsia="lt-LT"/>
                          </w:rPr>
                          <w:t>3.</w:t>
                        </w:r>
                      </w:p>
                    </w:tc>
                    <w:tc>
                      <w:tcPr>
                        <w:tcW w:w="1735" w:type="pct"/>
                        <w:tcBorders>
                          <w:top w:val="nil"/>
                          <w:left w:val="nil"/>
                          <w:bottom w:val="single" w:sz="8" w:space="0" w:color="auto"/>
                          <w:right w:val="single" w:sz="8" w:space="0" w:color="auto"/>
                        </w:tcBorders>
                        <w:hideMark/>
                      </w:tcPr>
                      <w:p>
                        <w:pPr>
                          <w:ind w:firstLine="62"/>
                          <w:rPr>
                            <w:bCs/>
                            <w:szCs w:val="24"/>
                            <w:lang w:eastAsia="lt-LT"/>
                          </w:rPr>
                        </w:pPr>
                        <w:r>
                          <w:rPr>
                            <w:bCs/>
                            <w:color w:val="000000"/>
                            <w:szCs w:val="24"/>
                            <w:lang w:eastAsia="lt-LT"/>
                          </w:rPr>
                          <w:t>Gydytojas psichiatras (kai pirminės ambulatorinės psichikos sveikatos priežiūros paslaugos teikiamos suaugusiesiems)</w:t>
                        </w:r>
                      </w:p>
                    </w:tc>
                    <w:tc>
                      <w:tcPr>
                        <w:tcW w:w="3010" w:type="pct"/>
                        <w:tcBorders>
                          <w:top w:val="nil"/>
                          <w:left w:val="nil"/>
                          <w:bottom w:val="single" w:sz="8" w:space="0" w:color="auto"/>
                          <w:right w:val="single" w:sz="8" w:space="0" w:color="auto"/>
                        </w:tcBorders>
                        <w:hideMark/>
                      </w:tcPr>
                      <w:p>
                        <w:pPr>
                          <w:jc w:val="center"/>
                          <w:rPr>
                            <w:bCs/>
                            <w:szCs w:val="24"/>
                            <w:lang w:eastAsia="lt-LT"/>
                          </w:rPr>
                        </w:pPr>
                        <w:r>
                          <w:rPr>
                            <w:bCs/>
                            <w:color w:val="000000"/>
                            <w:szCs w:val="24"/>
                            <w:lang w:eastAsia="lt-LT"/>
                          </w:rPr>
                          <w:t>15 000</w:t>
                        </w:r>
                      </w:p>
                    </w:tc>
                    <w:tc>
                      <w:tcPr>
                        <w:tcW w:w="51" w:type="pct"/>
                        <w:tcBorders>
                          <w:top w:val="nil"/>
                          <w:left w:val="nil"/>
                          <w:bottom w:val="nil"/>
                          <w:right w:val="nil"/>
                        </w:tcBorders>
                        <w:hideMark/>
                      </w:tcPr>
                      <w:p>
                        <w:pPr>
                          <w:ind w:firstLine="62"/>
                          <w:rPr>
                            <w:bCs/>
                            <w:szCs w:val="24"/>
                            <w:lang w:eastAsia="lt-LT"/>
                          </w:rPr>
                        </w:pPr>
                      </w:p>
                      <w:p>
                        <w:pPr>
                          <w:ind w:firstLine="62"/>
                          <w:jc w:val="center"/>
                          <w:rPr>
                            <w:bCs/>
                            <w:szCs w:val="24"/>
                            <w:lang w:eastAsia="lt-LT"/>
                          </w:rPr>
                        </w:pPr>
                      </w:p>
                    </w:tc>
                  </w:tr>
                  <w:tr>
                    <w:tc>
                      <w:tcPr>
                        <w:tcW w:w="204" w:type="pct"/>
                        <w:tcBorders>
                          <w:top w:val="nil"/>
                          <w:left w:val="single" w:sz="8" w:space="0" w:color="auto"/>
                          <w:bottom w:val="single" w:sz="8" w:space="0" w:color="auto"/>
                          <w:right w:val="single" w:sz="8" w:space="0" w:color="auto"/>
                        </w:tcBorders>
                        <w:hideMark/>
                      </w:tcPr>
                      <w:p>
                        <w:pPr>
                          <w:ind w:firstLine="62"/>
                          <w:rPr>
                            <w:szCs w:val="24"/>
                            <w:lang w:eastAsia="lt-LT"/>
                          </w:rPr>
                        </w:pPr>
                        <w:r>
                          <w:rPr>
                            <w:color w:val="000000"/>
                            <w:szCs w:val="24"/>
                            <w:lang w:eastAsia="lt-LT"/>
                          </w:rPr>
                          <w:t>4.</w:t>
                        </w:r>
                      </w:p>
                    </w:tc>
                    <w:tc>
                      <w:tcPr>
                        <w:tcW w:w="1735" w:type="pct"/>
                        <w:tcBorders>
                          <w:top w:val="nil"/>
                          <w:left w:val="nil"/>
                          <w:bottom w:val="single" w:sz="8" w:space="0" w:color="auto"/>
                          <w:right w:val="single" w:sz="8" w:space="0" w:color="auto"/>
                        </w:tcBorders>
                        <w:hideMark/>
                      </w:tcPr>
                      <w:p>
                        <w:pPr>
                          <w:ind w:firstLine="62"/>
                          <w:rPr>
                            <w:bCs/>
                            <w:szCs w:val="24"/>
                            <w:lang w:eastAsia="lt-LT"/>
                          </w:rPr>
                        </w:pPr>
                        <w:r>
                          <w:rPr>
                            <w:bCs/>
                            <w:color w:val="000000"/>
                            <w:szCs w:val="24"/>
                            <w:lang w:eastAsia="lt-LT"/>
                          </w:rPr>
                          <w:t>Medicinos psichologas (kai pirminės ambulatorinės psichikos sveikatos priežiūros paslaugos teikiamos suaugusiesiems)</w:t>
                        </w:r>
                      </w:p>
                    </w:tc>
                    <w:tc>
                      <w:tcPr>
                        <w:tcW w:w="3010" w:type="pct"/>
                        <w:tcBorders>
                          <w:top w:val="nil"/>
                          <w:left w:val="nil"/>
                          <w:bottom w:val="single" w:sz="8" w:space="0" w:color="auto"/>
                          <w:right w:val="single" w:sz="8" w:space="0" w:color="auto"/>
                        </w:tcBorders>
                        <w:hideMark/>
                      </w:tcPr>
                      <w:p>
                        <w:pPr>
                          <w:jc w:val="center"/>
                          <w:rPr>
                            <w:bCs/>
                            <w:szCs w:val="24"/>
                            <w:lang w:eastAsia="lt-LT"/>
                          </w:rPr>
                        </w:pPr>
                        <w:r>
                          <w:rPr>
                            <w:bCs/>
                            <w:color w:val="000000"/>
                            <w:szCs w:val="24"/>
                            <w:lang w:eastAsia="lt-LT"/>
                          </w:rPr>
                          <w:t>15 000</w:t>
                        </w:r>
                      </w:p>
                    </w:tc>
                    <w:tc>
                      <w:tcPr>
                        <w:tcW w:w="51" w:type="pct"/>
                        <w:tcBorders>
                          <w:top w:val="nil"/>
                          <w:left w:val="nil"/>
                          <w:bottom w:val="nil"/>
                          <w:right w:val="nil"/>
                        </w:tcBorders>
                        <w:hideMark/>
                      </w:tcPr>
                      <w:p>
                        <w:pPr>
                          <w:ind w:firstLine="62"/>
                          <w:rPr>
                            <w:bCs/>
                            <w:szCs w:val="24"/>
                            <w:lang w:eastAsia="lt-LT"/>
                          </w:rPr>
                        </w:pPr>
                      </w:p>
                      <w:p>
                        <w:pPr>
                          <w:ind w:firstLine="62"/>
                          <w:jc w:val="center"/>
                          <w:rPr>
                            <w:bCs/>
                            <w:szCs w:val="24"/>
                            <w:lang w:eastAsia="lt-LT"/>
                          </w:rPr>
                        </w:pPr>
                      </w:p>
                    </w:tc>
                  </w:tr>
                  <w:tr>
                    <w:tc>
                      <w:tcPr>
                        <w:tcW w:w="204" w:type="pct"/>
                        <w:tcBorders>
                          <w:top w:val="nil"/>
                          <w:left w:val="single" w:sz="8" w:space="0" w:color="auto"/>
                          <w:bottom w:val="single" w:sz="8" w:space="0" w:color="auto"/>
                          <w:right w:val="single" w:sz="8" w:space="0" w:color="auto"/>
                        </w:tcBorders>
                        <w:hideMark/>
                      </w:tcPr>
                      <w:p>
                        <w:pPr>
                          <w:ind w:firstLine="62"/>
                          <w:rPr>
                            <w:szCs w:val="24"/>
                            <w:lang w:eastAsia="lt-LT"/>
                          </w:rPr>
                        </w:pPr>
                        <w:r>
                          <w:rPr>
                            <w:color w:val="000000"/>
                            <w:szCs w:val="24"/>
                            <w:lang w:eastAsia="lt-LT"/>
                          </w:rPr>
                          <w:t>5.</w:t>
                        </w:r>
                      </w:p>
                    </w:tc>
                    <w:tc>
                      <w:tcPr>
                        <w:tcW w:w="1735" w:type="pct"/>
                        <w:tcBorders>
                          <w:top w:val="nil"/>
                          <w:left w:val="nil"/>
                          <w:bottom w:val="single" w:sz="8" w:space="0" w:color="auto"/>
                          <w:right w:val="single" w:sz="8" w:space="0" w:color="auto"/>
                        </w:tcBorders>
                        <w:hideMark/>
                      </w:tcPr>
                      <w:p>
                        <w:pPr>
                          <w:ind w:firstLine="62"/>
                          <w:rPr>
                            <w:bCs/>
                            <w:szCs w:val="24"/>
                            <w:lang w:eastAsia="lt-LT"/>
                          </w:rPr>
                        </w:pPr>
                        <w:r>
                          <w:rPr>
                            <w:bCs/>
                            <w:color w:val="000000"/>
                            <w:szCs w:val="24"/>
                            <w:lang w:eastAsia="lt-LT"/>
                          </w:rPr>
                          <w:t>Psichikos sveikatos slaugytojas (kai pirminės ambulatorinės psichikos sveikatos priežiūros paslaugos teikiamos suaugusiesiems)</w:t>
                        </w:r>
                      </w:p>
                    </w:tc>
                    <w:tc>
                      <w:tcPr>
                        <w:tcW w:w="3010" w:type="pct"/>
                        <w:tcBorders>
                          <w:top w:val="nil"/>
                          <w:left w:val="nil"/>
                          <w:bottom w:val="single" w:sz="8" w:space="0" w:color="auto"/>
                          <w:right w:val="single" w:sz="8" w:space="0" w:color="auto"/>
                        </w:tcBorders>
                        <w:hideMark/>
                      </w:tcPr>
                      <w:p>
                        <w:pPr>
                          <w:jc w:val="center"/>
                          <w:rPr>
                            <w:bCs/>
                            <w:szCs w:val="24"/>
                            <w:lang w:eastAsia="lt-LT"/>
                          </w:rPr>
                        </w:pPr>
                        <w:r>
                          <w:rPr>
                            <w:bCs/>
                            <w:color w:val="000000"/>
                            <w:szCs w:val="24"/>
                            <w:lang w:eastAsia="lt-LT"/>
                          </w:rPr>
                          <w:t>15 000</w:t>
                        </w:r>
                      </w:p>
                    </w:tc>
                    <w:tc>
                      <w:tcPr>
                        <w:tcW w:w="51" w:type="pct"/>
                        <w:tcBorders>
                          <w:top w:val="nil"/>
                          <w:left w:val="nil"/>
                          <w:bottom w:val="nil"/>
                          <w:right w:val="nil"/>
                        </w:tcBorders>
                        <w:hideMark/>
                      </w:tcPr>
                      <w:p>
                        <w:pPr>
                          <w:ind w:firstLine="62"/>
                          <w:rPr>
                            <w:bCs/>
                            <w:szCs w:val="24"/>
                            <w:lang w:eastAsia="lt-LT"/>
                          </w:rPr>
                        </w:pPr>
                      </w:p>
                      <w:p>
                        <w:pPr>
                          <w:ind w:firstLine="62"/>
                          <w:jc w:val="center"/>
                          <w:rPr>
                            <w:bCs/>
                            <w:szCs w:val="24"/>
                            <w:lang w:eastAsia="lt-LT"/>
                          </w:rPr>
                        </w:pPr>
                      </w:p>
                    </w:tc>
                  </w:tr>
                  <w:tr>
                    <w:trPr>
                      <w:trHeight w:val="173"/>
                    </w:trPr>
                    <w:tc>
                      <w:tcPr>
                        <w:tcW w:w="204" w:type="pct"/>
                        <w:tcBorders>
                          <w:top w:val="nil"/>
                          <w:left w:val="single" w:sz="8" w:space="0" w:color="auto"/>
                          <w:bottom w:val="single" w:sz="4" w:space="0" w:color="auto"/>
                          <w:right w:val="single" w:sz="8" w:space="0" w:color="auto"/>
                        </w:tcBorders>
                        <w:hideMark/>
                      </w:tcPr>
                      <w:p>
                        <w:pPr>
                          <w:ind w:firstLine="62"/>
                          <w:rPr>
                            <w:szCs w:val="24"/>
                            <w:lang w:eastAsia="lt-LT"/>
                          </w:rPr>
                        </w:pPr>
                        <w:r>
                          <w:rPr>
                            <w:color w:val="000000"/>
                            <w:szCs w:val="24"/>
                            <w:lang w:eastAsia="lt-LT"/>
                          </w:rPr>
                          <w:t>6.</w:t>
                        </w:r>
                      </w:p>
                    </w:tc>
                    <w:tc>
                      <w:tcPr>
                        <w:tcW w:w="1735" w:type="pct"/>
                        <w:tcBorders>
                          <w:top w:val="nil"/>
                          <w:left w:val="nil"/>
                          <w:bottom w:val="single" w:sz="4" w:space="0" w:color="auto"/>
                          <w:right w:val="single" w:sz="8" w:space="0" w:color="auto"/>
                        </w:tcBorders>
                        <w:hideMark/>
                      </w:tcPr>
                      <w:p>
                        <w:pPr>
                          <w:rPr>
                            <w:bCs/>
                            <w:szCs w:val="24"/>
                            <w:lang w:eastAsia="lt-LT"/>
                          </w:rPr>
                        </w:pPr>
                        <w:r>
                          <w:rPr>
                            <w:bCs/>
                            <w:color w:val="000000"/>
                            <w:szCs w:val="24"/>
                            <w:lang w:eastAsia="lt-LT"/>
                          </w:rPr>
                          <w:t>Socialinis darbuotojas (kai pirminės ambulatorinės psichikos sveikatos priežiūros paslaugos teikiamos suaugusiesiems)</w:t>
                        </w:r>
                      </w:p>
                    </w:tc>
                    <w:tc>
                      <w:tcPr>
                        <w:tcW w:w="3010" w:type="pct"/>
                        <w:tcBorders>
                          <w:top w:val="nil"/>
                          <w:left w:val="nil"/>
                          <w:bottom w:val="single" w:sz="4" w:space="0" w:color="auto"/>
                          <w:right w:val="single" w:sz="8" w:space="0" w:color="auto"/>
                        </w:tcBorders>
                        <w:hideMark/>
                      </w:tcPr>
                      <w:p>
                        <w:pPr>
                          <w:jc w:val="center"/>
                          <w:rPr>
                            <w:bCs/>
                            <w:szCs w:val="24"/>
                            <w:lang w:eastAsia="lt-LT"/>
                          </w:rPr>
                        </w:pPr>
                        <w:r>
                          <w:rPr>
                            <w:bCs/>
                            <w:szCs w:val="24"/>
                            <w:lang w:eastAsia="lt-LT"/>
                          </w:rPr>
                          <w:t>30 000</w:t>
                        </w:r>
                      </w:p>
                    </w:tc>
                    <w:tc>
                      <w:tcPr>
                        <w:tcW w:w="51" w:type="pct"/>
                        <w:tcBorders>
                          <w:top w:val="nil"/>
                          <w:left w:val="nil"/>
                          <w:bottom w:val="nil"/>
                          <w:right w:val="nil"/>
                        </w:tcBorders>
                        <w:hideMark/>
                      </w:tcPr>
                      <w:p>
                        <w:pPr>
                          <w:ind w:firstLine="62"/>
                          <w:rPr>
                            <w:bCs/>
                            <w:szCs w:val="24"/>
                            <w:lang w:eastAsia="lt-LT"/>
                          </w:rPr>
                        </w:pPr>
                      </w:p>
                      <w:p>
                        <w:pPr>
                          <w:rPr>
                            <w:bCs/>
                            <w:szCs w:val="24"/>
                            <w:lang w:eastAsia="lt-LT"/>
                          </w:rPr>
                        </w:pPr>
                      </w:p>
                    </w:tc>
                  </w:tr>
                  <w:tr>
                    <w:trPr>
                      <w:trHeight w:val="1053"/>
                    </w:trPr>
                    <w:tc>
                      <w:tcPr>
                        <w:tcW w:w="204" w:type="pct"/>
                        <w:tcBorders>
                          <w:top w:val="single" w:sz="4" w:space="0" w:color="auto"/>
                          <w:left w:val="single" w:sz="4" w:space="0" w:color="auto"/>
                          <w:bottom w:val="single" w:sz="4" w:space="0" w:color="auto"/>
                          <w:right w:val="single" w:sz="4" w:space="0" w:color="auto"/>
                        </w:tcBorders>
                      </w:tcPr>
                      <w:p>
                        <w:pPr>
                          <w:rPr>
                            <w:rFonts w:eastAsia="Calibri"/>
                            <w:kern w:val="3"/>
                            <w:szCs w:val="28"/>
                            <w:lang w:eastAsia="lt-LT"/>
                          </w:rPr>
                        </w:pPr>
                        <w:r>
                          <w:rPr>
                            <w:rFonts w:eastAsia="Calibri"/>
                            <w:kern w:val="3"/>
                            <w:szCs w:val="28"/>
                            <w:lang w:eastAsia="lt-LT"/>
                          </w:rPr>
                          <w:t>7.</w:t>
                        </w:r>
                      </w:p>
                    </w:tc>
                    <w:tc>
                      <w:tcPr>
                        <w:tcW w:w="1735" w:type="pct"/>
                        <w:tcBorders>
                          <w:top w:val="single" w:sz="4" w:space="0" w:color="auto"/>
                          <w:left w:val="single" w:sz="4" w:space="0" w:color="auto"/>
                          <w:bottom w:val="single" w:sz="4" w:space="0" w:color="auto"/>
                          <w:right w:val="single" w:sz="4" w:space="0" w:color="auto"/>
                        </w:tcBorders>
                      </w:tcPr>
                      <w:p>
                        <w:pPr>
                          <w:rPr>
                            <w:rFonts w:eastAsia="Calibri"/>
                            <w:bCs/>
                            <w:kern w:val="3"/>
                            <w:szCs w:val="28"/>
                            <w:lang w:eastAsia="lt-LT"/>
                          </w:rPr>
                        </w:pPr>
                        <w:r>
                          <w:rPr>
                            <w:rFonts w:eastAsia="Calibri"/>
                            <w:bCs/>
                            <w:kern w:val="3"/>
                            <w:szCs w:val="28"/>
                            <w:lang w:eastAsia="lt-LT"/>
                          </w:rPr>
                          <w:t>Psichikos sveikatos atvejo vadybininkas (kai pirminės ambulatorinės psichikos sveikatos priežiūros paslaugos teikiamos suaugusiesiems)</w:t>
                        </w:r>
                      </w:p>
                    </w:tc>
                    <w:tc>
                      <w:tcPr>
                        <w:tcW w:w="3010" w:type="pct"/>
                        <w:tcBorders>
                          <w:top w:val="single" w:sz="4" w:space="0" w:color="auto"/>
                          <w:left w:val="single" w:sz="4" w:space="0" w:color="auto"/>
                          <w:bottom w:val="single" w:sz="4" w:space="0" w:color="auto"/>
                          <w:right w:val="single" w:sz="4" w:space="0" w:color="auto"/>
                        </w:tcBorders>
                      </w:tcPr>
                      <w:p>
                        <w:pPr>
                          <w:jc w:val="center"/>
                          <w:rPr>
                            <w:rFonts w:eastAsia="Calibri"/>
                            <w:bCs/>
                            <w:kern w:val="3"/>
                            <w:szCs w:val="28"/>
                            <w:lang w:eastAsia="lt-LT"/>
                          </w:rPr>
                        </w:pPr>
                        <w:r>
                          <w:rPr>
                            <w:rFonts w:eastAsia="Calibri"/>
                            <w:bCs/>
                            <w:kern w:val="3"/>
                            <w:szCs w:val="28"/>
                            <w:lang w:eastAsia="lt-LT"/>
                          </w:rPr>
                          <w:t>15 000</w:t>
                        </w:r>
                      </w:p>
                    </w:tc>
                    <w:tc>
                      <w:tcPr>
                        <w:tcW w:w="51" w:type="pct"/>
                        <w:tcBorders>
                          <w:top w:val="nil"/>
                          <w:left w:val="single" w:sz="4" w:space="0" w:color="auto"/>
                          <w:bottom w:val="nil"/>
                          <w:right w:val="nil"/>
                        </w:tcBorders>
                      </w:tcPr>
                      <w:p>
                        <w:pPr>
                          <w:rPr>
                            <w:bCs/>
                            <w:szCs w:val="24"/>
                            <w:lang w:eastAsia="lt-LT"/>
                          </w:rPr>
                        </w:pPr>
                      </w:p>
                    </w:tc>
                  </w:tr>
                  <w:tr>
                    <w:trPr>
                      <w:trHeight w:val="1053"/>
                    </w:trPr>
                    <w:tc>
                      <w:tcPr>
                        <w:tcW w:w="204"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8.</w:t>
                        </w:r>
                      </w:p>
                    </w:tc>
                    <w:tc>
                      <w:tcPr>
                        <w:tcW w:w="1735" w:type="pct"/>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Gydytojas vaikų ir paauglių psichiatras (kai pirminės ambulatorinės psichikos sveikatos priežiūros paslaugos teikiamos vaikams)</w:t>
                        </w:r>
                      </w:p>
                    </w:tc>
                    <w:tc>
                      <w:tcPr>
                        <w:tcW w:w="3010" w:type="pct"/>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8 000</w:t>
                        </w:r>
                      </w:p>
                    </w:tc>
                    <w:tc>
                      <w:tcPr>
                        <w:tcW w:w="51" w:type="pct"/>
                        <w:tcBorders>
                          <w:top w:val="nil"/>
                          <w:left w:val="single" w:sz="4" w:space="0" w:color="auto"/>
                          <w:bottom w:val="nil"/>
                          <w:right w:val="nil"/>
                        </w:tcBorders>
                      </w:tcPr>
                      <w:p>
                        <w:pPr>
                          <w:rPr>
                            <w:bCs/>
                            <w:szCs w:val="24"/>
                            <w:lang w:eastAsia="lt-LT"/>
                          </w:rPr>
                        </w:pPr>
                      </w:p>
                    </w:tc>
                  </w:tr>
                  <w:tr>
                    <w:trPr>
                      <w:trHeight w:val="173"/>
                    </w:trPr>
                    <w:tc>
                      <w:tcPr>
                        <w:tcW w:w="204"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9.</w:t>
                        </w:r>
                      </w:p>
                    </w:tc>
                    <w:tc>
                      <w:tcPr>
                        <w:tcW w:w="1735" w:type="pct"/>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Medicinos psichologas (kai pirminės ambulatorinės psichikos sveikatos priežiūros paslaugos teikiamos vaikams)</w:t>
                        </w:r>
                      </w:p>
                    </w:tc>
                    <w:tc>
                      <w:tcPr>
                        <w:tcW w:w="3010" w:type="pct"/>
                        <w:tcBorders>
                          <w:top w:val="single" w:sz="4" w:space="0" w:color="auto"/>
                          <w:left w:val="single" w:sz="4" w:space="0" w:color="auto"/>
                          <w:bottom w:val="single" w:sz="4" w:space="0" w:color="auto"/>
                          <w:right w:val="single" w:sz="4" w:space="0" w:color="auto"/>
                        </w:tcBorders>
                      </w:tcPr>
                      <w:p>
                        <w:pPr>
                          <w:jc w:val="center"/>
                          <w:rPr>
                            <w:bCs/>
                            <w:szCs w:val="24"/>
                            <w:lang w:eastAsia="lt-LT"/>
                          </w:rPr>
                        </w:pPr>
                        <w:r>
                          <w:rPr>
                            <w:bCs/>
                            <w:szCs w:val="24"/>
                            <w:lang w:eastAsia="lt-LT"/>
                          </w:rPr>
                          <w:t>8 000</w:t>
                        </w:r>
                      </w:p>
                    </w:tc>
                    <w:tc>
                      <w:tcPr>
                        <w:tcW w:w="51" w:type="pct"/>
                        <w:tcBorders>
                          <w:top w:val="nil"/>
                          <w:left w:val="single" w:sz="4" w:space="0" w:color="auto"/>
                          <w:bottom w:val="nil"/>
                          <w:right w:val="nil"/>
                        </w:tcBorders>
                      </w:tcPr>
                      <w:p>
                        <w:pPr>
                          <w:rPr>
                            <w:bCs/>
                            <w:szCs w:val="24"/>
                            <w:lang w:eastAsia="lt-LT"/>
                          </w:rPr>
                        </w:pPr>
                      </w:p>
                    </w:tc>
                  </w:tr>
                  <w:tr>
                    <w:trPr>
                      <w:trHeight w:val="173"/>
                    </w:trPr>
                    <w:tc>
                      <w:tcPr>
                        <w:tcW w:w="204"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10.</w:t>
                        </w:r>
                      </w:p>
                    </w:tc>
                    <w:tc>
                      <w:tcPr>
                        <w:tcW w:w="1735" w:type="pct"/>
                        <w:tcBorders>
                          <w:top w:val="single" w:sz="4" w:space="0" w:color="auto"/>
                          <w:left w:val="single" w:sz="4" w:space="0" w:color="auto"/>
                          <w:bottom w:val="single" w:sz="4" w:space="0" w:color="auto"/>
                          <w:right w:val="single" w:sz="4" w:space="0" w:color="auto"/>
                        </w:tcBorders>
                      </w:tcPr>
                      <w:p>
                        <w:pPr>
                          <w:rPr>
                            <w:bCs/>
                            <w:szCs w:val="24"/>
                            <w:lang w:eastAsia="lt-LT"/>
                          </w:rPr>
                        </w:pPr>
                        <w:r>
                          <w:rPr>
                            <w:bCs/>
                            <w:szCs w:val="24"/>
                            <w:lang w:eastAsia="lt-LT"/>
                          </w:rPr>
                          <w:t>Kitas komandos narys (psichikos sveikatos slaugytojas, socialinis darbuotojas, meno terapeutas, medicinos psichologas ir (ar) atvejo vadybininkas) (kai pirminės ambulatorinės psichikos sveikatos priežiūros paslaugos teikiamos vaikams)</w:t>
                        </w:r>
                      </w:p>
                    </w:tc>
                    <w:tc>
                      <w:tcPr>
                        <w:tcW w:w="3010" w:type="pct"/>
                        <w:tcBorders>
                          <w:top w:val="single" w:sz="4" w:space="0" w:color="auto"/>
                          <w:left w:val="single" w:sz="4" w:space="0" w:color="auto"/>
                          <w:bottom w:val="single" w:sz="4" w:space="0" w:color="auto"/>
                          <w:right w:val="single" w:sz="4" w:space="0" w:color="auto"/>
                        </w:tcBorders>
                      </w:tcPr>
                      <w:p>
                        <w:pPr>
                          <w:ind w:firstLine="2728"/>
                          <w:rPr>
                            <w:szCs w:val="24"/>
                            <w:lang w:eastAsia="lt-LT"/>
                          </w:rPr>
                        </w:pPr>
                        <w:r>
                          <w:rPr>
                            <w:bCs/>
                            <w:szCs w:val="24"/>
                            <w:lang w:eastAsia="lt-LT"/>
                          </w:rPr>
                          <w:t>8 000</w:t>
                        </w:r>
                      </w:p>
                    </w:tc>
                    <w:tc>
                      <w:tcPr>
                        <w:tcW w:w="51" w:type="pct"/>
                        <w:tcBorders>
                          <w:top w:val="nil"/>
                          <w:left w:val="single" w:sz="4" w:space="0" w:color="auto"/>
                          <w:bottom w:val="nil"/>
                          <w:right w:val="nil"/>
                        </w:tcBorders>
                      </w:tcPr>
                      <w:p>
                        <w:pPr>
                          <w:rPr>
                            <w:bCs/>
                            <w:szCs w:val="24"/>
                            <w:lang w:eastAsia="lt-LT"/>
                          </w:rPr>
                        </w:pPr>
                      </w:p>
                    </w:tc>
                  </w:tr>
                </w:tbl>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29b5009ea11e9a5eaf2cd290f1944">
                    <w:r w:rsidRPr="00532B9F">
                      <w:rPr>
                        <w:rFonts w:ascii="Times New Roman" w:eastAsia="MS Mincho" w:hAnsi="Times New Roman"/>
                        <w:sz w:val="20"/>
                        <w:i/>
                        <w:iCs/>
                        <w:color w:val="0000FF" w:themeColor="hyperlink"/>
                        <w:u w:val="single"/>
                      </w:rPr>
                      <w:t>V-1436</w:t>
                    </w:r>
                  </w:fldSimple>
                  <w:r>
                    <w:rPr>
                      <w:rFonts w:ascii="Times New Roman" w:eastAsia="MS Mincho" w:hAnsi="Times New Roman"/>
                      <w:sz w:val="20"/>
                      <w:i/>
                      <w:iCs/>
                    </w:rPr>
                    <w:t>,
2018-12-13,
paskelbta TAR 2018-12-27, i. k. 2018-21530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615d90c90411efa5ddd96c482819f5">
                    <w:r w:rsidRPr="00532B9F">
                      <w:rPr>
                        <w:rFonts w:ascii="Times New Roman" w:eastAsia="MS Mincho" w:hAnsi="Times New Roman"/>
                        <w:sz w:val="20"/>
                        <w:i/>
                        <w:iCs/>
                        <w:color w:val="0000FF" w:themeColor="hyperlink"/>
                        <w:u w:val="single"/>
                      </w:rPr>
                      <w:t>V-3</w:t>
                    </w:r>
                  </w:fldSimple>
                  <w:r>
                    <w:rPr>
                      <w:rFonts w:ascii="Times New Roman" w:eastAsia="MS Mincho" w:hAnsi="Times New Roman"/>
                      <w:sz w:val="20"/>
                      <w:i/>
                      <w:iCs/>
                    </w:rPr>
                    <w:t>,
2025-01-02,
paskelbta TAR 2025-01-02, i. k. 2025-00030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cc5d1b78211ef88c08519262548c4">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2024-12-11,
paskelbta TAR 2024-12-11, i. k. 2024-21913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074784cdc311efa5ddd96c482819f5">
                    <w:r w:rsidRPr="00532B9F">
                      <w:rPr>
                        <w:rFonts w:ascii="Times New Roman" w:eastAsia="MS Mincho" w:hAnsi="Times New Roman"/>
                        <w:sz w:val="20"/>
                        <w:i/>
                        <w:iCs/>
                        <w:color w:val="0000FF" w:themeColor="hyperlink"/>
                        <w:u w:val="single"/>
                      </w:rPr>
                      <w:t>V-14</w:t>
                    </w:r>
                  </w:fldSimple>
                  <w:r>
                    <w:rPr>
                      <w:rFonts w:ascii="Times New Roman" w:eastAsia="MS Mincho" w:hAnsi="Times New Roman"/>
                      <w:sz w:val="20"/>
                      <w:i/>
                      <w:iCs/>
                    </w:rPr>
                    <w:t>,
2025-01-08,
paskelbta TAR 2025-01-08, i. k. 2025-00195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cbc6663b11f0a8bbd1e98310677d">
                    <w:r w:rsidRPr="00532B9F">
                      <w:rPr>
                        <w:rFonts w:ascii="Times New Roman" w:eastAsia="MS Mincho" w:hAnsi="Times New Roman"/>
                        <w:sz w:val="20"/>
                        <w:i/>
                        <w:iCs/>
                        <w:color w:val="0000FF" w:themeColor="hyperlink"/>
                        <w:u w:val="single"/>
                      </w:rPr>
                      <w:t>V-682</w:t>
                    </w:r>
                  </w:fldSimple>
                  <w:r>
                    <w:rPr>
                      <w:rFonts w:ascii="Times New Roman" w:eastAsia="MS Mincho" w:hAnsi="Times New Roman"/>
                      <w:sz w:val="20"/>
                      <w:i/>
                      <w:iCs/>
                    </w:rPr>
                    <w:t>,
2025-07-21,
paskelbta TAR 2025-07-21, i. k. 2025-13102            </w:t>
                  </w:r>
                </w:p>
                <w:p/>
              </w:sdtContent>
            </w:sdt>
            <w:sdt>
              <w:sdtPr>
                <w:alias w:val="7-1 p."/>
                <w:tag w:val="part_ed7c2eb109ca4f1bb096275e7c40026a"/>
                <w:lock w:val="sdtLocked"/>
                <w:richText/>
              </w:sdtPr>
              <w:sdtContent>
                <w:p>
                  <w:pPr>
                    <w:ind w:firstLine="851"/>
                    <w:jc w:val="both"/>
                    <w:rPr>
                      <w:rFonts w:eastAsia="Calibri"/>
                      <w:color w:val="000000"/>
                      <w:szCs w:val="24"/>
                      <w:lang w:eastAsia="lt-LT"/>
                    </w:rPr>
                  </w:pPr>
                  <w:sdt>
                    <w:sdtPr>
                      <w:alias w:val="Numeris"/>
                      <w:tag w:val="nr_ed7c2eb109ca4f1bb096275e7c40026a"/>
                      <w:lock w:val="sdtLocked"/>
                      <w:richText/>
                    </w:sdtPr>
                    <w:sdtContent>
                      <w:r>
                        <w:rPr>
                          <w:rFonts w:eastAsia="Calibri"/>
                          <w:color w:val="000000"/>
                          <w:szCs w:val="24"/>
                        </w:rPr>
                        <w:t>7</w:t>
                      </w:r>
                      <w:r>
                        <w:rPr>
                          <w:rFonts w:eastAsia="Calibri"/>
                          <w:color w:val="000000"/>
                          <w:szCs w:val="24"/>
                          <w:vertAlign w:val="superscript"/>
                        </w:rPr>
                        <w:t>1</w:t>
                      </w:r>
                    </w:sdtContent>
                  </w:sdt>
                  <w:r>
                    <w:rPr>
                      <w:rFonts w:eastAsia="Calibri"/>
                      <w:color w:val="000000"/>
                      <w:szCs w:val="24"/>
                    </w:rPr>
                    <w:t>. Laisvės atėmimo vietose a</w:t>
                  </w:r>
                  <w:r>
                    <w:rPr>
                      <w:rFonts w:eastAsia="Calibri"/>
                      <w:color w:val="000000"/>
                      <w:szCs w:val="24"/>
                      <w:lang w:eastAsia="lt-LT"/>
                    </w:rPr>
                    <w:t>pylinkę aptarnaujančių specialistų komanda gali būti formuojama, atsižvelgiant į apylinkės prisirašiusiųjų asmenų amžių ir lytį, taip:</w:t>
                  </w:r>
                </w:p>
                <w:sdt>
                  <w:sdtPr>
                    <w:alias w:val="7-1.1 pp."/>
                    <w:tag w:val="part_1d52a872b02c41708122fbe2d72b4990"/>
                    <w:lock w:val="sdtLocked"/>
                    <w:richText/>
                  </w:sdtPr>
                  <w:sdtContent>
                    <w:p>
                      <w:pPr>
                        <w:ind w:firstLine="851"/>
                        <w:jc w:val="both"/>
                        <w:rPr>
                          <w:rFonts w:eastAsia="Calibri"/>
                          <w:color w:val="000000"/>
                          <w:szCs w:val="24"/>
                          <w:lang w:eastAsia="lt-LT"/>
                        </w:rPr>
                      </w:pPr>
                      <w:sdt>
                        <w:sdtPr>
                          <w:alias w:val="Numeris"/>
                          <w:tag w:val="nr_1d52a872b02c41708122fbe2d72b4990"/>
                          <w:lock w:val="sdtLocked"/>
                          <w:richText/>
                        </w:sdtPr>
                        <w:sdtContent>
                          <w:r>
                            <w:rPr>
                              <w:rFonts w:eastAsia="Calibri"/>
                              <w:color w:val="000000"/>
                              <w:szCs w:val="24"/>
                              <w:lang w:eastAsia="lt-LT"/>
                            </w:rPr>
                            <w:t>7</w:t>
                          </w:r>
                          <w:r>
                            <w:rPr>
                              <w:rFonts w:eastAsia="Calibri"/>
                              <w:color w:val="000000"/>
                              <w:szCs w:val="24"/>
                              <w:vertAlign w:val="superscript"/>
                              <w:lang w:eastAsia="lt-LT"/>
                            </w:rPr>
                            <w:t>1</w:t>
                          </w:r>
                          <w:r>
                            <w:rPr>
                              <w:rFonts w:eastAsia="Calibri"/>
                              <w:color w:val="000000"/>
                              <w:szCs w:val="24"/>
                              <w:lang w:eastAsia="lt-LT"/>
                            </w:rPr>
                            <w:t>.1</w:t>
                          </w:r>
                        </w:sdtContent>
                      </w:sdt>
                      <w:r>
                        <w:rPr>
                          <w:rFonts w:eastAsia="Calibri"/>
                          <w:color w:val="000000"/>
                          <w:szCs w:val="24"/>
                          <w:lang w:eastAsia="lt-LT"/>
                        </w:rPr>
                        <w:t xml:space="preserve">. apylinkei, į kurios prisirašiusiųjų asmenų sąrašą yra įrašyti įvairaus amžiaus ir lyties asmenys, PAASP paslaugų teikimą (pagal šeimos gydytojo medicinos normą) užtikrina šeimos gydytojas (arba vidaus ligų gydytojas, vaikų ligų gydytojas, gydytojas akušeris ginekologas ir chirurgas kartu); </w:t>
                      </w:r>
                    </w:p>
                  </w:sdtContent>
                </w:sdt>
                <w:sdt>
                  <w:sdtPr>
                    <w:alias w:val="7-1.2 pp."/>
                    <w:tag w:val="part_7a5312186d4741c1beeb150dc779888d"/>
                    <w:lock w:val="sdtLocked"/>
                    <w:richText/>
                  </w:sdtPr>
                  <w:sdtContent>
                    <w:p>
                      <w:pPr>
                        <w:ind w:firstLine="851"/>
                        <w:jc w:val="both"/>
                        <w:rPr>
                          <w:rFonts w:eastAsia="Calibri"/>
                          <w:color w:val="000000"/>
                          <w:szCs w:val="24"/>
                          <w:lang w:eastAsia="lt-LT"/>
                        </w:rPr>
                      </w:pPr>
                      <w:sdt>
                        <w:sdtPr>
                          <w:alias w:val="Numeris"/>
                          <w:tag w:val="nr_7a5312186d4741c1beeb150dc779888d"/>
                          <w:lock w:val="sdtLocked"/>
                          <w:richText/>
                        </w:sdtPr>
                        <w:sdtContent>
                          <w:r>
                            <w:rPr>
                              <w:rFonts w:eastAsia="Calibri"/>
                              <w:color w:val="000000"/>
                              <w:szCs w:val="24"/>
                              <w:lang w:eastAsia="lt-LT"/>
                            </w:rPr>
                            <w:t>7</w:t>
                          </w:r>
                          <w:r>
                            <w:rPr>
                              <w:rFonts w:eastAsia="Calibri"/>
                              <w:color w:val="000000"/>
                              <w:szCs w:val="24"/>
                              <w:vertAlign w:val="superscript"/>
                              <w:lang w:eastAsia="lt-LT"/>
                            </w:rPr>
                            <w:t>1</w:t>
                          </w:r>
                          <w:r>
                            <w:rPr>
                              <w:rFonts w:eastAsia="Calibri"/>
                              <w:color w:val="000000"/>
                              <w:szCs w:val="24"/>
                              <w:lang w:eastAsia="lt-LT"/>
                            </w:rPr>
                            <w:t>.2</w:t>
                          </w:r>
                        </w:sdtContent>
                      </w:sdt>
                      <w:r>
                        <w:rPr>
                          <w:rFonts w:eastAsia="Calibri"/>
                          <w:color w:val="000000"/>
                          <w:szCs w:val="24"/>
                          <w:lang w:eastAsia="lt-LT"/>
                        </w:rPr>
                        <w:t>. apylinkei, į kurios prisirašiusiųjų asmenų sąrašą neįrašyta vaikų, PAASP paslaugų teikimą (pagal šeimos gydytojo medicinos normą) užtikrina šeimos gydytojas (arba vidaus ligų gydytojas,  gydytojas akušeris ginekologas ir chirurgas kartu);</w:t>
                      </w:r>
                    </w:p>
                  </w:sdtContent>
                </w:sdt>
                <w:sdt>
                  <w:sdtPr>
                    <w:alias w:val="7-1.3 pp."/>
                    <w:tag w:val="part_69c4e607eacb4f5eb4a0c7b29eeaae42"/>
                    <w:lock w:val="sdtLocked"/>
                    <w:richText/>
                  </w:sdtPr>
                  <w:sdtContent>
                    <w:p>
                      <w:pPr>
                        <w:tabs>
                          <w:tab w:val="left" w:pos="709"/>
                          <w:tab w:val="left" w:pos="1134"/>
                        </w:tabs>
                        <w:ind w:firstLine="851"/>
                        <w:jc w:val="both"/>
                      </w:pPr>
                      <w:sdt>
                        <w:sdtPr>
                          <w:alias w:val="Numeris"/>
                          <w:tag w:val="nr_69c4e607eacb4f5eb4a0c7b29eeaae42"/>
                          <w:lock w:val="sdtLocked"/>
                          <w:richText/>
                        </w:sdtPr>
                        <w:sdtContent>
                          <w:r>
                            <w:rPr>
                              <w:rFonts w:eastAsia="Calibri"/>
                              <w:color w:val="000000"/>
                              <w:szCs w:val="24"/>
                              <w:lang w:eastAsia="lt-LT"/>
                            </w:rPr>
                            <w:t>7</w:t>
                          </w:r>
                          <w:r>
                            <w:rPr>
                              <w:rFonts w:eastAsia="Calibri"/>
                              <w:color w:val="000000"/>
                              <w:szCs w:val="24"/>
                              <w:vertAlign w:val="superscript"/>
                              <w:lang w:eastAsia="lt-LT"/>
                            </w:rPr>
                            <w:t>1</w:t>
                          </w:r>
                          <w:r>
                            <w:rPr>
                              <w:rFonts w:eastAsia="Calibri"/>
                              <w:color w:val="000000"/>
                              <w:szCs w:val="24"/>
                              <w:lang w:eastAsia="lt-LT"/>
                            </w:rPr>
                            <w:t>.3</w:t>
                          </w:r>
                        </w:sdtContent>
                      </w:sdt>
                      <w:r>
                        <w:rPr>
                          <w:rFonts w:eastAsia="Calibri"/>
                          <w:color w:val="000000"/>
                          <w:szCs w:val="24"/>
                          <w:lang w:eastAsia="lt-LT"/>
                        </w:rPr>
                        <w:t>. apylinkei, į kurios prisirašiusiųjų asmenų sąrašą neįrašyta moterų ir vaikų,  PAASP paslaugų teikimą (pagal šeimos gydytojo medicinos normą) užtikrina šeimos gydytojas (arba vidaus ligų gydytojas ir chirurgas kartu).</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sdtContent>
            </w:sdt>
            <w:sdt>
              <w:sdtPr>
                <w:alias w:val="7-2 p."/>
                <w:tag w:val="part_6e8e80ecea7c4875b46505557465e016"/>
                <w:lock w:val="sdtLocked"/>
                <w:richText/>
              </w:sdtPr>
              <w:sdtContent>
                <w:p>
                  <w:pPr>
                    <w:tabs>
                      <w:tab w:val="left" w:pos="993"/>
                      <w:tab w:val="left" w:pos="1276"/>
                    </w:tabs>
                    <w:ind w:firstLine="851"/>
                    <w:jc w:val="both"/>
                  </w:pPr>
                  <w:sdt>
                    <w:sdtPr>
                      <w:alias w:val="Numeris"/>
                      <w:tag w:val="nr_6e8e80ecea7c4875b46505557465e016"/>
                      <w:lock w:val="sdtLocked"/>
                      <w:richText/>
                    </w:sdtPr>
                    <w:sdtContent>
                      <w:r>
                        <w:rPr>
                          <w:szCs w:val="24"/>
                        </w:rPr>
                        <w:t>7</w:t>
                      </w:r>
                      <w:r>
                        <w:rPr>
                          <w:szCs w:val="24"/>
                          <w:vertAlign w:val="superscript"/>
                        </w:rPr>
                        <w:t>2</w:t>
                      </w:r>
                    </w:sdtContent>
                  </w:sdt>
                  <w:r>
                    <w:rPr>
                      <w:szCs w:val="24"/>
                    </w:rPr>
                    <w:t>. Ambulatorinės slaugos ir akušerijos ankstyvosios intervencijos paslaugos šeimoms teikiamos pagal Ambulatorinių slaugos ir akušerijos ankstyvosios intervencijos paslaugų šeimoms teikimo reikalavimų ir šių paslaugų išlaidų apmokėjimo PSDF biudžeto lėšomis tvarkos aprašą. Šias paslaugas teikia šeimos gydytojo komandos nariai – slaugytojas (bendrosios praktikos ir (ar) išplėstinės praktikos) ir (ar) akušeris, išklausę 63 valandų podiplominių studijų programą „Šeimų lankymas, teikiant ankstyvosios intervencijos paslaugas“ ir turintys tai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3da4a0218e11efbdaea558de59136c">
                    <w:r w:rsidRPr="00532B9F">
                      <w:rPr>
                        <w:rFonts w:ascii="Times New Roman" w:eastAsia="MS Mincho" w:hAnsi="Times New Roman"/>
                        <w:sz w:val="20"/>
                        <w:i/>
                        <w:iCs/>
                        <w:color w:val="0000FF" w:themeColor="hyperlink"/>
                        <w:u w:val="single"/>
                      </w:rPr>
                      <w:t>V-606</w:t>
                    </w:r>
                  </w:fldSimple>
                  <w:r>
                    <w:rPr>
                      <w:rFonts w:ascii="Times New Roman" w:eastAsia="MS Mincho" w:hAnsi="Times New Roman"/>
                      <w:sz w:val="20"/>
                      <w:i/>
                      <w:iCs/>
                    </w:rPr>
                    <w:t>,
2024-06-03,
paskelbta TAR 2024-06-03, i. k. 2024-10082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a47d6752111f1b53dfa020e517810">
                    <w:r w:rsidRPr="00532B9F">
                      <w:rPr>
                        <w:rFonts w:ascii="Times New Roman" w:eastAsia="MS Mincho" w:hAnsi="Times New Roman"/>
                        <w:sz w:val="20"/>
                        <w:i/>
                        <w:iCs/>
                        <w:color w:val="0000FF" w:themeColor="hyperlink"/>
                        <w:u w:val="single"/>
                      </w:rPr>
                      <w:t>V-652</w:t>
                    </w:r>
                  </w:fldSimple>
                  <w:r>
                    <w:rPr>
                      <w:rFonts w:ascii="Times New Roman" w:eastAsia="MS Mincho" w:hAnsi="Times New Roman"/>
                      <w:sz w:val="20"/>
                      <w:i/>
                      <w:iCs/>
                    </w:rPr>
                    <w:t>,
2026-07-01,
paskelbta TAR 2026-07-01, i. k. 2026-11380            </w:t>
                  </w:r>
                </w:p>
                <w:p/>
              </w:sdtContent>
            </w:sdt>
            <w:sdt>
              <w:sdtPr>
                <w:alias w:val="8 p."/>
                <w:tag w:val="part_54a46467bf1c4c44852499bd9426b165"/>
                <w:lock w:val="sdtLocked"/>
                <w:richText/>
              </w:sdtPr>
              <w:sdtContent>
                <w:p>
                  <w:pPr>
                    <w:tabs>
                      <w:tab w:val="left" w:pos="426"/>
                      <w:tab w:val="left" w:pos="1134"/>
                      <w:tab w:val="left" w:pos="1418"/>
                      <w:tab w:val="left" w:pos="1560"/>
                    </w:tabs>
                    <w:ind w:right="-144" w:firstLine="851"/>
                    <w:jc w:val="both"/>
                    <w:rPr>
                      <w:b/>
                      <w:szCs w:val="24"/>
                    </w:rPr>
                  </w:pPr>
                  <w:sdt>
                    <w:sdtPr>
                      <w:alias w:val="Numeris"/>
                      <w:tag w:val="nr_54a46467bf1c4c44852499bd9426b165"/>
                      <w:lock w:val="sdtLocked"/>
                      <w:richText/>
                    </w:sdtPr>
                    <w:sdtContent>
                      <w:r>
                        <w:rPr>
                          <w:rFonts w:eastAsia="Calibri"/>
                          <w:szCs w:val="24"/>
                        </w:rPr>
                        <w:t>8</w:t>
                      </w:r>
                    </w:sdtContent>
                  </w:sdt>
                  <w:r>
                    <w:rPr>
                      <w:rFonts w:eastAsia="Calibri"/>
                      <w:szCs w:val="24"/>
                    </w:rPr>
                    <w:t>. PAASP įstaiga turi užtikrinti šeimos gydytojo komandos narių (taip pat vidaus ligų ir vaikų ligų gydytojų) darbo krūvį, neviršijantį maksimaliojo darbo laiko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ec620447e11e8ad2f97b2a095557a">
                    <w:r w:rsidRPr="00532B9F">
                      <w:rPr>
                        <w:rFonts w:ascii="Times New Roman" w:eastAsia="MS Mincho" w:hAnsi="Times New Roman"/>
                        <w:sz w:val="20"/>
                        <w:i/>
                        <w:iCs/>
                        <w:color w:val="0000FF" w:themeColor="hyperlink"/>
                        <w:u w:val="single"/>
                      </w:rPr>
                      <w:t>V-468</w:t>
                    </w:r>
                  </w:fldSimple>
                  <w:r>
                    <w:rPr>
                      <w:rFonts w:ascii="Times New Roman" w:eastAsia="MS Mincho" w:hAnsi="Times New Roman"/>
                      <w:sz w:val="20"/>
                      <w:i/>
                      <w:iCs/>
                    </w:rPr>
                    <w:t>,
2018-04-19,
paskelbta TAR 2018-04-20, i. k. 2018-06353            </w:t>
                  </w:r>
                </w:p>
                <w:p/>
              </w:sdtContent>
            </w:sdt>
            <w:sdt>
              <w:sdtPr>
                <w:alias w:val="9 p."/>
                <w:tag w:val="part_2fad1c5c3e444fa38906ddc369c44ae8"/>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sdt>
                    <w:sdtPr>
                      <w:alias w:val="Numeris"/>
                      <w:tag w:val="nr_2fad1c5c3e444fa38906ddc369c44ae8"/>
                      <w:lock w:val="sdtLocked"/>
                      <w:richText/>
                    </w:sdtPr>
                    <w:sdtContent>
                      <w:r>
                        <w:rPr>
                          <w:color w:val="000000"/>
                          <w:szCs w:val="24"/>
                        </w:rPr>
                        <w:t>9</w:t>
                      </w:r>
                    </w:sdtContent>
                  </w:sdt>
                  <w:r>
                    <w:rPr>
                      <w:color w:val="000000"/>
                      <w:szCs w:val="24"/>
                    </w:rPr>
                    <w:t xml:space="preserve">. PAASP įstaigoje turi būti darbuotojas (atvejo vadybininkas), atsakingas už prevencinių programų įgyvendinimo, profilaktinių patikrinimų atlikimo ir asmens sveikatos priežiūros paslaugų teikimo lėtinėmis neinfekcinėmis ligomis sergantiems pacientams koordinavimą, prirašytų gyventojų informavimą apie PSDF biudžeto lėšomis teikiamas šiame punkte nurodytas asmens sveikatos priežiūros paslaugas ir kitų įstaigos vadovo jam priskirtų funkcijų atlikimą. Jeigu PAASP įstaigoje prirašyta daugiau negu 10 tūkst. gyventojų, rekomenduojama atvejo vadybininko funkcijoms vykdyti įstaigoje įsteigti atskirą etatą. PAASP įstaigos vadovas nustato šiame punkte išvardytų paslaugų teikimo koordinavimo tvarką.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9519801ab511ebb0038a8cd8ff585f">
                    <w:r w:rsidRPr="00532B9F">
                      <w:rPr>
                        <w:rFonts w:ascii="Times New Roman" w:eastAsia="MS Mincho" w:hAnsi="Times New Roman"/>
                        <w:sz w:val="20"/>
                        <w:i/>
                        <w:iCs/>
                        <w:color w:val="0000FF" w:themeColor="hyperlink"/>
                        <w:u w:val="single"/>
                      </w:rPr>
                      <w:t>V-2449</w:t>
                    </w:r>
                  </w:fldSimple>
                  <w:r>
                    <w:rPr>
                      <w:rFonts w:ascii="Times New Roman" w:eastAsia="MS Mincho" w:hAnsi="Times New Roman"/>
                      <w:sz w:val="20"/>
                      <w:i/>
                      <w:iCs/>
                    </w:rPr>
                    <w:t>,
2020-10-30,
paskelbta TAR 2020-10-30, i. k. 2020-22771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9-1 p."/>
                <w:tag w:val="part_4c3a82f235404554b98e6e07b88f4c1e"/>
                <w:lock w:val="sdtLocked"/>
                <w:richText/>
              </w:sdtPr>
              <w:sdtContent>
                <w:p>
                  <w:pPr>
                    <w:ind w:firstLine="851"/>
                    <w:jc w:val="both"/>
                    <w:rPr>
                      <w:iCs/>
                      <w:szCs w:val="24"/>
                    </w:rPr>
                  </w:pPr>
                  <w:sdt>
                    <w:sdtPr>
                      <w:alias w:val="Numeris"/>
                      <w:tag w:val="nr_4c3a82f235404554b98e6e07b88f4c1e"/>
                      <w:lock w:val="sdtLocked"/>
                      <w:richText/>
                    </w:sdtPr>
                    <w:sdtContent>
                      <w:r>
                        <w:rPr>
                          <w:szCs w:val="24"/>
                        </w:rPr>
                        <w:t>9</w:t>
                      </w:r>
                      <w:r>
                        <w:rPr>
                          <w:szCs w:val="24"/>
                          <w:vertAlign w:val="superscript"/>
                        </w:rPr>
                        <w:t>1</w:t>
                      </w:r>
                    </w:sdtContent>
                  </w:sdt>
                  <w:r>
                    <w:rPr>
                      <w:szCs w:val="24"/>
                    </w:rPr>
                    <w:t xml:space="preserve">. PAASP įstaigoje, teikiančioje šeimos gydytojo komandos paslaugas, privalo būti šios medicinos ir kitos </w:t>
                  </w:r>
                  <w:r>
                    <w:rPr>
                      <w:color w:val="000000"/>
                      <w:szCs w:val="24"/>
                    </w:rPr>
                    <w:t>priemonės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sdt>
                  <w:sdtPr>
                    <w:alias w:val="9-1.1 pp."/>
                    <w:tag w:val="part_d45290902ef7486e9e52a823bb65ceb3"/>
                    <w:lock w:val="sdtLocked"/>
                    <w:richText/>
                  </w:sdtPr>
                  <w:sdtContent>
                    <w:p>
                      <w:pPr>
                        <w:ind w:firstLine="851"/>
                        <w:jc w:val="both"/>
                        <w:rPr>
                          <w:szCs w:val="24"/>
                        </w:rPr>
                      </w:pPr>
                      <w:sdt>
                        <w:sdtPr>
                          <w:alias w:val="Numeris"/>
                          <w:tag w:val="nr_d45290902ef7486e9e52a823bb65ceb3"/>
                          <w:lock w:val="sdtLocked"/>
                          <w:richText/>
                        </w:sdtPr>
                        <w:sdtContent>
                          <w:r>
                            <w:rPr>
                              <w:iCs/>
                              <w:szCs w:val="24"/>
                            </w:rPr>
                            <w:t>9</w:t>
                          </w:r>
                          <w:r>
                            <w:rPr>
                              <w:iCs/>
                              <w:szCs w:val="24"/>
                              <w:vertAlign w:val="superscript"/>
                            </w:rPr>
                            <w:t>1</w:t>
                          </w:r>
                          <w:r>
                            <w:rPr>
                              <w:iCs/>
                              <w:szCs w:val="24"/>
                            </w:rPr>
                            <w:t>.1</w:t>
                          </w:r>
                        </w:sdtContent>
                      </w:sdt>
                      <w:r>
                        <w:rPr>
                          <w:iCs/>
                          <w:szCs w:val="24"/>
                        </w:rPr>
                        <w:t>. bendrosios paciento apžiūros kušetė;</w:t>
                      </w:r>
                    </w:p>
                  </w:sdtContent>
                </w:sdt>
                <w:sdt>
                  <w:sdtPr>
                    <w:alias w:val="9-1.2 pp."/>
                    <w:tag w:val="part_786aeb8b837249b5a1de4a71334152c7"/>
                    <w:lock w:val="sdtLocked"/>
                    <w:richText/>
                  </w:sdtPr>
                  <w:sdtContent>
                    <w:p>
                      <w:pPr>
                        <w:ind w:firstLine="851"/>
                        <w:jc w:val="both"/>
                        <w:rPr>
                          <w:szCs w:val="24"/>
                        </w:rPr>
                      </w:pPr>
                      <w:sdt>
                        <w:sdtPr>
                          <w:alias w:val="Numeris"/>
                          <w:tag w:val="nr_786aeb8b837249b5a1de4a71334152c7"/>
                          <w:lock w:val="sdtLocked"/>
                          <w:richText/>
                        </w:sdtPr>
                        <w:sdtContent>
                          <w:r>
                            <w:rPr>
                              <w:szCs w:val="24"/>
                            </w:rPr>
                            <w:t>9</w:t>
                          </w:r>
                          <w:r>
                            <w:rPr>
                              <w:szCs w:val="24"/>
                              <w:vertAlign w:val="superscript"/>
                            </w:rPr>
                            <w:t>1</w:t>
                          </w:r>
                          <w:r>
                            <w:rPr>
                              <w:szCs w:val="24"/>
                            </w:rPr>
                            <w:t>.2</w:t>
                          </w:r>
                        </w:sdtContent>
                      </w:sdt>
                      <w:r>
                        <w:rPr>
                          <w:szCs w:val="24"/>
                        </w:rPr>
                        <w:t>. ginekologinė kėdė (kiekvienu veiklos adresu turi būti ne mažiau kaip viena ginekologinė kėdė, pritaikyta asmeniui</w:t>
                      </w:r>
                      <w:r>
                        <w:rPr>
                          <w:b/>
                          <w:bCs/>
                          <w:szCs w:val="24"/>
                        </w:rPr>
                        <w:t xml:space="preserve"> </w:t>
                      </w:r>
                      <w:r>
                        <w:rPr>
                          <w:szCs w:val="24"/>
                        </w:rPr>
                        <w:t>su negalia);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4d484858911efabdbb4a1fc8b0b63">
                        <w:r w:rsidRPr="00532B9F">
                          <w:rPr>
                            <w:rFonts w:ascii="Times New Roman" w:eastAsia="MS Mincho" w:hAnsi="Times New Roman"/>
                            <w:sz w:val="20"/>
                            <w:i/>
                            <w:iCs/>
                            <w:color w:val="0000FF" w:themeColor="hyperlink"/>
                            <w:u w:val="single"/>
                          </w:rPr>
                          <w:t>V-981</w:t>
                        </w:r>
                      </w:fldSimple>
                      <w:r>
                        <w:rPr>
                          <w:rFonts w:ascii="Times New Roman" w:eastAsia="MS Mincho" w:hAnsi="Times New Roman"/>
                          <w:sz w:val="20"/>
                          <w:i/>
                          <w:iCs/>
                        </w:rPr>
                        <w:t>,
2024-10-08,
paskelbta TAR 2024-10-08, i. k. 2024-17662            </w:t>
                      </w:r>
                    </w:p>
                    <w:p/>
                  </w:sdtContent>
                </w:sdt>
                <w:sdt>
                  <w:sdtPr>
                    <w:alias w:val="9-1.3 pp."/>
                    <w:tag w:val="part_d7e795d759824da3baf0330ff53fde4c"/>
                    <w:lock w:val="sdtLocked"/>
                    <w:richText/>
                  </w:sdtPr>
                  <w:sdtContent>
                    <w:p>
                      <w:pPr>
                        <w:ind w:firstLine="851"/>
                        <w:rPr>
                          <w:szCs w:val="24"/>
                        </w:rPr>
                      </w:pPr>
                      <w:sdt>
                        <w:sdtPr>
                          <w:alias w:val="Numeris"/>
                          <w:tag w:val="nr_d7e795d759824da3baf0330ff53fde4c"/>
                          <w:lock w:val="sdtLocked"/>
                          <w:richText/>
                        </w:sdtPr>
                        <w:sdtContent>
                          <w:r>
                            <w:rPr>
                              <w:iCs/>
                              <w:szCs w:val="24"/>
                            </w:rPr>
                            <w:t>9</w:t>
                          </w:r>
                          <w:r>
                            <w:rPr>
                              <w:iCs/>
                              <w:szCs w:val="24"/>
                              <w:vertAlign w:val="superscript"/>
                            </w:rPr>
                            <w:t>1</w:t>
                          </w:r>
                          <w:r>
                            <w:rPr>
                              <w:iCs/>
                              <w:szCs w:val="24"/>
                            </w:rPr>
                            <w:t>.3</w:t>
                          </w:r>
                        </w:sdtContent>
                      </w:sdt>
                      <w:r>
                        <w:rPr>
                          <w:iCs/>
                          <w:szCs w:val="24"/>
                        </w:rPr>
                        <w:t>. šviesos šaltinis;</w:t>
                      </w:r>
                    </w:p>
                  </w:sdtContent>
                </w:sdt>
                <w:sdt>
                  <w:sdtPr>
                    <w:alias w:val="9-1.4 pp."/>
                    <w:tag w:val="part_66a646edc1194b58a6e75a33a83149a7"/>
                    <w:lock w:val="sdtLocked"/>
                    <w:richText/>
                  </w:sdtPr>
                  <w:sdtContent>
                    <w:p>
                      <w:pPr>
                        <w:ind w:firstLine="851"/>
                        <w:rPr>
                          <w:szCs w:val="24"/>
                        </w:rPr>
                      </w:pPr>
                      <w:sdt>
                        <w:sdtPr>
                          <w:alias w:val="Numeris"/>
                          <w:tag w:val="nr_66a646edc1194b58a6e75a33a83149a7"/>
                          <w:lock w:val="sdtLocked"/>
                          <w:richText/>
                        </w:sdtPr>
                        <w:sdtContent>
                          <w:r>
                            <w:rPr>
                              <w:iCs/>
                              <w:szCs w:val="24"/>
                            </w:rPr>
                            <w:t>9</w:t>
                          </w:r>
                          <w:r>
                            <w:rPr>
                              <w:iCs/>
                              <w:szCs w:val="24"/>
                              <w:vertAlign w:val="superscript"/>
                            </w:rPr>
                            <w:t>1</w:t>
                          </w:r>
                          <w:r>
                            <w:rPr>
                              <w:iCs/>
                              <w:szCs w:val="24"/>
                            </w:rPr>
                            <w:t>.4</w:t>
                          </w:r>
                        </w:sdtContent>
                      </w:sdt>
                      <w:r>
                        <w:rPr>
                          <w:iCs/>
                          <w:szCs w:val="24"/>
                        </w:rPr>
                        <w:t>. kraujospūdžio matavimo aparatas / matuoklis su įvairaus dydžio manžetėmis;</w:t>
                      </w:r>
                    </w:p>
                  </w:sdtContent>
                </w:sdt>
                <w:sdt>
                  <w:sdtPr>
                    <w:alias w:val="9-1.5 pp."/>
                    <w:tag w:val="part_4df187fc44fb4b3fad77ff4efd763dbb"/>
                    <w:lock w:val="sdtLocked"/>
                    <w:richText/>
                  </w:sdtPr>
                  <w:sdtContent>
                    <w:p>
                      <w:pPr>
                        <w:ind w:firstLine="851"/>
                        <w:rPr>
                          <w:iCs/>
                          <w:szCs w:val="24"/>
                        </w:rPr>
                      </w:pPr>
                      <w:sdt>
                        <w:sdtPr>
                          <w:alias w:val="Numeris"/>
                          <w:tag w:val="nr_4df187fc44fb4b3fad77ff4efd763dbb"/>
                          <w:lock w:val="sdtLocked"/>
                          <w:richText/>
                        </w:sdtPr>
                        <w:sdtContent>
                          <w:r>
                            <w:rPr>
                              <w:iCs/>
                              <w:szCs w:val="24"/>
                            </w:rPr>
                            <w:t>9</w:t>
                          </w:r>
                          <w:r>
                            <w:rPr>
                              <w:iCs/>
                              <w:szCs w:val="24"/>
                              <w:vertAlign w:val="superscript"/>
                            </w:rPr>
                            <w:t>1</w:t>
                          </w:r>
                          <w:r>
                            <w:rPr>
                              <w:iCs/>
                              <w:szCs w:val="24"/>
                            </w:rPr>
                            <w:t>.5</w:t>
                          </w:r>
                        </w:sdtContent>
                      </w:sdt>
                      <w:r>
                        <w:rPr>
                          <w:iCs/>
                          <w:szCs w:val="24"/>
                        </w:rPr>
                        <w:t>. stetofonendoskopas;</w:t>
                      </w:r>
                    </w:p>
                  </w:sdtContent>
                </w:sdt>
                <w:sdt>
                  <w:sdtPr>
                    <w:alias w:val="9-1.6 pp."/>
                    <w:tag w:val="part_507b4a0e16b44408ac7ad6fa4da322f9"/>
                    <w:lock w:val="sdtLocked"/>
                    <w:richText/>
                  </w:sdtPr>
                  <w:sdtContent>
                    <w:p>
                      <w:pPr>
                        <w:ind w:firstLine="851"/>
                        <w:rPr>
                          <w:szCs w:val="24"/>
                        </w:rPr>
                      </w:pPr>
                      <w:sdt>
                        <w:sdtPr>
                          <w:alias w:val="Numeris"/>
                          <w:tag w:val="nr_507b4a0e16b44408ac7ad6fa4da322f9"/>
                          <w:lock w:val="sdtLocked"/>
                          <w:richText/>
                        </w:sdtPr>
                        <w:sdtContent>
                          <w:r>
                            <w:rPr>
                              <w:iCs/>
                              <w:szCs w:val="24"/>
                            </w:rPr>
                            <w:t>9</w:t>
                          </w:r>
                          <w:r>
                            <w:rPr>
                              <w:iCs/>
                              <w:szCs w:val="24"/>
                              <w:vertAlign w:val="superscript"/>
                            </w:rPr>
                            <w:t>1</w:t>
                          </w:r>
                          <w:r>
                            <w:rPr>
                              <w:iCs/>
                              <w:szCs w:val="24"/>
                            </w:rPr>
                            <w:t>.6</w:t>
                          </w:r>
                        </w:sdtContent>
                      </w:sdt>
                      <w:r>
                        <w:rPr>
                          <w:iCs/>
                          <w:szCs w:val="24"/>
                        </w:rPr>
                        <w:t>. vaisiaus širdies tonų matuoklis;</w:t>
                      </w:r>
                    </w:p>
                  </w:sdtContent>
                </w:sdt>
                <w:sdt>
                  <w:sdtPr>
                    <w:alias w:val="9-1.7 pp."/>
                    <w:tag w:val="part_b2606349e610411a9963ffac74a57ddf"/>
                    <w:lock w:val="sdtLocked"/>
                    <w:richText/>
                  </w:sdtPr>
                  <w:sdtContent>
                    <w:p>
                      <w:pPr>
                        <w:ind w:firstLine="851"/>
                        <w:rPr>
                          <w:szCs w:val="24"/>
                        </w:rPr>
                      </w:pPr>
                      <w:sdt>
                        <w:sdtPr>
                          <w:alias w:val="Numeris"/>
                          <w:tag w:val="nr_b2606349e610411a9963ffac74a57ddf"/>
                          <w:lock w:val="sdtLocked"/>
                          <w:richText/>
                        </w:sdtPr>
                        <w:sdtContent>
                          <w:r>
                            <w:rPr>
                              <w:iCs/>
                              <w:szCs w:val="24"/>
                            </w:rPr>
                            <w:t>9</w:t>
                          </w:r>
                          <w:r>
                            <w:rPr>
                              <w:iCs/>
                              <w:szCs w:val="24"/>
                              <w:vertAlign w:val="superscript"/>
                            </w:rPr>
                            <w:t>1</w:t>
                          </w:r>
                          <w:r>
                            <w:rPr>
                              <w:iCs/>
                              <w:szCs w:val="24"/>
                            </w:rPr>
                            <w:t>.7</w:t>
                          </w:r>
                        </w:sdtContent>
                      </w:sdt>
                      <w:r>
                        <w:rPr>
                          <w:iCs/>
                          <w:szCs w:val="24"/>
                        </w:rPr>
                        <w:t>. neurologinis plaktukas;</w:t>
                      </w:r>
                    </w:p>
                  </w:sdtContent>
                </w:sdt>
                <w:sdt>
                  <w:sdtPr>
                    <w:alias w:val="9-1.8 pp."/>
                    <w:tag w:val="part_45d6445b5dab4acb9c77974f89b30368"/>
                    <w:lock w:val="sdtLocked"/>
                    <w:richText/>
                  </w:sdtPr>
                  <w:sdtContent>
                    <w:p>
                      <w:pPr>
                        <w:ind w:firstLine="851"/>
                        <w:rPr>
                          <w:szCs w:val="24"/>
                        </w:rPr>
                      </w:pPr>
                      <w:sdt>
                        <w:sdtPr>
                          <w:alias w:val="Numeris"/>
                          <w:tag w:val="nr_45d6445b5dab4acb9c77974f89b30368"/>
                          <w:lock w:val="sdtLocked"/>
                          <w:richText/>
                        </w:sdtPr>
                        <w:sdtContent>
                          <w:r>
                            <w:rPr>
                              <w:iCs/>
                              <w:szCs w:val="24"/>
                            </w:rPr>
                            <w:t>9</w:t>
                          </w:r>
                          <w:r>
                            <w:rPr>
                              <w:iCs/>
                              <w:szCs w:val="24"/>
                              <w:vertAlign w:val="superscript"/>
                            </w:rPr>
                            <w:t>1</w:t>
                          </w:r>
                          <w:r>
                            <w:rPr>
                              <w:iCs/>
                              <w:szCs w:val="24"/>
                            </w:rPr>
                            <w:t>.8</w:t>
                          </w:r>
                        </w:sdtContent>
                      </w:sdt>
                      <w:r>
                        <w:rPr>
                          <w:iCs/>
                          <w:szCs w:val="24"/>
                        </w:rPr>
                        <w:t>. otorinooftalmoskopas;</w:t>
                      </w:r>
                    </w:p>
                  </w:sdtContent>
                </w:sdt>
                <w:sdt>
                  <w:sdtPr>
                    <w:alias w:val="9-1.9 pp."/>
                    <w:tag w:val="part_938857b219ce441092da5b0325dff43b"/>
                    <w:lock w:val="sdtLocked"/>
                    <w:richText/>
                  </w:sdtPr>
                  <w:sdtContent>
                    <w:p>
                      <w:pPr>
                        <w:ind w:firstLine="851"/>
                        <w:rPr>
                          <w:szCs w:val="24"/>
                        </w:rPr>
                      </w:pPr>
                      <w:sdt>
                        <w:sdtPr>
                          <w:alias w:val="Numeris"/>
                          <w:tag w:val="nr_938857b219ce441092da5b0325dff43b"/>
                          <w:lock w:val="sdtLocked"/>
                          <w:richText/>
                        </w:sdtPr>
                        <w:sdtContent>
                          <w:r>
                            <w:rPr>
                              <w:iCs/>
                              <w:szCs w:val="24"/>
                            </w:rPr>
                            <w:t>9</w:t>
                          </w:r>
                          <w:r>
                            <w:rPr>
                              <w:iCs/>
                              <w:szCs w:val="24"/>
                              <w:vertAlign w:val="superscript"/>
                            </w:rPr>
                            <w:t>1</w:t>
                          </w:r>
                          <w:r>
                            <w:rPr>
                              <w:iCs/>
                              <w:szCs w:val="24"/>
                            </w:rPr>
                            <w:t>.9</w:t>
                          </w:r>
                        </w:sdtContent>
                      </w:sdt>
                      <w:r>
                        <w:rPr>
                          <w:iCs/>
                          <w:szCs w:val="24"/>
                        </w:rPr>
                        <w:t>. kamertonas C 128;</w:t>
                      </w:r>
                    </w:p>
                  </w:sdtContent>
                </w:sdt>
                <w:sdt>
                  <w:sdtPr>
                    <w:alias w:val="9-1.10 pp."/>
                    <w:tag w:val="part_8aec8f682396469b806af2337952ef0b"/>
                    <w:lock w:val="sdtLocked"/>
                    <w:richText/>
                  </w:sdtPr>
                  <w:sdtContent>
                    <w:p>
                      <w:pPr>
                        <w:ind w:firstLine="851"/>
                        <w:rPr>
                          <w:szCs w:val="24"/>
                        </w:rPr>
                      </w:pPr>
                      <w:sdt>
                        <w:sdtPr>
                          <w:alias w:val="Numeris"/>
                          <w:tag w:val="nr_8aec8f682396469b806af2337952ef0b"/>
                          <w:lock w:val="sdtLocked"/>
                          <w:richText/>
                        </w:sdtPr>
                        <w:sdtContent>
                          <w:r>
                            <w:rPr>
                              <w:iCs/>
                              <w:szCs w:val="24"/>
                            </w:rPr>
                            <w:t>9</w:t>
                          </w:r>
                          <w:r>
                            <w:rPr>
                              <w:iCs/>
                              <w:szCs w:val="24"/>
                              <w:vertAlign w:val="superscript"/>
                            </w:rPr>
                            <w:t>1</w:t>
                          </w:r>
                          <w:r>
                            <w:rPr>
                              <w:iCs/>
                              <w:szCs w:val="24"/>
                            </w:rPr>
                            <w:t>.10</w:t>
                          </w:r>
                        </w:sdtContent>
                      </w:sdt>
                      <w:r>
                        <w:rPr>
                          <w:iCs/>
                          <w:szCs w:val="24"/>
                        </w:rPr>
                        <w:t>. elektrokardiografas;</w:t>
                      </w:r>
                    </w:p>
                  </w:sdtContent>
                </w:sdt>
                <w:sdt>
                  <w:sdtPr>
                    <w:alias w:val="9-1.11 pp."/>
                    <w:tag w:val="part_676d958b1ad349b0baaff7cb3b7e8c4c"/>
                    <w:lock w:val="sdtLocked"/>
                    <w:richText/>
                  </w:sdtPr>
                  <w:sdtContent>
                    <w:p>
                      <w:pPr>
                        <w:ind w:firstLine="851"/>
                        <w:rPr>
                          <w:szCs w:val="24"/>
                        </w:rPr>
                      </w:pPr>
                      <w:sdt>
                        <w:sdtPr>
                          <w:alias w:val="Numeris"/>
                          <w:tag w:val="nr_676d958b1ad349b0baaff7cb3b7e8c4c"/>
                          <w:lock w:val="sdtLocked"/>
                          <w:richText/>
                        </w:sdtPr>
                        <w:sdtContent>
                          <w:r>
                            <w:rPr>
                              <w:iCs/>
                              <w:szCs w:val="24"/>
                            </w:rPr>
                            <w:t>9</w:t>
                          </w:r>
                          <w:r>
                            <w:rPr>
                              <w:iCs/>
                              <w:szCs w:val="24"/>
                              <w:vertAlign w:val="superscript"/>
                            </w:rPr>
                            <w:t>1</w:t>
                          </w:r>
                          <w:r>
                            <w:rPr>
                              <w:iCs/>
                              <w:szCs w:val="24"/>
                            </w:rPr>
                            <w:t>.11</w:t>
                          </w:r>
                        </w:sdtContent>
                      </w:sdt>
                      <w:r>
                        <w:rPr>
                          <w:iCs/>
                          <w:szCs w:val="24"/>
                        </w:rPr>
                        <w:t>. kūdikių svarstyklės;</w:t>
                      </w:r>
                    </w:p>
                  </w:sdtContent>
                </w:sdt>
                <w:sdt>
                  <w:sdtPr>
                    <w:alias w:val="9-1.12 pp."/>
                    <w:tag w:val="part_898f28e305d14da39eeaf2a07f9b0efe"/>
                    <w:lock w:val="sdtLocked"/>
                    <w:richText/>
                  </w:sdtPr>
                  <w:sdtContent>
                    <w:p>
                      <w:pPr>
                        <w:ind w:firstLine="851"/>
                        <w:rPr>
                          <w:szCs w:val="24"/>
                        </w:rPr>
                      </w:pPr>
                      <w:sdt>
                        <w:sdtPr>
                          <w:alias w:val="Numeris"/>
                          <w:tag w:val="nr_898f28e305d14da39eeaf2a07f9b0efe"/>
                          <w:lock w:val="sdtLocked"/>
                          <w:richText/>
                        </w:sdtPr>
                        <w:sdtContent>
                          <w:r>
                            <w:rPr>
                              <w:iCs/>
                              <w:szCs w:val="24"/>
                            </w:rPr>
                            <w:t>9</w:t>
                          </w:r>
                          <w:r>
                            <w:rPr>
                              <w:iCs/>
                              <w:szCs w:val="24"/>
                              <w:vertAlign w:val="superscript"/>
                            </w:rPr>
                            <w:t>1</w:t>
                          </w:r>
                          <w:r>
                            <w:rPr>
                              <w:iCs/>
                              <w:szCs w:val="24"/>
                            </w:rPr>
                            <w:t>.12</w:t>
                          </w:r>
                        </w:sdtContent>
                      </w:sdt>
                      <w:r>
                        <w:rPr>
                          <w:iCs/>
                          <w:szCs w:val="24"/>
                        </w:rPr>
                        <w:t>. suaugusiųjų svarstyklės;</w:t>
                      </w:r>
                    </w:p>
                  </w:sdtContent>
                </w:sdt>
                <w:sdt>
                  <w:sdtPr>
                    <w:alias w:val="9-1.13 pp."/>
                    <w:tag w:val="part_c8392ad550dd4b0aae33282f8324422a"/>
                    <w:lock w:val="sdtLocked"/>
                    <w:richText/>
                  </w:sdtPr>
                  <w:sdtContent>
                    <w:p>
                      <w:pPr>
                        <w:ind w:firstLine="851"/>
                        <w:rPr>
                          <w:szCs w:val="24"/>
                        </w:rPr>
                      </w:pPr>
                      <w:sdt>
                        <w:sdtPr>
                          <w:alias w:val="Numeris"/>
                          <w:tag w:val="nr_c8392ad550dd4b0aae33282f8324422a"/>
                          <w:lock w:val="sdtLocked"/>
                          <w:richText/>
                        </w:sdtPr>
                        <w:sdtContent>
                          <w:r>
                            <w:rPr>
                              <w:iCs/>
                              <w:szCs w:val="24"/>
                            </w:rPr>
                            <w:t>9</w:t>
                          </w:r>
                          <w:r>
                            <w:rPr>
                              <w:iCs/>
                              <w:szCs w:val="24"/>
                              <w:vertAlign w:val="superscript"/>
                            </w:rPr>
                            <w:t>1</w:t>
                          </w:r>
                          <w:r>
                            <w:rPr>
                              <w:iCs/>
                              <w:szCs w:val="24"/>
                            </w:rPr>
                            <w:t>.13</w:t>
                          </w:r>
                        </w:sdtContent>
                      </w:sdt>
                      <w:r>
                        <w:rPr>
                          <w:iCs/>
                          <w:szCs w:val="24"/>
                        </w:rPr>
                        <w:t>. vaikų ūgio matuoklė;</w:t>
                      </w:r>
                    </w:p>
                  </w:sdtContent>
                </w:sdt>
                <w:sdt>
                  <w:sdtPr>
                    <w:alias w:val="9-1.14 pp."/>
                    <w:tag w:val="part_8e16106fe7cd48dd9dee8a55c4fcc70f"/>
                    <w:lock w:val="sdtLocked"/>
                    <w:richText/>
                  </w:sdtPr>
                  <w:sdtContent>
                    <w:p>
                      <w:pPr>
                        <w:ind w:firstLine="851"/>
                        <w:rPr>
                          <w:szCs w:val="24"/>
                        </w:rPr>
                      </w:pPr>
                      <w:sdt>
                        <w:sdtPr>
                          <w:alias w:val="Numeris"/>
                          <w:tag w:val="nr_8e16106fe7cd48dd9dee8a55c4fcc70f"/>
                          <w:lock w:val="sdtLocked"/>
                          <w:richText/>
                        </w:sdtPr>
                        <w:sdtContent>
                          <w:r>
                            <w:rPr>
                              <w:iCs/>
                              <w:szCs w:val="24"/>
                            </w:rPr>
                            <w:t>9</w:t>
                          </w:r>
                          <w:r>
                            <w:rPr>
                              <w:iCs/>
                              <w:szCs w:val="24"/>
                              <w:vertAlign w:val="superscript"/>
                            </w:rPr>
                            <w:t>1</w:t>
                          </w:r>
                          <w:r>
                            <w:rPr>
                              <w:iCs/>
                              <w:szCs w:val="24"/>
                            </w:rPr>
                            <w:t>.14</w:t>
                          </w:r>
                        </w:sdtContent>
                      </w:sdt>
                      <w:r>
                        <w:rPr>
                          <w:iCs/>
                          <w:szCs w:val="24"/>
                        </w:rPr>
                        <w:t>. suaugusiųjų ūgio matuoklė;</w:t>
                      </w:r>
                    </w:p>
                  </w:sdtContent>
                </w:sdt>
                <w:sdt>
                  <w:sdtPr>
                    <w:alias w:val="9-1.15 pp."/>
                    <w:tag w:val="part_6afb36bacc8a428ba64ff5b549e62b23"/>
                    <w:lock w:val="sdtLocked"/>
                    <w:richText/>
                  </w:sdtPr>
                  <w:sdtContent>
                    <w:p>
                      <w:pPr>
                        <w:ind w:firstLine="851"/>
                        <w:rPr>
                          <w:szCs w:val="24"/>
                        </w:rPr>
                      </w:pPr>
                      <w:sdt>
                        <w:sdtPr>
                          <w:alias w:val="Numeris"/>
                          <w:tag w:val="nr_6afb36bacc8a428ba64ff5b549e62b23"/>
                          <w:lock w:val="sdtLocked"/>
                          <w:richText/>
                        </w:sdtPr>
                        <w:sdtContent>
                          <w:r>
                            <w:rPr>
                              <w:iCs/>
                              <w:szCs w:val="24"/>
                            </w:rPr>
                            <w:t>9</w:t>
                          </w:r>
                          <w:r>
                            <w:rPr>
                              <w:iCs/>
                              <w:szCs w:val="24"/>
                              <w:vertAlign w:val="superscript"/>
                            </w:rPr>
                            <w:t>1</w:t>
                          </w:r>
                          <w:r>
                            <w:rPr>
                              <w:iCs/>
                              <w:szCs w:val="24"/>
                            </w:rPr>
                            <w:t>.15</w:t>
                          </w:r>
                        </w:sdtContent>
                      </w:sdt>
                      <w:r>
                        <w:rPr>
                          <w:iCs/>
                          <w:szCs w:val="24"/>
                        </w:rPr>
                        <w:t>. lentelė regėjimo aštrumui nustatyti;</w:t>
                      </w:r>
                    </w:p>
                  </w:sdtContent>
                </w:sdt>
                <w:sdt>
                  <w:sdtPr>
                    <w:alias w:val="9-1.16 pp."/>
                    <w:tag w:val="part_5aeac9d0df1a4f46a0f682853297b780"/>
                    <w:lock w:val="sdtLocked"/>
                    <w:richText/>
                  </w:sdtPr>
                  <w:sdtContent>
                    <w:p>
                      <w:pPr>
                        <w:ind w:firstLine="851"/>
                        <w:rPr>
                          <w:szCs w:val="24"/>
                        </w:rPr>
                      </w:pPr>
                      <w:sdt>
                        <w:sdtPr>
                          <w:alias w:val="Numeris"/>
                          <w:tag w:val="nr_5aeac9d0df1a4f46a0f682853297b780"/>
                          <w:lock w:val="sdtLocked"/>
                          <w:richText/>
                        </w:sdtPr>
                        <w:sdtContent>
                          <w:r>
                            <w:rPr>
                              <w:iCs/>
                              <w:szCs w:val="24"/>
                            </w:rPr>
                            <w:t>9</w:t>
                          </w:r>
                          <w:r>
                            <w:rPr>
                              <w:iCs/>
                              <w:szCs w:val="24"/>
                              <w:vertAlign w:val="superscript"/>
                            </w:rPr>
                            <w:t>1</w:t>
                          </w:r>
                          <w:r>
                            <w:rPr>
                              <w:iCs/>
                              <w:szCs w:val="24"/>
                            </w:rPr>
                            <w:t>.16</w:t>
                          </w:r>
                        </w:sdtContent>
                      </w:sdt>
                      <w:r>
                        <w:rPr>
                          <w:iCs/>
                          <w:szCs w:val="24"/>
                        </w:rPr>
                        <w:t>. tonometras akispūdžiui matuoti;</w:t>
                      </w:r>
                    </w:p>
                  </w:sdtContent>
                </w:sdt>
                <w:sdt>
                  <w:sdtPr>
                    <w:alias w:val="9-1.17 pp."/>
                    <w:tag w:val="part_f1441c7b4cb5410aa6d4cc7e2d1fe3a3"/>
                    <w:lock w:val="sdtLocked"/>
                    <w:richText/>
                  </w:sdtPr>
                  <w:sdtContent>
                    <w:p>
                      <w:pPr>
                        <w:ind w:firstLine="851"/>
                        <w:rPr>
                          <w:szCs w:val="24"/>
                        </w:rPr>
                      </w:pPr>
                      <w:sdt>
                        <w:sdtPr>
                          <w:alias w:val="Numeris"/>
                          <w:tag w:val="nr_f1441c7b4cb5410aa6d4cc7e2d1fe3a3"/>
                          <w:lock w:val="sdtLocked"/>
                          <w:richText/>
                        </w:sdtPr>
                        <w:sdtContent>
                          <w:r>
                            <w:rPr>
                              <w:iCs/>
                              <w:szCs w:val="24"/>
                            </w:rPr>
                            <w:t>9</w:t>
                          </w:r>
                          <w:r>
                            <w:rPr>
                              <w:iCs/>
                              <w:szCs w:val="24"/>
                              <w:vertAlign w:val="superscript"/>
                            </w:rPr>
                            <w:t>1</w:t>
                          </w:r>
                          <w:r>
                            <w:rPr>
                              <w:iCs/>
                              <w:szCs w:val="24"/>
                            </w:rPr>
                            <w:t>.17</w:t>
                          </w:r>
                        </w:sdtContent>
                      </w:sdt>
                      <w:r>
                        <w:rPr>
                          <w:iCs/>
                          <w:szCs w:val="24"/>
                        </w:rPr>
                        <w:t>. knyga spalviniam jutimui nustatyti;</w:t>
                      </w:r>
                    </w:p>
                  </w:sdtContent>
                </w:sdt>
                <w:sdt>
                  <w:sdtPr>
                    <w:alias w:val="9-1.18 pp."/>
                    <w:tag w:val="part_8b5365b2301a4460ab525b65a9295132"/>
                    <w:lock w:val="sdtLocked"/>
                    <w:richText/>
                  </w:sdtPr>
                  <w:sdtContent>
                    <w:p>
                      <w:pPr>
                        <w:tabs>
                          <w:tab w:val="left" w:pos="567"/>
                          <w:tab w:val="left" w:pos="851"/>
                        </w:tabs>
                        <w:suppressAutoHyphens/>
                        <w:ind w:left="567" w:firstLine="284"/>
                        <w:jc w:val="both"/>
                        <w:rPr>
                          <w:szCs w:val="24"/>
                        </w:rPr>
                      </w:pPr>
                      <w:sdt>
                        <w:sdtPr>
                          <w:alias w:val="Numeris"/>
                          <w:tag w:val="nr_8b5365b2301a4460ab525b65a9295132"/>
                          <w:lock w:val="sdtLocked"/>
                          <w:richText/>
                        </w:sdtPr>
                        <w:sdtContent>
                          <w:r>
                            <w:rPr>
                              <w:color w:val="000000"/>
                              <w:szCs w:val="24"/>
                            </w:rPr>
                            <w:t>9</w:t>
                          </w:r>
                          <w:r>
                            <w:rPr>
                              <w:color w:val="000000"/>
                              <w:szCs w:val="24"/>
                              <w:vertAlign w:val="superscript"/>
                            </w:rPr>
                            <w:t>1</w:t>
                          </w:r>
                          <w:r>
                            <w:rPr>
                              <w:color w:val="000000"/>
                              <w:szCs w:val="24"/>
                            </w:rPr>
                            <w:t>.18</w:t>
                          </w:r>
                        </w:sdtContent>
                      </w:sdt>
                      <w:r>
                        <w:rPr>
                          <w:color w:val="000000"/>
                          <w:szCs w:val="24"/>
                        </w:rPr>
                        <w:t>. termometrai ir bekontakčiai termometrai;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46970c7ae11ec8d9390588bf2de65">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2022-04-29,
paskelbta TAR 2022-04-29, i. k. 2022-08985            </w:t>
                      </w:r>
                    </w:p>
                    <w:p/>
                  </w:sdtContent>
                </w:sdt>
                <w:sdt>
                  <w:sdtPr>
                    <w:alias w:val="9-1.19 pp."/>
                    <w:tag w:val="part_64dfcae78524496293e495dfa9afbb91"/>
                    <w:lock w:val="sdtLocked"/>
                    <w:richText/>
                  </w:sdtPr>
                  <w:sdtContent>
                    <w:p>
                      <w:pPr>
                        <w:ind w:firstLine="851"/>
                        <w:rPr>
                          <w:szCs w:val="24"/>
                        </w:rPr>
                      </w:pPr>
                      <w:sdt>
                        <w:sdtPr>
                          <w:alias w:val="Numeris"/>
                          <w:tag w:val="nr_64dfcae78524496293e495dfa9afbb91"/>
                          <w:lock w:val="sdtLocked"/>
                          <w:richText/>
                        </w:sdtPr>
                        <w:sdtContent>
                          <w:r>
                            <w:rPr>
                              <w:iCs/>
                              <w:szCs w:val="24"/>
                            </w:rPr>
                            <w:t>9</w:t>
                          </w:r>
                          <w:r>
                            <w:rPr>
                              <w:iCs/>
                              <w:szCs w:val="24"/>
                              <w:vertAlign w:val="superscript"/>
                            </w:rPr>
                            <w:t>1</w:t>
                          </w:r>
                          <w:r>
                            <w:rPr>
                              <w:iCs/>
                              <w:szCs w:val="24"/>
                            </w:rPr>
                            <w:t>.19</w:t>
                          </w:r>
                        </w:sdtContent>
                      </w:sdt>
                      <w:r>
                        <w:rPr>
                          <w:iCs/>
                          <w:szCs w:val="24"/>
                        </w:rPr>
                        <w:t>. gliukometras;</w:t>
                      </w:r>
                    </w:p>
                  </w:sdtContent>
                </w:sdt>
                <w:sdt>
                  <w:sdtPr>
                    <w:alias w:val="9-1.20 pp."/>
                    <w:tag w:val="part_71df3b83a6ac4444be4d947166174693"/>
                    <w:lock w:val="sdtLocked"/>
                    <w:richText/>
                  </w:sdtPr>
                  <w:sdtContent>
                    <w:p>
                      <w:pPr>
                        <w:ind w:firstLine="851"/>
                        <w:rPr>
                          <w:szCs w:val="24"/>
                        </w:rPr>
                      </w:pPr>
                      <w:sdt>
                        <w:sdtPr>
                          <w:alias w:val="Numeris"/>
                          <w:tag w:val="nr_71df3b83a6ac4444be4d947166174693"/>
                          <w:lock w:val="sdtLocked"/>
                          <w:richText/>
                        </w:sdtPr>
                        <w:sdtContent>
                          <w:r>
                            <w:rPr>
                              <w:iCs/>
                              <w:szCs w:val="24"/>
                            </w:rPr>
                            <w:t>9</w:t>
                          </w:r>
                          <w:r>
                            <w:rPr>
                              <w:iCs/>
                              <w:szCs w:val="24"/>
                              <w:vertAlign w:val="superscript"/>
                            </w:rPr>
                            <w:t>1</w:t>
                          </w:r>
                          <w:r>
                            <w:rPr>
                              <w:iCs/>
                              <w:szCs w:val="24"/>
                            </w:rPr>
                            <w:t>.20</w:t>
                          </w:r>
                        </w:sdtContent>
                      </w:sdt>
                      <w:r>
                        <w:rPr>
                          <w:iCs/>
                          <w:szCs w:val="24"/>
                        </w:rPr>
                        <w:t xml:space="preserve">. </w:t>
                      </w:r>
                      <w:r>
                        <w:rPr>
                          <w:szCs w:val="24"/>
                        </w:rPr>
                        <w:t xml:space="preserve">mikrospirometras (didžiausiam iškvėpimo srovės greičiui forsuoto iškvėpimo metu (PEF), </w:t>
                      </w:r>
                      <w:r>
                        <w:rPr>
                          <w:rFonts w:eastAsia="SegoeUI"/>
                          <w:szCs w:val="24"/>
                        </w:rPr>
                        <w:t>forsuoto iškvėpimo tūriui per pirmą sekundę (FEV1) ir forsuotai gyvybinei plaučių talpai (FVC)</w:t>
                      </w:r>
                      <w:r>
                        <w:rPr>
                          <w:szCs w:val="24"/>
                        </w:rPr>
                        <w:t xml:space="preserve"> matuoti</w:t>
                      </w:r>
                      <w:r>
                        <w:rPr>
                          <w:rFonts w:eastAsia="SegoeUI"/>
                          <w:szCs w:val="24"/>
                        </w:rPr>
                        <w:t>)</w:t>
                      </w:r>
                      <w:r>
                        <w:rPr>
                          <w:iCs/>
                          <w:szCs w:val="24"/>
                        </w:rPr>
                        <w:t>;</w:t>
                      </w:r>
                    </w:p>
                  </w:sdtContent>
                </w:sdt>
                <w:sdt>
                  <w:sdtPr>
                    <w:alias w:val="9-1.21 pp."/>
                    <w:tag w:val="part_90624923ce4b44669510b65d3e1a8fc4"/>
                    <w:lock w:val="sdtLocked"/>
                    <w:richText/>
                  </w:sdtPr>
                  <w:sdtContent>
                    <w:p>
                      <w:pPr>
                        <w:ind w:firstLine="851"/>
                        <w:rPr>
                          <w:szCs w:val="24"/>
                        </w:rPr>
                      </w:pPr>
                      <w:sdt>
                        <w:sdtPr>
                          <w:alias w:val="Numeris"/>
                          <w:tag w:val="nr_90624923ce4b44669510b65d3e1a8fc4"/>
                          <w:lock w:val="sdtLocked"/>
                          <w:richText/>
                        </w:sdtPr>
                        <w:sdtContent>
                          <w:r>
                            <w:rPr>
                              <w:iCs/>
                              <w:szCs w:val="24"/>
                            </w:rPr>
                            <w:t>9</w:t>
                          </w:r>
                          <w:r>
                            <w:rPr>
                              <w:iCs/>
                              <w:szCs w:val="24"/>
                              <w:vertAlign w:val="superscript"/>
                            </w:rPr>
                            <w:t>1</w:t>
                          </w:r>
                          <w:r>
                            <w:rPr>
                              <w:iCs/>
                              <w:szCs w:val="24"/>
                            </w:rPr>
                            <w:t>.21</w:t>
                          </w:r>
                        </w:sdtContent>
                      </w:sdt>
                      <w:r>
                        <w:rPr>
                          <w:iCs/>
                          <w:szCs w:val="24"/>
                        </w:rPr>
                        <w:t>. Ambu maišas;</w:t>
                      </w:r>
                    </w:p>
                  </w:sdtContent>
                </w:sdt>
                <w:sdt>
                  <w:sdtPr>
                    <w:alias w:val="9-1.22 pp."/>
                    <w:tag w:val="part_b243be8e98224b9dba8d1bf92d8a8541"/>
                    <w:lock w:val="sdtLocked"/>
                    <w:richText/>
                  </w:sdtPr>
                  <w:sdtContent>
                    <w:p>
                      <w:pPr>
                        <w:ind w:firstLine="851"/>
                        <w:rPr>
                          <w:iCs/>
                          <w:szCs w:val="24"/>
                        </w:rPr>
                      </w:pPr>
                      <w:sdt>
                        <w:sdtPr>
                          <w:alias w:val="Numeris"/>
                          <w:tag w:val="nr_b243be8e98224b9dba8d1bf92d8a8541"/>
                          <w:lock w:val="sdtLocked"/>
                          <w:richText/>
                        </w:sdtPr>
                        <w:sdtContent>
                          <w:r>
                            <w:rPr>
                              <w:iCs/>
                              <w:szCs w:val="24"/>
                            </w:rPr>
                            <w:t>9</w:t>
                          </w:r>
                          <w:r>
                            <w:rPr>
                              <w:iCs/>
                              <w:szCs w:val="24"/>
                              <w:vertAlign w:val="superscript"/>
                            </w:rPr>
                            <w:t>1</w:t>
                          </w:r>
                          <w:r>
                            <w:rPr>
                              <w:iCs/>
                              <w:szCs w:val="24"/>
                            </w:rPr>
                            <w:t>.22</w:t>
                          </w:r>
                        </w:sdtContent>
                      </w:sdt>
                      <w:r>
                        <w:rPr>
                          <w:iCs/>
                          <w:szCs w:val="24"/>
                        </w:rPr>
                        <w:t>. orofaringiniai vamzdeliai;</w:t>
                      </w:r>
                    </w:p>
                  </w:sdtContent>
                </w:sdt>
                <w:sdt>
                  <w:sdtPr>
                    <w:alias w:val="9-1.23 pp."/>
                    <w:tag w:val="part_8407bb469d754d2485107283ba56d569"/>
                    <w:lock w:val="sdtLocked"/>
                    <w:richText/>
                  </w:sdtPr>
                  <w:sdtContent>
                    <w:p>
                      <w:pPr>
                        <w:ind w:firstLine="851"/>
                        <w:jc w:val="both"/>
                        <w:rPr>
                          <w:iCs/>
                          <w:szCs w:val="24"/>
                        </w:rPr>
                      </w:pPr>
                      <w:sdt>
                        <w:sdtPr>
                          <w:alias w:val="Numeris"/>
                          <w:tag w:val="nr_8407bb469d754d2485107283ba56d569"/>
                          <w:lock w:val="sdtLocked"/>
                          <w:richText/>
                        </w:sdtPr>
                        <w:sdtContent>
                          <w:r>
                            <w:rPr>
                              <w:color w:val="000000"/>
                              <w:szCs w:val="24"/>
                            </w:rPr>
                            <w:t>9</w:t>
                          </w:r>
                          <w:r>
                            <w:rPr>
                              <w:color w:val="000000"/>
                              <w:szCs w:val="24"/>
                              <w:vertAlign w:val="superscript"/>
                            </w:rPr>
                            <w:t>1</w:t>
                          </w:r>
                          <w:r>
                            <w:rPr>
                              <w:color w:val="000000"/>
                              <w:szCs w:val="24"/>
                            </w:rPr>
                            <w:t>.23</w:t>
                          </w:r>
                        </w:sdtContent>
                      </w:sdt>
                      <w:r>
                        <w:rPr>
                          <w:color w:val="000000"/>
                          <w:szCs w:val="24"/>
                        </w:rPr>
                        <w:t>. instrumentai chirurginėms, ginekologinėms, otorinolaringologinėms procedūroms atlikti pagal sveikatos apsaugos ministro patvirtintą šeimos gydytojo medicinos normą;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986a0943711ea9515f752ff221ec9">
                        <w:r w:rsidRPr="00532B9F">
                          <w:rPr>
                            <w:rFonts w:ascii="Times New Roman" w:eastAsia="MS Mincho" w:hAnsi="Times New Roman"/>
                            <w:sz w:val="20"/>
                            <w:i/>
                            <w:iCs/>
                            <w:color w:val="0000FF" w:themeColor="hyperlink"/>
                            <w:u w:val="single"/>
                          </w:rPr>
                          <w:t>V-1113</w:t>
                        </w:r>
                      </w:fldSimple>
                      <w:r>
                        <w:rPr>
                          <w:rFonts w:ascii="Times New Roman" w:eastAsia="MS Mincho" w:hAnsi="Times New Roman"/>
                          <w:sz w:val="20"/>
                          <w:i/>
                          <w:iCs/>
                        </w:rPr>
                        <w:t>,
2020-05-11,
paskelbta TAR 2020-05-12, i. k. 2020-10133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9-1.24 pp."/>
                    <w:tag w:val="part_33cdb7788e254d0a942bef59859711ca"/>
                    <w:lock w:val="sdtLocked"/>
                    <w:richText/>
                  </w:sdtPr>
                  <w:sdtContent>
                    <w:p>
                      <w:pPr>
                        <w:ind w:firstLine="851"/>
                        <w:jc w:val="both"/>
                      </w:pPr>
                      <w:sdt>
                        <w:sdtPr>
                          <w:alias w:val="Numeris"/>
                          <w:tag w:val="nr_33cdb7788e254d0a942bef59859711ca"/>
                          <w:lock w:val="sdtLocked"/>
                          <w:richText/>
                        </w:sdtPr>
                        <w:sdtContent>
                          <w:r>
                            <w:rPr>
                              <w:iCs/>
                              <w:szCs w:val="24"/>
                            </w:rPr>
                            <w:t>9</w:t>
                          </w:r>
                          <w:r>
                            <w:rPr>
                              <w:iCs/>
                              <w:szCs w:val="24"/>
                              <w:vertAlign w:val="superscript"/>
                            </w:rPr>
                            <w:t>1</w:t>
                          </w:r>
                          <w:r>
                            <w:rPr>
                              <w:iCs/>
                              <w:szCs w:val="24"/>
                            </w:rPr>
                            <w:t>.24</w:t>
                          </w:r>
                        </w:sdtContent>
                      </w:sdt>
                      <w:r>
                        <w:rPr>
                          <w:iCs/>
                          <w:szCs w:val="24"/>
                        </w:rPr>
                        <w:t>. kraujo ir šlapimo analizatoriai (pritaikyti PAASP specifikai) arba sudaryta sutartis su asmens sveikatos priežiūros įstaiga, turinčia įstaigos asmens sveikatos priežiūros licenciją, suteikiančią teisę teikti laboratorinės diagnostikos paslaugą;</w:t>
                      </w:r>
                      <w:r>
                        <w:t xml:space="preserve"> </w:t>
                      </w:r>
                    </w:p>
                  </w:sdtContent>
                </w:sdt>
                <w:sdt>
                  <w:sdtPr>
                    <w:alias w:val="9-1.25 pp."/>
                    <w:tag w:val="part_af089e41d1644e9dbaca39dd6b366298"/>
                    <w:lock w:val="sdtLocked"/>
                    <w:richText/>
                  </w:sdtPr>
                  <w:sdtContent>
                    <w:p>
                      <w:pPr>
                        <w:tabs>
                          <w:tab w:val="left" w:pos="0"/>
                        </w:tabs>
                        <w:suppressAutoHyphens/>
                        <w:ind w:firstLine="851"/>
                        <w:jc w:val="both"/>
                      </w:pPr>
                      <w:sdt>
                        <w:sdtPr>
                          <w:alias w:val="Numeris"/>
                          <w:tag w:val="nr_af089e41d1644e9dbaca39dd6b366298"/>
                          <w:lock w:val="sdtLocked"/>
                          <w:richText/>
                        </w:sdtPr>
                        <w:sdtContent>
                          <w:r>
                            <w:rPr>
                              <w:color w:val="000000"/>
                              <w:szCs w:val="24"/>
                            </w:rPr>
                            <w:t>9</w:t>
                          </w:r>
                          <w:r>
                            <w:rPr>
                              <w:color w:val="000000"/>
                              <w:szCs w:val="24"/>
                              <w:vertAlign w:val="superscript"/>
                            </w:rPr>
                            <w:t>1</w:t>
                          </w:r>
                          <w:r>
                            <w:rPr>
                              <w:color w:val="000000"/>
                              <w:szCs w:val="24"/>
                            </w:rPr>
                            <w:t>.25</w:t>
                          </w:r>
                        </w:sdtContent>
                      </w:sdt>
                      <w:r>
                        <w:rPr>
                          <w:color w:val="000000"/>
                          <w:szCs w:val="24"/>
                        </w:rPr>
                        <w:t>. pulsoksimetra;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46970c7ae11ec8d9390588bf2de65">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2022-04-29,
paskelbta TAR 2022-04-29, i. k. 2022-08985        </w:t>
                      </w:r>
                    </w:p>
                    <w:p/>
                  </w:sdtContent>
                </w:sdt>
                <w:sdt>
                  <w:sdtPr>
                    <w:alias w:val="9-1.26 pp."/>
                    <w:tag w:val="part_25601d308f424c5387b56489f923d83a"/>
                    <w:lock w:val="sdtLocked"/>
                    <w:richText/>
                  </w:sdtPr>
                  <w:sdtContent>
                    <w:p>
                      <w:pPr>
                        <w:tabs>
                          <w:tab w:val="left" w:pos="0"/>
                        </w:tabs>
                        <w:suppressAutoHyphens/>
                        <w:ind w:firstLine="851"/>
                        <w:jc w:val="both"/>
                      </w:pPr>
                      <w:sdt>
                        <w:sdtPr>
                          <w:alias w:val="Numeris"/>
                          <w:tag w:val="nr_25601d308f424c5387b56489f923d83a"/>
                          <w:lock w:val="sdtLocked"/>
                          <w:richText/>
                        </w:sdtPr>
                        <w:sdtContent>
                          <w:r>
                            <w:rPr>
                              <w:color w:val="000000"/>
                              <w:szCs w:val="24"/>
                            </w:rPr>
                            <w:t>9</w:t>
                          </w:r>
                          <w:r>
                            <w:rPr>
                              <w:color w:val="000000"/>
                              <w:szCs w:val="24"/>
                              <w:vertAlign w:val="superscript"/>
                            </w:rPr>
                            <w:t>1</w:t>
                          </w:r>
                          <w:r>
                            <w:rPr>
                              <w:color w:val="000000"/>
                              <w:szCs w:val="24"/>
                            </w:rPr>
                            <w:t>.26</w:t>
                          </w:r>
                        </w:sdtContent>
                      </w:sdt>
                      <w:r>
                        <w:rPr>
                          <w:color w:val="000000"/>
                          <w:szCs w:val="24"/>
                        </w:rPr>
                        <w:t>. asmens apsaugos priemonės darbuotojams, atsižvelgiant į Lietuvos higienos normoje HN 47-1:20</w:t>
                      </w:r>
                      <w:r>
                        <w:rPr>
                          <w:color w:val="000000"/>
                          <w:szCs w:val="24"/>
                          <w:lang w:val="en-US"/>
                        </w:rPr>
                        <w:t>20</w:t>
                      </w:r>
                      <w:r>
                        <w:rPr>
                          <w:color w:val="000000"/>
                          <w:szCs w:val="24"/>
                        </w:rPr>
                        <w:t xml:space="preserve"> „Asmens sveikatos priežiūros įstaigos: infekcijų kontrolės reikalavimai“, patvirtintoje Lietuvos Respublikos sveikatos apsaugos ministro 2012 m. spalio 19 d. įsakymu Nr. V-946 „Dėl Lietuvos higienos normos HN 47-1:2020 „Asmens sveikatos priežiūros įstaigos: infekcijų kontrolės reikalavimai“ patvirtinimo“, ir kituose teisės aktuose, reguliuojančiuose i</w:t>
                      </w:r>
                      <w:r>
                        <w:rPr>
                          <w:color w:val="000000"/>
                          <w:szCs w:val="24"/>
                          <w:lang w:eastAsia="lt-LT"/>
                        </w:rPr>
                        <w:t xml:space="preserve">nfekcijų kontrolės priemones asmens sveikatos priežiūros įstaigose, </w:t>
                      </w:r>
                      <w:r>
                        <w:rPr>
                          <w:color w:val="000000"/>
                          <w:szCs w:val="24"/>
                        </w:rPr>
                        <w:t>nustatytus reikalavimus (toliau – infekcijų kontrolės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46970c7ae11ec8d9390588bf2de65">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2022-04-29,
paskelbta TAR 2022-04-29, i. k. 2022-08985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152604c6b11e9b9e1d4aa8e4da0de">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2019-03-18,
paskelbta TAR 2019-03-22, i. k. 2019-04461        </w:t>
                  </w:r>
                </w:p>
                <w:p/>
              </w:sdtContent>
            </w:sdt>
            <w:sdt>
              <w:sdtPr>
                <w:alias w:val="9-2 p."/>
                <w:tag w:val="part_3f5316b56aa04eedbe23201dda1ce702"/>
                <w:lock w:val="sdtLocked"/>
                <w:richText/>
              </w:sdtPr>
              <w:sdtContent>
                <w:p>
                  <w:pPr>
                    <w:ind w:firstLine="851"/>
                    <w:jc w:val="both"/>
                  </w:pPr>
                  <w:sdt>
                    <w:sdtPr>
                      <w:alias w:val="Numeris"/>
                      <w:tag w:val="nr_3f5316b56aa04eedbe23201dda1ce702"/>
                      <w:lock w:val="sdtLocked"/>
                      <w:richText/>
                    </w:sdtPr>
                    <w:sdtContent>
                      <w:r>
                        <w:rPr>
                          <w:color w:val="000000"/>
                          <w:szCs w:val="24"/>
                        </w:rPr>
                        <w:t>9</w:t>
                      </w:r>
                      <w:r>
                        <w:rPr>
                          <w:color w:val="000000"/>
                          <w:szCs w:val="24"/>
                          <w:vertAlign w:val="superscript"/>
                        </w:rPr>
                        <w:t>2</w:t>
                      </w:r>
                    </w:sdtContent>
                  </w:sdt>
                  <w:r>
                    <w:rPr>
                      <w:color w:val="000000"/>
                      <w:szCs w:val="24"/>
                    </w:rPr>
                    <w:t>. PAASP įstaigoje privalo būti Asmens sveikatos priežiūros įstaigos pirmosios medicinos pagalbos rinkinys, kurio sudėtis nustatyta Lietuvos Respublikos sveikatos apsaugos ministro 2003 m. liepos 11 d. įsakymu Nr. V-450 „</w:t>
                  </w:r>
                  <w:r>
                    <w:rPr>
                      <w:color w:val="333333"/>
                      <w:szCs w:val="24"/>
                    </w:rPr>
                    <w:t>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152604c6b11e9b9e1d4aa8e4da0de">
                    <w:r w:rsidRPr="00532B9F">
                      <w:rPr>
                        <w:rFonts w:ascii="Times New Roman" w:eastAsia="MS Mincho" w:hAnsi="Times New Roman"/>
                        <w:sz w:val="20"/>
                        <w:i/>
                        <w:iCs/>
                        <w:color w:val="0000FF" w:themeColor="hyperlink"/>
                        <w:u w:val="single"/>
                      </w:rPr>
                      <w:t>V-331</w:t>
                    </w:r>
                  </w:fldSimple>
                  <w:r>
                    <w:rPr>
                      <w:rFonts w:ascii="Times New Roman" w:eastAsia="MS Mincho" w:hAnsi="Times New Roman"/>
                      <w:sz w:val="20"/>
                      <w:i/>
                      <w:iCs/>
                    </w:rPr>
                    <w:t>,
2019-03-18,
paskelbta TAR 2019-03-22, i. k. 2019-04461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p/>
              </w:sdtContent>
            </w:sdt>
            <w:sdt>
              <w:sdtPr>
                <w:alias w:val="9-3 p."/>
                <w:tag w:val="part_41d90a482f4e4848b9ef07f01eb7e997"/>
                <w:lock w:val="sdtLocked"/>
                <w:richText/>
              </w:sdtPr>
              <w:sdtContent>
                <w:p>
                  <w:pPr>
                    <w:spacing w:line="259" w:lineRule="auto"/>
                    <w:ind w:firstLine="851"/>
                    <w:jc w:val="both"/>
                  </w:pPr>
                  <w:sdt>
                    <w:sdtPr>
                      <w:alias w:val="Numeris"/>
                      <w:tag w:val="nr_41d90a482f4e4848b9ef07f01eb7e997"/>
                      <w:lock w:val="sdtLocked"/>
                      <w:richText/>
                    </w:sdtPr>
                    <w:sdtContent>
                      <w:r>
                        <w:rPr>
                          <w:szCs w:val="24"/>
                        </w:rPr>
                        <w:t>9</w:t>
                      </w:r>
                      <w:r>
                        <w:rPr>
                          <w:szCs w:val="24"/>
                          <w:vertAlign w:val="superscript"/>
                        </w:rPr>
                        <w:t>3</w:t>
                      </w:r>
                    </w:sdtContent>
                  </w:sdt>
                  <w:r>
                    <w:rPr>
                      <w:szCs w:val="24"/>
                      <w:lang w:eastAsia="lt-LT"/>
                    </w:rPr>
                    <w:t>. Mobiliojoje ambulatorijoje privalo būti</w:t>
                  </w:r>
                  <w:r>
                    <w:rPr>
                      <w:szCs w:val="24"/>
                    </w:rPr>
                    <w:t xml:space="preserve"> </w:t>
                  </w:r>
                  <w:r>
                    <w:rPr>
                      <w:color w:val="000000"/>
                      <w:szCs w:val="24"/>
                    </w:rPr>
                    <w:t xml:space="preserve">Asmens sveikatos priežiūros įstaigos pirmosios medicinos pagalbos rinkinys, nurodytas </w:t>
                  </w:r>
                  <w:r>
                    <w:rPr>
                      <w:bCs/>
                      <w:color w:val="000000"/>
                      <w:szCs w:val="24"/>
                    </w:rPr>
                    <w:t>Aprašo</w:t>
                  </w:r>
                  <w:r>
                    <w:rPr>
                      <w:color w:val="000000"/>
                      <w:szCs w:val="24"/>
                    </w:rPr>
                    <w:t xml:space="preserve"> 9</w:t>
                  </w:r>
                  <w:r>
                    <w:rPr>
                      <w:color w:val="000000"/>
                      <w:szCs w:val="24"/>
                      <w:vertAlign w:val="superscript"/>
                    </w:rPr>
                    <w:t xml:space="preserve">2 </w:t>
                  </w:r>
                  <w:r>
                    <w:rPr>
                      <w:color w:val="000000"/>
                      <w:szCs w:val="24"/>
                    </w:rPr>
                    <w:t xml:space="preserve">punkte, ir turi būti užtikrintas saugus asmenų su negalia patekimas į mobiliąją ambulatoriją. </w:t>
                  </w:r>
                  <w:r>
                    <w:rPr>
                      <w:szCs w:val="24"/>
                    </w:rPr>
                    <w:t xml:space="preserve">Šeimos gydytojo komandos paslaugų teikimo vietoje </w:t>
                  </w:r>
                  <w:r>
                    <w:rPr>
                      <w:color w:val="000000"/>
                      <w:szCs w:val="24"/>
                    </w:rPr>
                    <w:t xml:space="preserve">turi būti bendrosios paciento apžiūros kušetė, esant poreikiui pritaikoma naudoti kaip ginekologinė kėdė, </w:t>
                  </w:r>
                  <w:r>
                    <w:rPr>
                      <w:bCs/>
                      <w:color w:val="000000"/>
                      <w:szCs w:val="24"/>
                    </w:rPr>
                    <w:t>Aprašo</w:t>
                  </w:r>
                  <w:r>
                    <w:rPr>
                      <w:color w:val="000000"/>
                      <w:szCs w:val="24"/>
                    </w:rPr>
                    <w:t xml:space="preserve"> 9</w:t>
                  </w:r>
                  <w:r>
                    <w:rPr>
                      <w:color w:val="000000"/>
                      <w:szCs w:val="24"/>
                      <w:vertAlign w:val="superscript"/>
                    </w:rPr>
                    <w:t>1</w:t>
                  </w:r>
                  <w:r>
                    <w:rPr>
                      <w:color w:val="000000"/>
                      <w:szCs w:val="24"/>
                    </w:rPr>
                    <w:t>.3–9</w:t>
                  </w:r>
                  <w:r>
                    <w:rPr>
                      <w:color w:val="000000"/>
                      <w:szCs w:val="24"/>
                      <w:vertAlign w:val="superscript"/>
                    </w:rPr>
                    <w:t>1</w:t>
                  </w:r>
                  <w:r>
                    <w:rPr>
                      <w:color w:val="000000"/>
                      <w:szCs w:val="24"/>
                    </w:rPr>
                    <w:t>.24 papunkčiuose nurodytos medicinos ir kitos priemonės.</w:t>
                  </w:r>
                </w:p>
                <w:p>
                  <w:pPr>
                    <w:suppressAutoHyphens/>
                    <w:ind w:firstLine="851"/>
                    <w:jc w:val="both"/>
                    <w:textAlignment w:val="baseline"/>
                    <w:rPr>
                      <w:szCs w:val="24"/>
                      <w:lang w:eastAsia="lt-LT"/>
                    </w:rPr>
                  </w:pPr>
                  <w:r>
                    <w:rPr>
                      <w:color w:val="000000"/>
                    </w:rPr>
                    <w:t>Mobilioji ambulatorija turi atitikti infekcijų kontrolės reikalavimus ir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 nustatytus medicininių atliekų tvarkymo reikalavimus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ffeb60801511ec993ff5ca6e8ba60c">
                    <w:r w:rsidRPr="00532B9F">
                      <w:rPr>
                        <w:rFonts w:ascii="Times New Roman" w:eastAsia="MS Mincho" w:hAnsi="Times New Roman"/>
                        <w:sz w:val="20"/>
                        <w:i/>
                        <w:iCs/>
                        <w:color w:val="0000FF" w:themeColor="hyperlink"/>
                        <w:u w:val="single"/>
                      </w:rPr>
                      <w:t>V-172</w:t>
                    </w:r>
                  </w:fldSimple>
                  <w:r>
                    <w:rPr>
                      <w:rFonts w:ascii="Times New Roman" w:eastAsia="MS Mincho" w:hAnsi="Times New Roman"/>
                      <w:sz w:val="20"/>
                      <w:i/>
                      <w:iCs/>
                    </w:rPr>
                    <w:t>,
2022-01-28,
paskelbta TAR 2022-01-28, i. k. 2022-01384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46970c7ae11ec8d9390588bf2de65">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2022-04-29,
paskelbta TAR 2022-04-29, i. k. 2022-08985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4d484858911efabdbb4a1fc8b0b63">
                    <w:r w:rsidRPr="00532B9F">
                      <w:rPr>
                        <w:rFonts w:ascii="Times New Roman" w:eastAsia="MS Mincho" w:hAnsi="Times New Roman"/>
                        <w:sz w:val="20"/>
                        <w:i/>
                        <w:iCs/>
                        <w:color w:val="0000FF" w:themeColor="hyperlink"/>
                        <w:u w:val="single"/>
                      </w:rPr>
                      <w:t>V-981</w:t>
                    </w:r>
                  </w:fldSimple>
                  <w:r>
                    <w:rPr>
                      <w:rFonts w:ascii="Times New Roman" w:eastAsia="MS Mincho" w:hAnsi="Times New Roman"/>
                      <w:sz w:val="20"/>
                      <w:i/>
                      <w:iCs/>
                    </w:rPr>
                    <w:t>,
2024-10-08,
paskelbta TAR 2024-10-08, i. k. 2024-17662            </w:t>
                  </w:r>
                </w:p>
                <w:p/>
              </w:sdtContent>
            </w:sdt>
            <w:sdt>
              <w:sdtPr>
                <w:alias w:val="10 p."/>
                <w:tag w:val="part_9c89924b34cd48b78bb41e67d29a7800"/>
                <w:lock w:val="sdtLocked"/>
                <w:richText/>
              </w:sdtPr>
              <w:sdtContent>
                <w:p>
                  <w:pPr>
                    <w:tabs>
                      <w:tab w:val="left" w:pos="567"/>
                      <w:tab w:val="left" w:pos="851"/>
                    </w:tabs>
                    <w:suppressAutoHyphens/>
                    <w:ind w:firstLine="851"/>
                    <w:jc w:val="both"/>
                    <w:rPr>
                      <w:color w:val="000000"/>
                      <w:szCs w:val="24"/>
                    </w:rPr>
                  </w:pPr>
                  <w:sdt>
                    <w:sdtPr>
                      <w:alias w:val="Numeris"/>
                      <w:tag w:val="nr_9c89924b34cd48b78bb41e67d29a7800"/>
                      <w:lock w:val="sdtLocked"/>
                      <w:richText/>
                    </w:sdtPr>
                    <w:sdtContent>
                      <w:r>
                        <w:rPr>
                          <w:color w:val="000000"/>
                          <w:szCs w:val="24"/>
                        </w:rPr>
                        <w:t>10</w:t>
                      </w:r>
                    </w:sdtContent>
                  </w:sdt>
                  <w:r>
                    <w:rPr>
                      <w:color w:val="000000"/>
                      <w:szCs w:val="24"/>
                    </w:rPr>
                    <w:t>.  PAASP paslaugų prieinamumui pagerinti:</w:t>
                  </w:r>
                </w:p>
                <w:sdt>
                  <w:sdtPr>
                    <w:alias w:val="10.1 pp."/>
                    <w:tag w:val="part_ce1179fbe3234d4dad77ebdf65ce4329"/>
                    <w:lock w:val="sdtLocked"/>
                    <w:richText/>
                  </w:sdtPr>
                  <w:sdtContent>
                    <w:p>
                      <w:pPr>
                        <w:tabs>
                          <w:tab w:val="left" w:pos="567"/>
                          <w:tab w:val="left" w:pos="851"/>
                        </w:tabs>
                        <w:suppressAutoHyphens/>
                        <w:ind w:firstLine="851"/>
                        <w:jc w:val="both"/>
                        <w:rPr>
                          <w:szCs w:val="24"/>
                        </w:rPr>
                      </w:pPr>
                      <w:sdt>
                        <w:sdtPr>
                          <w:alias w:val="Numeris"/>
                          <w:tag w:val="nr_ce1179fbe3234d4dad77ebdf65ce4329"/>
                          <w:lock w:val="sdtLocked"/>
                          <w:richText/>
                        </w:sdtPr>
                        <w:sdtContent>
                          <w:r>
                            <w:rPr>
                              <w:color w:val="000000"/>
                              <w:szCs w:val="24"/>
                            </w:rPr>
                            <w:t>10.1</w:t>
                          </w:r>
                        </w:sdtContent>
                      </w:sdt>
                      <w:r>
                        <w:rPr>
                          <w:color w:val="000000"/>
                          <w:szCs w:val="24"/>
                        </w:rPr>
                        <w:t xml:space="preserve">. PAASP įstaigos vadovas nustato </w:t>
                      </w:r>
                      <w:r>
                        <w:rPr>
                          <w:szCs w:val="24"/>
                        </w:rPr>
                        <w:t>pacientų registracijos tvarką, kuri užtikrina:</w:t>
                      </w:r>
                    </w:p>
                    <w:sdt>
                      <w:sdtPr>
                        <w:alias w:val="10.1.1 pp."/>
                        <w:tag w:val="part_97971e8a9b9e4ec0a07fe938da58c3b5"/>
                        <w:lock w:val="sdtLocked"/>
                        <w:richText/>
                      </w:sdtPr>
                      <w:sdtContent>
                        <w:p>
                          <w:pPr>
                            <w:tabs>
                              <w:tab w:val="left" w:pos="567"/>
                              <w:tab w:val="left" w:pos="851"/>
                            </w:tabs>
                            <w:suppressAutoHyphens/>
                            <w:ind w:firstLine="851"/>
                            <w:jc w:val="both"/>
                            <w:rPr>
                              <w:szCs w:val="24"/>
                            </w:rPr>
                          </w:pPr>
                          <w:sdt>
                            <w:sdtPr>
                              <w:alias w:val="Numeris"/>
                              <w:tag w:val="nr_97971e8a9b9e4ec0a07fe938da58c3b5"/>
                              <w:lock w:val="sdtLocked"/>
                              <w:richText/>
                            </w:sdtPr>
                            <w:sdtContent>
                              <w:r>
                                <w:rPr>
                                  <w:szCs w:val="24"/>
                                </w:rPr>
                                <w:t>10.1.1</w:t>
                              </w:r>
                            </w:sdtContent>
                          </w:sdt>
                          <w:r>
                            <w:rPr>
                              <w:szCs w:val="24"/>
                            </w:rPr>
                            <w:t xml:space="preserve">. pacientų skambučių srautų valdymą, pacientų galimybes prisiskambinti į registratūrą, </w:t>
                          </w:r>
                          <w:r>
                            <w:rPr>
                              <w:color w:val="000000"/>
                              <w:szCs w:val="24"/>
                            </w:rPr>
                            <w:t xml:space="preserve">PAASP įstaigos paskirtų darbuotojų </w:t>
                          </w:r>
                          <w:r>
                            <w:rPr>
                              <w:szCs w:val="24"/>
                            </w:rPr>
                            <w:t>pagalbą pacientui registruojantis ir grįžtamąjį ryšį su juo (perskambinimą į neatsilieptus skambučius);</w:t>
                          </w:r>
                        </w:p>
                      </w:sdtContent>
                    </w:sdt>
                    <w:sdt>
                      <w:sdtPr>
                        <w:alias w:val="10.1.2 pp."/>
                        <w:tag w:val="part_663adff1fe3c49a08796ec4af39db9e7"/>
                        <w:lock w:val="sdtLocked"/>
                        <w:richText/>
                      </w:sdtPr>
                      <w:sdtContent>
                        <w:p>
                          <w:pPr>
                            <w:suppressAutoHyphens/>
                            <w:ind w:firstLine="851"/>
                            <w:jc w:val="both"/>
                            <w:rPr>
                              <w:color w:val="000000"/>
                              <w:szCs w:val="24"/>
                            </w:rPr>
                          </w:pPr>
                          <w:sdt>
                            <w:sdtPr>
                              <w:alias w:val="Numeris"/>
                              <w:tag w:val="nr_663adff1fe3c49a08796ec4af39db9e7"/>
                              <w:lock w:val="sdtLocked"/>
                              <w:richText/>
                            </w:sdtPr>
                            <w:sdtContent>
                              <w:r>
                                <w:rPr>
                                  <w:szCs w:val="24"/>
                                </w:rPr>
                                <w:t>10.1.2</w:t>
                              </w:r>
                            </w:sdtContent>
                          </w:sdt>
                          <w:r>
                            <w:rPr>
                              <w:szCs w:val="24"/>
                            </w:rPr>
                            <w:t>. pacientui galimybes pasirinkti jam patogų registracijos būdą</w:t>
                          </w:r>
                          <w:r>
                            <w:rPr>
                              <w:color w:val="000000"/>
                              <w:szCs w:val="24"/>
                            </w:rPr>
                            <w:t xml:space="preserve"> telefonu arba atvykus į PAASP įstaigos registratūrą,  arba per PAASP įstaigos skambučių centrą, arba per Išankstinės pacientų registracijos informacinę sistemą;</w:t>
                          </w:r>
                        </w:p>
                      </w:sdtContent>
                    </w:sdt>
                    <w:sdt>
                      <w:sdtPr>
                        <w:alias w:val="10.1.3 pp."/>
                        <w:tag w:val="part_8f40a480d1e247e1867a0e5d4f0622cb"/>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rPr>
                          </w:pPr>
                          <w:sdt>
                            <w:sdtPr>
                              <w:alias w:val="Numeris"/>
                              <w:tag w:val="nr_8f40a480d1e247e1867a0e5d4f0622cb"/>
                              <w:lock w:val="sdtLocked"/>
                              <w:richText/>
                            </w:sdtPr>
                            <w:sdtContent>
                              <w:r>
                                <w:rPr>
                                  <w:rFonts w:eastAsia="SimSun"/>
                                  <w:szCs w:val="24"/>
                                </w:rPr>
                                <w:t>10.1.3</w:t>
                              </w:r>
                            </w:sdtContent>
                          </w:sdt>
                          <w:r>
                            <w:rPr>
                              <w:rFonts w:eastAsia="SimSun"/>
                              <w:szCs w:val="24"/>
                            </w:rPr>
                            <w:t xml:space="preserve">. </w:t>
                          </w:r>
                          <w:r>
                            <w:rPr>
                              <w:szCs w:val="24"/>
                            </w:rPr>
                            <w:t xml:space="preserve">informacijos apie registratūros darbo organizavimo pokyčius, </w:t>
                          </w:r>
                          <w:r>
                            <w:rPr>
                              <w:rFonts w:eastAsia="SimSun"/>
                              <w:szCs w:val="24"/>
                            </w:rPr>
                            <w:t xml:space="preserve">šeimos gydytojo komandos narius (vardai, pavardės) ir jų vykdomas funkcijas </w:t>
                          </w:r>
                          <w:r>
                            <w:rPr>
                              <w:szCs w:val="24"/>
                            </w:rPr>
                            <w:t>viešinimą įvairiomis komunikacijos priemonėmis (PAASP įstaigos patalpose, interneto svetainėje, socialiniuose tinkluose, vietos spaudoje ir pan.);</w:t>
                          </w:r>
                          <w:r>
                            <w:rPr>
                              <w:rFonts w:eastAsia="SimSun"/>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Content>
                </w:sdt>
                <w:sdt>
                  <w:sdtPr>
                    <w:alias w:val="10.2 pp."/>
                    <w:tag w:val="part_4a9285d8fa3e40a7a05409472787aee3"/>
                    <w:lock w:val="sdtLocked"/>
                    <w:richText/>
                  </w:sdtPr>
                  <w:sdtContent>
                    <w:p>
                      <w:pPr>
                        <w:tabs>
                          <w:tab w:val="left" w:pos="567"/>
                          <w:tab w:val="left" w:pos="851"/>
                        </w:tabs>
                        <w:suppressAutoHyphens/>
                        <w:ind w:firstLine="851"/>
                        <w:jc w:val="both"/>
                        <w:rPr>
                          <w:szCs w:val="24"/>
                          <w:lang w:eastAsia="lt-LT"/>
                        </w:rPr>
                      </w:pPr>
                      <w:sdt>
                        <w:sdtPr>
                          <w:alias w:val="Numeris"/>
                          <w:tag w:val="nr_4a9285d8fa3e40a7a05409472787aee3"/>
                          <w:lock w:val="sdtLocked"/>
                          <w:richText/>
                        </w:sdtPr>
                        <w:sdtContent>
                          <w:r>
                            <w:rPr>
                              <w:color w:val="000000"/>
                              <w:szCs w:val="24"/>
                            </w:rPr>
                            <w:t>10.2</w:t>
                          </w:r>
                        </w:sdtContent>
                      </w:sdt>
                      <w:r>
                        <w:rPr>
                          <w:color w:val="000000"/>
                          <w:szCs w:val="24"/>
                        </w:rPr>
                        <w:t>. PAASP įstaigos  gali steigti ambulatorijas (ne PAASP įstaigoje ar jos filialuose).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46970c7ae11ec8d9390588bf2de65">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2022-04-29,
paskelbta TAR 2022-04-29, i. k. 2022-08985            </w:t>
                  </w:r>
                </w:p>
                <w:p/>
              </w:sdtContent>
            </w:sdt>
            <w:sdt>
              <w:sdtPr>
                <w:alias w:val="11 p."/>
                <w:tag w:val="part_1b4784f2107c44ada1c6b6b35766c360"/>
                <w:lock w:val="sdtLocked"/>
                <w:richText/>
              </w:sdtPr>
              <w:sdtContent>
                <w:p>
                  <w:pPr>
                    <w:tabs>
                      <w:tab w:val="left" w:pos="993"/>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1b4784f2107c44ada1c6b6b35766c360"/>
                      <w:lock w:val="sdtLocked"/>
                      <w:richText/>
                    </w:sdtPr>
                    <w:sdtContent>
                      <w:r>
                        <w:rPr>
                          <w:color w:val="000000"/>
                          <w:szCs w:val="24"/>
                          <w:lang w:eastAsia="lt-LT"/>
                        </w:rPr>
                        <w:t>11</w:t>
                      </w:r>
                    </w:sdtContent>
                  </w:sdt>
                  <w:r>
                    <w:rPr>
                      <w:color w:val="000000"/>
                      <w:szCs w:val="24"/>
                      <w:lang w:eastAsia="lt-LT"/>
                    </w:rPr>
                    <w:t>.</w:t>
                    <w:tab/>
                    <w:t>Ambulatorijos išlaikomos iš PAASP įstaigai skiriamų bazinio mokėjimo už prirašytuosius gyventojus lėšų.</w:t>
                  </w:r>
                </w:p>
              </w:sdtContent>
            </w:sdt>
            <w:sdt>
              <w:sdtPr>
                <w:alias w:val="12 p."/>
                <w:tag w:val="part_b0b4d5e0c0904fc094762e71eb44be36"/>
                <w:lock w:val="sdtLocked"/>
                <w:richText/>
              </w:sdtPr>
              <w:sdtContent>
                <w:p>
                  <w:pPr>
                    <w:tabs>
                      <w:tab w:val="left" w:pos="993"/>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b0b4d5e0c0904fc094762e71eb44be36"/>
                      <w:lock w:val="sdtLocked"/>
                      <w:richText/>
                    </w:sdtPr>
                    <w:sdtContent>
                      <w:r>
                        <w:rPr>
                          <w:color w:val="000000"/>
                          <w:szCs w:val="24"/>
                          <w:lang w:eastAsia="lt-LT"/>
                        </w:rPr>
                        <w:t>12</w:t>
                      </w:r>
                    </w:sdtContent>
                  </w:sdt>
                  <w:r>
                    <w:rPr>
                      <w:color w:val="000000"/>
                      <w:szCs w:val="24"/>
                      <w:lang w:eastAsia="lt-LT"/>
                    </w:rPr>
                    <w:t>.</w:t>
                    <w:tab/>
                    <w:t>PAASP įstaigos turi užtikrinti, kad šeimos gydytojo komandos paslaugos būtų suteiktos ne vėliau kaip:</w:t>
                  </w:r>
                </w:p>
                <w:sdt>
                  <w:sdtPr>
                    <w:alias w:val="12.1 pp."/>
                    <w:tag w:val="part_d1c2a43941e64f88b177ce4d64cf4793"/>
                    <w:lock w:val="sdtLocked"/>
                    <w:richText/>
                  </w:sdtPr>
                  <w:sdtContent>
                    <w:p>
                      <w:pPr>
                        <w:tabs>
                          <w:tab w:val="num" w:pos="720"/>
                        </w:tabs>
                        <w:ind w:firstLine="851"/>
                        <w:jc w:val="both"/>
                        <w:textAlignment w:val="baseline"/>
                        <w:rPr>
                          <w:szCs w:val="24"/>
                          <w:lang w:eastAsia="lt-LT"/>
                        </w:rPr>
                      </w:pPr>
                      <w:sdt>
                        <w:sdtPr>
                          <w:alias w:val="Numeris"/>
                          <w:tag w:val="nr_d1c2a43941e64f88b177ce4d64cf4793"/>
                          <w:lock w:val="sdtLocked"/>
                          <w:richText/>
                        </w:sdtPr>
                        <w:sdtContent>
                          <w:r>
                            <w:rPr>
                              <w:szCs w:val="24"/>
                              <w:lang w:eastAsia="lt-LT"/>
                            </w:rPr>
                            <w:t>12.1</w:t>
                          </w:r>
                        </w:sdtContent>
                      </w:sdt>
                      <w:r>
                        <w:rPr>
                          <w:szCs w:val="24"/>
                          <w:lang w:eastAsia="lt-LT"/>
                        </w:rPr>
                        <w:t>. per 24 valandas nuo paciento kreipimosi į PAASP įstaigą – šiais pagal Sveikatos priežiūros įstaigų įstatymo 15</w:t>
                      </w:r>
                      <w:r>
                        <w:rPr>
                          <w:szCs w:val="24"/>
                          <w:vertAlign w:val="superscript"/>
                          <w:lang w:eastAsia="lt-LT"/>
                        </w:rPr>
                        <w:t>3</w:t>
                      </w:r>
                      <w:r>
                        <w:rPr>
                          <w:szCs w:val="24"/>
                          <w:lang w:eastAsia="lt-LT"/>
                        </w:rPr>
                        <w:t xml:space="preserve"> straipsnio 2 dalies 1 punktą nustatomais ūmios būklės atvejais (toliau – skubi ambulatorinė paslauga): </w:t>
                      </w:r>
                    </w:p>
                    <w:sdt>
                      <w:sdtPr>
                        <w:alias w:val="12.1.1 pp."/>
                        <w:tag w:val="part_7888fc24f249440c8e301dc5d1135f00"/>
                        <w:lock w:val="sdtLocked"/>
                        <w:richText/>
                      </w:sdtPr>
                      <w:sdtContent>
                        <w:p>
                          <w:pPr>
                            <w:tabs>
                              <w:tab w:val="num" w:pos="720"/>
                            </w:tabs>
                            <w:ind w:firstLine="851"/>
                            <w:jc w:val="both"/>
                            <w:textAlignment w:val="baseline"/>
                            <w:rPr>
                              <w:szCs w:val="24"/>
                              <w:lang w:eastAsia="lt-LT"/>
                            </w:rPr>
                          </w:pPr>
                          <w:sdt>
                            <w:sdtPr>
                              <w:alias w:val="Numeris"/>
                              <w:tag w:val="nr_7888fc24f249440c8e301dc5d1135f00"/>
                              <w:lock w:val="sdtLocked"/>
                              <w:richText/>
                            </w:sdtPr>
                            <w:sdtContent>
                              <w:r>
                                <w:rPr>
                                  <w:szCs w:val="24"/>
                                  <w:lang w:eastAsia="lt-LT"/>
                                </w:rPr>
                                <w:t>12.1.1</w:t>
                              </w:r>
                            </w:sdtContent>
                          </w:sdt>
                          <w:r>
                            <w:rPr>
                              <w:szCs w:val="24"/>
                              <w:lang w:eastAsia="lt-LT"/>
                            </w:rPr>
                            <w:t>. suaugusiesiems: </w:t>
                          </w:r>
                        </w:p>
                        <w:sdt>
                          <w:sdtPr>
                            <w:alias w:val="12.1.1.1 pp."/>
                            <w:tag w:val="part_f84409f10a1943deb728f76e2d76c5af"/>
                            <w:lock w:val="sdtLocked"/>
                            <w:richText/>
                          </w:sdtPr>
                          <w:sdtContent>
                            <w:p>
                              <w:pPr>
                                <w:tabs>
                                  <w:tab w:val="num" w:pos="720"/>
                                </w:tabs>
                                <w:ind w:firstLine="851"/>
                                <w:jc w:val="both"/>
                                <w:textAlignment w:val="baseline"/>
                                <w:rPr>
                                  <w:szCs w:val="24"/>
                                  <w:lang w:eastAsia="lt-LT"/>
                                </w:rPr>
                              </w:pPr>
                              <w:sdt>
                                <w:sdtPr>
                                  <w:alias w:val="Numeris"/>
                                  <w:tag w:val="nr_f84409f10a1943deb728f76e2d76c5af"/>
                                  <w:lock w:val="sdtLocked"/>
                                  <w:richText/>
                                </w:sdtPr>
                                <w:sdtContent>
                                  <w:r>
                                    <w:rPr>
                                      <w:szCs w:val="24"/>
                                      <w:lang w:eastAsia="lt-LT"/>
                                    </w:rPr>
                                    <w:t>12.1.1.1</w:t>
                                  </w:r>
                                </w:sdtContent>
                              </w:sdt>
                              <w:r>
                                <w:rPr>
                                  <w:szCs w:val="24"/>
                                  <w:lang w:eastAsia="lt-LT"/>
                                </w:rPr>
                                <w:t>. skausmas vertinamas ne mažiau kaip 4–6 balais, nenumalšinamas maksimaliomis medikamentų dozėmis; </w:t>
                              </w:r>
                            </w:p>
                          </w:sdtContent>
                        </w:sdt>
                        <w:sdt>
                          <w:sdtPr>
                            <w:alias w:val="12.1.1.2 pp."/>
                            <w:tag w:val="part_3cddd61a6e82422b8ca064393f896696"/>
                            <w:lock w:val="sdtLocked"/>
                            <w:richText/>
                          </w:sdtPr>
                          <w:sdtContent>
                            <w:p>
                              <w:pPr>
                                <w:tabs>
                                  <w:tab w:val="num" w:pos="720"/>
                                </w:tabs>
                                <w:ind w:firstLine="851"/>
                                <w:jc w:val="both"/>
                                <w:textAlignment w:val="baseline"/>
                                <w:rPr>
                                  <w:szCs w:val="24"/>
                                  <w:lang w:eastAsia="lt-LT"/>
                                </w:rPr>
                              </w:pPr>
                              <w:sdt>
                                <w:sdtPr>
                                  <w:alias w:val="Numeris"/>
                                  <w:tag w:val="nr_3cddd61a6e82422b8ca064393f896696"/>
                                  <w:lock w:val="sdtLocked"/>
                                  <w:richText/>
                                </w:sdtPr>
                                <w:sdtContent>
                                  <w:r>
                                    <w:rPr>
                                      <w:szCs w:val="24"/>
                                      <w:lang w:eastAsia="lt-LT"/>
                                    </w:rPr>
                                    <w:t>12.1.1.2</w:t>
                                  </w:r>
                                </w:sdtContent>
                              </w:sdt>
                              <w:r>
                                <w:rPr>
                                  <w:szCs w:val="24"/>
                                  <w:lang w:eastAsia="lt-LT"/>
                                </w:rPr>
                                <w:t xml:space="preserve">. karščiavimas &gt; 38 </w:t>
                              </w:r>
                              <w:r>
                                <w:rPr>
                                  <w:szCs w:val="24"/>
                                  <w:vertAlign w:val="superscript"/>
                                  <w:lang w:eastAsia="lt-LT"/>
                                </w:rPr>
                                <w:t>o</w:t>
                              </w:r>
                              <w:r>
                                <w:rPr>
                                  <w:szCs w:val="24"/>
                                  <w:lang w:eastAsia="lt-LT"/>
                                </w:rPr>
                                <w:t>C trunkantis &gt; 72 val.;</w:t>
                              </w:r>
                            </w:p>
                          </w:sdtContent>
                        </w:sdt>
                        <w:sdt>
                          <w:sdtPr>
                            <w:alias w:val="12.1.1.3 pp."/>
                            <w:tag w:val="part_efa87984acc6489aa7a8bc445773cd92"/>
                            <w:lock w:val="sdtLocked"/>
                            <w:richText/>
                          </w:sdtPr>
                          <w:sdtContent>
                            <w:p>
                              <w:pPr>
                                <w:tabs>
                                  <w:tab w:val="num" w:pos="720"/>
                                </w:tabs>
                                <w:ind w:firstLine="851"/>
                                <w:jc w:val="both"/>
                                <w:textAlignment w:val="baseline"/>
                                <w:rPr>
                                  <w:szCs w:val="24"/>
                                  <w:lang w:eastAsia="lt-LT"/>
                                </w:rPr>
                              </w:pPr>
                              <w:sdt>
                                <w:sdtPr>
                                  <w:alias w:val="Numeris"/>
                                  <w:tag w:val="nr_efa87984acc6489aa7a8bc445773cd92"/>
                                  <w:lock w:val="sdtLocked"/>
                                  <w:richText/>
                                </w:sdtPr>
                                <w:sdtContent>
                                  <w:r>
                                    <w:rPr>
                                      <w:szCs w:val="24"/>
                                      <w:lang w:eastAsia="lt-LT"/>
                                    </w:rPr>
                                    <w:t>12.1.1.3</w:t>
                                  </w:r>
                                </w:sdtContent>
                              </w:sdt>
                              <w:r>
                                <w:rPr>
                                  <w:szCs w:val="24"/>
                                  <w:lang w:eastAsia="lt-LT"/>
                                </w:rPr>
                                <w:t>. trauma įvykusi &gt; 48 val., didėjantis skausmas ir tinimas bei nedideli sumušimai (nereikia vaizdinių tyrimų); </w:t>
                              </w:r>
                            </w:p>
                          </w:sdtContent>
                        </w:sdt>
                        <w:sdt>
                          <w:sdtPr>
                            <w:alias w:val="12.1.1.4 pp."/>
                            <w:tag w:val="part_95c6cea79ca24e14836910b34fe6bd4e"/>
                            <w:lock w:val="sdtLocked"/>
                            <w:richText/>
                          </w:sdtPr>
                          <w:sdtContent>
                            <w:p>
                              <w:pPr>
                                <w:tabs>
                                  <w:tab w:val="num" w:pos="720"/>
                                </w:tabs>
                                <w:ind w:firstLine="851"/>
                                <w:jc w:val="both"/>
                                <w:textAlignment w:val="baseline"/>
                                <w:rPr>
                                  <w:szCs w:val="24"/>
                                  <w:lang w:eastAsia="lt-LT"/>
                                </w:rPr>
                              </w:pPr>
                              <w:sdt>
                                <w:sdtPr>
                                  <w:alias w:val="Numeris"/>
                                  <w:tag w:val="nr_95c6cea79ca24e14836910b34fe6bd4e"/>
                                  <w:lock w:val="sdtLocked"/>
                                  <w:richText/>
                                </w:sdtPr>
                                <w:sdtContent>
                                  <w:r>
                                    <w:rPr>
                                      <w:szCs w:val="24"/>
                                      <w:lang w:eastAsia="lt-LT"/>
                                    </w:rPr>
                                    <w:t>12.1.1.4</w:t>
                                  </w:r>
                                </w:sdtContent>
                              </w:sdt>
                              <w:r>
                                <w:rPr>
                                  <w:szCs w:val="24"/>
                                  <w:lang w:eastAsia="lt-LT"/>
                                </w:rPr>
                                <w:t>. progresuojanti ūmi alerginė reakcija, kai pasireiškia bėrimas ir niežulys, be anafilaksijos požymių; </w:t>
                              </w:r>
                            </w:p>
                          </w:sdtContent>
                        </w:sdt>
                        <w:sdt>
                          <w:sdtPr>
                            <w:alias w:val="12.1.1.5 pp."/>
                            <w:tag w:val="part_48c2e89ac7004a23b4ed6e74db586b0b"/>
                            <w:lock w:val="sdtLocked"/>
                            <w:richText/>
                          </w:sdtPr>
                          <w:sdtContent>
                            <w:p>
                              <w:pPr>
                                <w:tabs>
                                  <w:tab w:val="num" w:pos="720"/>
                                </w:tabs>
                                <w:ind w:firstLine="851"/>
                                <w:jc w:val="both"/>
                                <w:textAlignment w:val="baseline"/>
                                <w:rPr>
                                  <w:szCs w:val="24"/>
                                  <w:lang w:eastAsia="lt-LT"/>
                                </w:rPr>
                              </w:pPr>
                              <w:sdt>
                                <w:sdtPr>
                                  <w:alias w:val="Numeris"/>
                                  <w:tag w:val="nr_48c2e89ac7004a23b4ed6e74db586b0b"/>
                                  <w:lock w:val="sdtLocked"/>
                                  <w:richText/>
                                </w:sdtPr>
                                <w:sdtContent>
                                  <w:r>
                                    <w:rPr>
                                      <w:szCs w:val="24"/>
                                      <w:lang w:eastAsia="lt-LT"/>
                                    </w:rPr>
                                    <w:t>12.1.1.5</w:t>
                                  </w:r>
                                </w:sdtContent>
                              </w:sdt>
                              <w:r>
                                <w:rPr>
                                  <w:szCs w:val="24"/>
                                  <w:lang w:eastAsia="lt-LT"/>
                                </w:rPr>
                                <w:t>. ūmus pykinimas, vėmimas (besikartojantis), viduriavimas (besikartojantis) be sisteminės intoksikacijos požymių; </w:t>
                              </w:r>
                            </w:p>
                          </w:sdtContent>
                        </w:sdt>
                        <w:sdt>
                          <w:sdtPr>
                            <w:alias w:val="12.1.1.6 pp."/>
                            <w:tag w:val="part_ab432e887f324ca0a41a40126bf0b30c"/>
                            <w:lock w:val="sdtLocked"/>
                            <w:richText/>
                          </w:sdtPr>
                          <w:sdtContent>
                            <w:p>
                              <w:pPr>
                                <w:tabs>
                                  <w:tab w:val="num" w:pos="720"/>
                                </w:tabs>
                                <w:ind w:firstLine="851"/>
                                <w:jc w:val="both"/>
                                <w:textAlignment w:val="baseline"/>
                                <w:rPr>
                                  <w:szCs w:val="24"/>
                                  <w:lang w:eastAsia="lt-LT"/>
                                </w:rPr>
                              </w:pPr>
                              <w:sdt>
                                <w:sdtPr>
                                  <w:alias w:val="Numeris"/>
                                  <w:tag w:val="nr_ab432e887f324ca0a41a40126bf0b30c"/>
                                  <w:lock w:val="sdtLocked"/>
                                  <w:richText/>
                                </w:sdtPr>
                                <w:sdtContent>
                                  <w:r>
                                    <w:rPr>
                                      <w:szCs w:val="24"/>
                                      <w:lang w:eastAsia="lt-LT"/>
                                    </w:rPr>
                                    <w:t>12.1.1.6</w:t>
                                  </w:r>
                                </w:sdtContent>
                              </w:sdt>
                              <w:r>
                                <w:rPr>
                                  <w:szCs w:val="24"/>
                                  <w:lang w:eastAsia="lt-LT"/>
                                </w:rPr>
                                <w:t>. gyvūnų įkandimai ir įdrėskimai, kai nereikalingas chirurginis žaizdos sutvarkymas; </w:t>
                              </w:r>
                            </w:p>
                          </w:sdtContent>
                        </w:sdt>
                        <w:sdt>
                          <w:sdtPr>
                            <w:alias w:val="12.1.1.7 pp."/>
                            <w:tag w:val="part_207e89b5e7864c3597a84e22355b43ce"/>
                            <w:lock w:val="sdtLocked"/>
                            <w:richText/>
                          </w:sdtPr>
                          <w:sdtContent>
                            <w:p>
                              <w:pPr>
                                <w:tabs>
                                  <w:tab w:val="num" w:pos="720"/>
                                </w:tabs>
                                <w:ind w:firstLine="851"/>
                                <w:jc w:val="both"/>
                                <w:textAlignment w:val="baseline"/>
                                <w:rPr>
                                  <w:szCs w:val="24"/>
                                  <w:lang w:eastAsia="lt-LT"/>
                                </w:rPr>
                              </w:pPr>
                              <w:sdt>
                                <w:sdtPr>
                                  <w:alias w:val="Numeris"/>
                                  <w:tag w:val="nr_207e89b5e7864c3597a84e22355b43ce"/>
                                  <w:lock w:val="sdtLocked"/>
                                  <w:richText/>
                                </w:sdtPr>
                                <w:sdtContent>
                                  <w:r>
                                    <w:rPr>
                                      <w:szCs w:val="24"/>
                                      <w:lang w:eastAsia="lt-LT"/>
                                    </w:rPr>
                                    <w:t>12.1.1.7</w:t>
                                  </w:r>
                                </w:sdtContent>
                              </w:sdt>
                              <w:r>
                                <w:rPr>
                                  <w:szCs w:val="24"/>
                                  <w:lang w:eastAsia="lt-LT"/>
                                </w:rPr>
                                <w:t>. žaizdų perrišimas po chirurginių intervencijų, kai nereikalingas tolesnis chirurginis žaizdos sutvarkymas; </w:t>
                              </w:r>
                            </w:p>
                          </w:sdtContent>
                        </w:sdt>
                        <w:sdt>
                          <w:sdtPr>
                            <w:alias w:val="12.1.1.8 pp."/>
                            <w:tag w:val="part_a6e9fcd46fd5496f96e4f1e22b58574d"/>
                            <w:lock w:val="sdtLocked"/>
                            <w:richText/>
                          </w:sdtPr>
                          <w:sdtContent>
                            <w:p>
                              <w:pPr>
                                <w:tabs>
                                  <w:tab w:val="num" w:pos="720"/>
                                </w:tabs>
                                <w:ind w:firstLine="851"/>
                                <w:jc w:val="both"/>
                                <w:textAlignment w:val="baseline"/>
                                <w:rPr>
                                  <w:szCs w:val="24"/>
                                  <w:lang w:eastAsia="lt-LT"/>
                                </w:rPr>
                              </w:pPr>
                              <w:sdt>
                                <w:sdtPr>
                                  <w:alias w:val="Numeris"/>
                                  <w:tag w:val="nr_a6e9fcd46fd5496f96e4f1e22b58574d"/>
                                  <w:lock w:val="sdtLocked"/>
                                  <w:richText/>
                                </w:sdtPr>
                                <w:sdtContent>
                                  <w:r>
                                    <w:rPr>
                                      <w:szCs w:val="24"/>
                                      <w:lang w:eastAsia="lt-LT"/>
                                    </w:rPr>
                                    <w:t>12.1.1.8</w:t>
                                  </w:r>
                                </w:sdtContent>
                              </w:sdt>
                              <w:r>
                                <w:rPr>
                                  <w:szCs w:val="24"/>
                                  <w:lang w:eastAsia="lt-LT"/>
                                </w:rPr>
                                <w:t>. širdies ritmo sutrikimas, trunkantis ilgiau nei 48 val., nevartojant kraują skystinančių vaistų, kai negalima atlikti ritmo atkūrimo; </w:t>
                              </w:r>
                            </w:p>
                          </w:sdtContent>
                        </w:sdt>
                        <w:sdt>
                          <w:sdtPr>
                            <w:alias w:val="12.1.1.9 pp."/>
                            <w:tag w:val="part_a6797af1baa84d1ca7794baad649d4d8"/>
                            <w:lock w:val="sdtLocked"/>
                            <w:richText/>
                          </w:sdtPr>
                          <w:sdtContent>
                            <w:p>
                              <w:pPr>
                                <w:tabs>
                                  <w:tab w:val="num" w:pos="720"/>
                                </w:tabs>
                                <w:ind w:firstLine="851"/>
                                <w:jc w:val="both"/>
                                <w:textAlignment w:val="baseline"/>
                                <w:rPr>
                                  <w:szCs w:val="24"/>
                                  <w:lang w:eastAsia="lt-LT"/>
                                </w:rPr>
                              </w:pPr>
                              <w:sdt>
                                <w:sdtPr>
                                  <w:alias w:val="Numeris"/>
                                  <w:tag w:val="nr_a6797af1baa84d1ca7794baad649d4d8"/>
                                  <w:lock w:val="sdtLocked"/>
                                  <w:richText/>
                                </w:sdtPr>
                                <w:sdtContent>
                                  <w:r>
                                    <w:rPr>
                                      <w:szCs w:val="24"/>
                                      <w:lang w:eastAsia="lt-LT"/>
                                    </w:rPr>
                                    <w:t>12.1.1.9</w:t>
                                  </w:r>
                                </w:sdtContent>
                              </w:sdt>
                              <w:r>
                                <w:rPr>
                                  <w:szCs w:val="24"/>
                                  <w:lang w:eastAsia="lt-LT"/>
                                </w:rPr>
                                <w:t>. laikino nedarbingumo pažymėjimo dėl ūmios būklės arba susirgusio vaiko slaugos išdavimas pirmą kartą; </w:t>
                              </w:r>
                            </w:p>
                          </w:sdtContent>
                        </w:sdt>
                        <w:sdt>
                          <w:sdtPr>
                            <w:alias w:val="12.1.1.10 pp."/>
                            <w:tag w:val="part_3a86ce446d7c44fe97bfce6bb1242525"/>
                            <w:lock w:val="sdtLocked"/>
                            <w:richText/>
                          </w:sdtPr>
                          <w:sdtContent>
                            <w:p>
                              <w:pPr>
                                <w:tabs>
                                  <w:tab w:val="num" w:pos="720"/>
                                </w:tabs>
                                <w:ind w:firstLine="851"/>
                                <w:jc w:val="both"/>
                                <w:textAlignment w:val="baseline"/>
                                <w:rPr>
                                  <w:szCs w:val="24"/>
                                  <w:lang w:eastAsia="lt-LT"/>
                                </w:rPr>
                              </w:pPr>
                              <w:sdt>
                                <w:sdtPr>
                                  <w:alias w:val="Numeris"/>
                                  <w:tag w:val="nr_3a86ce446d7c44fe97bfce6bb1242525"/>
                                  <w:lock w:val="sdtLocked"/>
                                  <w:richText/>
                                </w:sdtPr>
                                <w:sdtContent>
                                  <w:r>
                                    <w:rPr>
                                      <w:szCs w:val="24"/>
                                      <w:lang w:eastAsia="lt-LT"/>
                                    </w:rPr>
                                    <w:t>12.1.1.10</w:t>
                                  </w:r>
                                </w:sdtContent>
                              </w:sdt>
                              <w:r>
                                <w:rPr>
                                  <w:szCs w:val="24"/>
                                  <w:lang w:eastAsia="lt-LT"/>
                                </w:rPr>
                                <w:t>. paviršinės akių infekcinės ligos, prasidėjusios prieš &gt; 48 val.;  </w:t>
                              </w:r>
                            </w:p>
                          </w:sdtContent>
                        </w:sdt>
                        <w:sdt>
                          <w:sdtPr>
                            <w:alias w:val="12.1.1.11 pp."/>
                            <w:tag w:val="part_b2d452ee8dac4eeaa40567256237df69"/>
                            <w:lock w:val="sdtLocked"/>
                            <w:richText/>
                          </w:sdtPr>
                          <w:sdtContent>
                            <w:p>
                              <w:pPr>
                                <w:tabs>
                                  <w:tab w:val="num" w:pos="720"/>
                                </w:tabs>
                                <w:ind w:firstLine="851"/>
                                <w:jc w:val="both"/>
                                <w:textAlignment w:val="baseline"/>
                                <w:rPr>
                                  <w:szCs w:val="24"/>
                                  <w:lang w:eastAsia="lt-LT"/>
                                </w:rPr>
                              </w:pPr>
                              <w:sdt>
                                <w:sdtPr>
                                  <w:alias w:val="Numeris"/>
                                  <w:tag w:val="nr_b2d452ee8dac4eeaa40567256237df69"/>
                                  <w:lock w:val="sdtLocked"/>
                                  <w:richText/>
                                </w:sdtPr>
                                <w:sdtContent>
                                  <w:r>
                                    <w:rPr>
                                      <w:szCs w:val="24"/>
                                      <w:lang w:eastAsia="lt-LT"/>
                                    </w:rPr>
                                    <w:t>12.1.1.11</w:t>
                                  </w:r>
                                </w:sdtContent>
                              </w:sdt>
                              <w:r>
                                <w:rPr>
                                  <w:szCs w:val="24"/>
                                  <w:lang w:eastAsia="lt-LT"/>
                                </w:rPr>
                                <w:t>. paviršiniai svetimkūniai; </w:t>
                              </w:r>
                            </w:p>
                          </w:sdtContent>
                        </w:sdt>
                        <w:sdt>
                          <w:sdtPr>
                            <w:alias w:val="12.1.1.12 pp."/>
                            <w:tag w:val="part_dadd90b8eecf4ac088504444f59db6d5"/>
                            <w:lock w:val="sdtLocked"/>
                            <w:richText/>
                          </w:sdtPr>
                          <w:sdtContent>
                            <w:p>
                              <w:pPr>
                                <w:tabs>
                                  <w:tab w:val="num" w:pos="720"/>
                                </w:tabs>
                                <w:ind w:firstLine="851"/>
                                <w:jc w:val="both"/>
                                <w:textAlignment w:val="baseline"/>
                                <w:rPr>
                                  <w:szCs w:val="24"/>
                                  <w:lang w:eastAsia="lt-LT"/>
                                </w:rPr>
                              </w:pPr>
                              <w:sdt>
                                <w:sdtPr>
                                  <w:alias w:val="Numeris"/>
                                  <w:tag w:val="nr_dadd90b8eecf4ac088504444f59db6d5"/>
                                  <w:lock w:val="sdtLocked"/>
                                  <w:richText/>
                                </w:sdtPr>
                                <w:sdtContent>
                                  <w:r>
                                    <w:rPr>
                                      <w:szCs w:val="24"/>
                                      <w:lang w:eastAsia="lt-LT"/>
                                    </w:rPr>
                                    <w:t>12.1.1. 12</w:t>
                                  </w:r>
                                </w:sdtContent>
                              </w:sdt>
                              <w:r>
                                <w:rPr>
                                  <w:szCs w:val="24"/>
                                  <w:lang w:eastAsia="lt-LT"/>
                                </w:rPr>
                                <w:t>. lengvi nudegimai, kai nėra bent vieno iš šių požymių: </w:t>
                              </w:r>
                            </w:p>
                            <w:sdt>
                              <w:sdtPr>
                                <w:alias w:val="12.1.1.12.1 pp."/>
                                <w:tag w:val="part_c7247b4e1e33467dbfe4ca40896c829f"/>
                                <w:lock w:val="sdtLocked"/>
                                <w:richText/>
                              </w:sdtPr>
                              <w:sdtContent>
                                <w:p>
                                  <w:pPr>
                                    <w:tabs>
                                      <w:tab w:val="num" w:pos="720"/>
                                    </w:tabs>
                                    <w:ind w:firstLine="851"/>
                                    <w:jc w:val="both"/>
                                    <w:textAlignment w:val="baseline"/>
                                    <w:rPr>
                                      <w:szCs w:val="24"/>
                                      <w:lang w:eastAsia="lt-LT"/>
                                    </w:rPr>
                                  </w:pPr>
                                  <w:sdt>
                                    <w:sdtPr>
                                      <w:alias w:val="Numeris"/>
                                      <w:tag w:val="nr_c7247b4e1e33467dbfe4ca40896c829f"/>
                                      <w:lock w:val="sdtLocked"/>
                                      <w:richText/>
                                    </w:sdtPr>
                                    <w:sdtContent>
                                      <w:r>
                                        <w:rPr>
                                          <w:szCs w:val="24"/>
                                          <w:lang w:eastAsia="lt-LT"/>
                                        </w:rPr>
                                        <w:t>12.1.1.12.1</w:t>
                                      </w:r>
                                    </w:sdtContent>
                                  </w:sdt>
                                  <w:r>
                                    <w:rPr>
                                      <w:szCs w:val="24"/>
                                      <w:lang w:eastAsia="lt-LT"/>
                                    </w:rPr>
                                    <w:t>. cirkuliaraus nudegimo;  </w:t>
                                  </w:r>
                                </w:p>
                              </w:sdtContent>
                            </w:sdt>
                            <w:sdt>
                              <w:sdtPr>
                                <w:alias w:val="12.1.1.12.2 pp."/>
                                <w:tag w:val="part_ff31df5d04994cee84aa7f342853ac41"/>
                                <w:lock w:val="sdtLocked"/>
                                <w:richText/>
                              </w:sdtPr>
                              <w:sdtContent>
                                <w:p>
                                  <w:pPr>
                                    <w:tabs>
                                      <w:tab w:val="num" w:pos="720"/>
                                    </w:tabs>
                                    <w:ind w:firstLine="851"/>
                                    <w:jc w:val="both"/>
                                    <w:textAlignment w:val="baseline"/>
                                    <w:rPr>
                                      <w:szCs w:val="24"/>
                                      <w:lang w:eastAsia="lt-LT"/>
                                    </w:rPr>
                                  </w:pPr>
                                  <w:sdt>
                                    <w:sdtPr>
                                      <w:alias w:val="Numeris"/>
                                      <w:tag w:val="nr_ff31df5d04994cee84aa7f342853ac41"/>
                                      <w:lock w:val="sdtLocked"/>
                                      <w:richText/>
                                    </w:sdtPr>
                                    <w:sdtContent>
                                      <w:r>
                                        <w:rPr>
                                          <w:szCs w:val="24"/>
                                          <w:lang w:eastAsia="lt-LT"/>
                                        </w:rPr>
                                        <w:t>12.1.1.12.2</w:t>
                                      </w:r>
                                    </w:sdtContent>
                                  </w:sdt>
                                  <w:r>
                                    <w:rPr>
                                      <w:szCs w:val="24"/>
                                      <w:lang w:eastAsia="lt-LT"/>
                                    </w:rPr>
                                    <w:t>. kvėpavimo takų nudegimo; </w:t>
                                  </w:r>
                                </w:p>
                              </w:sdtContent>
                            </w:sdt>
                            <w:sdt>
                              <w:sdtPr>
                                <w:alias w:val="12.1.1.12.3 pp."/>
                                <w:tag w:val="part_d9a4dacd9c404c85b3a875b83fd382fd"/>
                                <w:lock w:val="sdtLocked"/>
                                <w:richText/>
                              </w:sdtPr>
                              <w:sdtContent>
                                <w:p>
                                  <w:pPr>
                                    <w:tabs>
                                      <w:tab w:val="num" w:pos="720"/>
                                    </w:tabs>
                                    <w:ind w:firstLine="851"/>
                                    <w:jc w:val="both"/>
                                    <w:textAlignment w:val="baseline"/>
                                    <w:rPr>
                                      <w:szCs w:val="24"/>
                                      <w:lang w:eastAsia="lt-LT"/>
                                    </w:rPr>
                                  </w:pPr>
                                  <w:sdt>
                                    <w:sdtPr>
                                      <w:alias w:val="Numeris"/>
                                      <w:tag w:val="nr_d9a4dacd9c404c85b3a875b83fd382fd"/>
                                      <w:lock w:val="sdtLocked"/>
                                      <w:richText/>
                                    </w:sdtPr>
                                    <w:sdtContent>
                                      <w:r>
                                        <w:rPr>
                                          <w:szCs w:val="24"/>
                                          <w:lang w:eastAsia="lt-LT"/>
                                        </w:rPr>
                                        <w:t>12.1.1.12.3</w:t>
                                      </w:r>
                                    </w:sdtContent>
                                  </w:sdt>
                                  <w:r>
                                    <w:rPr>
                                      <w:szCs w:val="24"/>
                                      <w:lang w:eastAsia="lt-LT"/>
                                    </w:rPr>
                                    <w:t>. apima veidą bei kaklą; </w:t>
                                  </w:r>
                                </w:p>
                              </w:sdtContent>
                            </w:sdt>
                            <w:sdt>
                              <w:sdtPr>
                                <w:alias w:val="12.1.1.12.4 pp."/>
                                <w:tag w:val="part_a032d4edaa7144b6ab915a646d7742ff"/>
                                <w:lock w:val="sdtLocked"/>
                                <w:richText/>
                              </w:sdtPr>
                              <w:sdtContent>
                                <w:p>
                                  <w:pPr>
                                    <w:tabs>
                                      <w:tab w:val="num" w:pos="720"/>
                                    </w:tabs>
                                    <w:ind w:firstLine="851"/>
                                    <w:jc w:val="both"/>
                                    <w:textAlignment w:val="baseline"/>
                                    <w:rPr>
                                      <w:szCs w:val="24"/>
                                      <w:lang w:eastAsia="lt-LT"/>
                                    </w:rPr>
                                  </w:pPr>
                                  <w:sdt>
                                    <w:sdtPr>
                                      <w:alias w:val="Numeris"/>
                                      <w:tag w:val="nr_a032d4edaa7144b6ab915a646d7742ff"/>
                                      <w:lock w:val="sdtLocked"/>
                                      <w:richText/>
                                    </w:sdtPr>
                                    <w:sdtContent>
                                      <w:r>
                                        <w:rPr>
                                          <w:szCs w:val="24"/>
                                          <w:lang w:eastAsia="lt-LT"/>
                                        </w:rPr>
                                        <w:t>12.1.1.12.4</w:t>
                                      </w:r>
                                    </w:sdtContent>
                                  </w:sdt>
                                  <w:r>
                                    <w:rPr>
                                      <w:szCs w:val="24"/>
                                      <w:lang w:eastAsia="lt-LT"/>
                                    </w:rPr>
                                    <w:t>. nudegimas apima tarpvietės sritį; </w:t>
                                  </w:r>
                                </w:p>
                              </w:sdtContent>
                            </w:sdt>
                            <w:sdt>
                              <w:sdtPr>
                                <w:alias w:val="12.1.1.12.5 pp."/>
                                <w:tag w:val="part_88deb4c864af4bae8e158058dea54824"/>
                                <w:lock w:val="sdtLocked"/>
                                <w:richText/>
                              </w:sdtPr>
                              <w:sdtContent>
                                <w:p>
                                  <w:pPr>
                                    <w:tabs>
                                      <w:tab w:val="num" w:pos="720"/>
                                    </w:tabs>
                                    <w:ind w:firstLine="851"/>
                                    <w:jc w:val="both"/>
                                    <w:textAlignment w:val="baseline"/>
                                    <w:rPr>
                                      <w:szCs w:val="24"/>
                                      <w:lang w:eastAsia="lt-LT"/>
                                    </w:rPr>
                                  </w:pPr>
                                  <w:sdt>
                                    <w:sdtPr>
                                      <w:alias w:val="Numeris"/>
                                      <w:tag w:val="nr_88deb4c864af4bae8e158058dea54824"/>
                                      <w:lock w:val="sdtLocked"/>
                                      <w:richText/>
                                    </w:sdtPr>
                                    <w:sdtContent>
                                      <w:r>
                                        <w:rPr>
                                          <w:szCs w:val="24"/>
                                          <w:lang w:eastAsia="lt-LT"/>
                                        </w:rPr>
                                        <w:t>12.1.1.12.5</w:t>
                                      </w:r>
                                    </w:sdtContent>
                                  </w:sdt>
                                  <w:r>
                                    <w:rPr>
                                      <w:szCs w:val="24"/>
                                      <w:lang w:eastAsia="lt-LT"/>
                                    </w:rPr>
                                    <w:t>. nudegimas apima sąnarius; </w:t>
                                  </w:r>
                                </w:p>
                              </w:sdtContent>
                            </w:sdt>
                            <w:sdt>
                              <w:sdtPr>
                                <w:alias w:val="12.1.1.12.6 pp."/>
                                <w:tag w:val="part_d6f5b5335bd849a0a2efd2328f9b1e09"/>
                                <w:lock w:val="sdtLocked"/>
                                <w:richText/>
                              </w:sdtPr>
                              <w:sdtContent>
                                <w:p>
                                  <w:pPr>
                                    <w:tabs>
                                      <w:tab w:val="num" w:pos="720"/>
                                    </w:tabs>
                                    <w:ind w:firstLine="851"/>
                                    <w:jc w:val="both"/>
                                    <w:textAlignment w:val="baseline"/>
                                    <w:rPr>
                                      <w:szCs w:val="24"/>
                                      <w:lang w:eastAsia="lt-LT"/>
                                    </w:rPr>
                                  </w:pPr>
                                  <w:sdt>
                                    <w:sdtPr>
                                      <w:alias w:val="Numeris"/>
                                      <w:tag w:val="nr_d6f5b5335bd849a0a2efd2328f9b1e09"/>
                                      <w:lock w:val="sdtLocked"/>
                                      <w:richText/>
                                    </w:sdtPr>
                                    <w:sdtContent>
                                      <w:r>
                                        <w:rPr>
                                          <w:szCs w:val="24"/>
                                          <w:lang w:eastAsia="lt-LT"/>
                                        </w:rPr>
                                        <w:t>12.1.1.12.6</w:t>
                                      </w:r>
                                    </w:sdtContent>
                                  </w:sdt>
                                  <w:r>
                                    <w:rPr>
                                      <w:szCs w:val="24"/>
                                      <w:lang w:eastAsia="lt-LT"/>
                                    </w:rPr>
                                    <w:t>. yra didelės kinetinės energijos. </w:t>
                                  </w:r>
                                </w:p>
                              </w:sdtContent>
                            </w:sdt>
                          </w:sdtContent>
                        </w:sdt>
                      </w:sdtContent>
                    </w:sdt>
                    <w:sdt>
                      <w:sdtPr>
                        <w:alias w:val="12.1.2 pp."/>
                        <w:tag w:val="part_a1930812bb724eff9ecb2b3afc035669"/>
                        <w:lock w:val="sdtLocked"/>
                        <w:richText/>
                      </w:sdtPr>
                      <w:sdtContent>
                        <w:p>
                          <w:pPr>
                            <w:tabs>
                              <w:tab w:val="num" w:pos="720"/>
                            </w:tabs>
                            <w:ind w:firstLine="851"/>
                            <w:jc w:val="both"/>
                            <w:textAlignment w:val="baseline"/>
                            <w:rPr>
                              <w:szCs w:val="24"/>
                              <w:lang w:eastAsia="lt-LT"/>
                            </w:rPr>
                          </w:pPr>
                          <w:sdt>
                            <w:sdtPr>
                              <w:alias w:val="Numeris"/>
                              <w:tag w:val="nr_a1930812bb724eff9ecb2b3afc035669"/>
                              <w:lock w:val="sdtLocked"/>
                              <w:richText/>
                            </w:sdtPr>
                            <w:sdtContent>
                              <w:r>
                                <w:rPr>
                                  <w:szCs w:val="24"/>
                                  <w:lang w:eastAsia="lt-LT"/>
                                </w:rPr>
                                <w:t>12.1.2</w:t>
                              </w:r>
                            </w:sdtContent>
                          </w:sdt>
                          <w:r>
                            <w:rPr>
                              <w:szCs w:val="24"/>
                              <w:lang w:eastAsia="lt-LT"/>
                            </w:rPr>
                            <w:t>. vaikams: </w:t>
                          </w:r>
                        </w:p>
                        <w:sdt>
                          <w:sdtPr>
                            <w:alias w:val="12.1.2.1 pp."/>
                            <w:tag w:val="part_02f9e4874f1b4028b7e015476994ead8"/>
                            <w:lock w:val="sdtLocked"/>
                            <w:richText/>
                          </w:sdtPr>
                          <w:sdtContent>
                            <w:p>
                              <w:pPr>
                                <w:tabs>
                                  <w:tab w:val="num" w:pos="720"/>
                                </w:tabs>
                                <w:ind w:firstLine="851"/>
                                <w:jc w:val="both"/>
                                <w:textAlignment w:val="baseline"/>
                                <w:rPr>
                                  <w:szCs w:val="24"/>
                                  <w:lang w:eastAsia="lt-LT"/>
                                </w:rPr>
                              </w:pPr>
                              <w:sdt>
                                <w:sdtPr>
                                  <w:alias w:val="Numeris"/>
                                  <w:tag w:val="nr_02f9e4874f1b4028b7e015476994ead8"/>
                                  <w:lock w:val="sdtLocked"/>
                                  <w:richText/>
                                </w:sdtPr>
                                <w:sdtContent>
                                  <w:r>
                                    <w:rPr>
                                      <w:szCs w:val="24"/>
                                      <w:lang w:eastAsia="lt-LT"/>
                                    </w:rPr>
                                    <w:t>12.1.2.1</w:t>
                                  </w:r>
                                </w:sdtContent>
                              </w:sdt>
                              <w:r>
                                <w:rPr>
                                  <w:szCs w:val="24"/>
                                  <w:lang w:eastAsia="lt-LT"/>
                                </w:rPr>
                                <w:t>. (išskyrus kūdikius) karščiavimas daugiau kaip 37,8 °C, trunkantis ilgiau nei 24 val., nepraeinantis skiriant karščiavimą mažinančius vaistus; </w:t>
                              </w:r>
                            </w:p>
                          </w:sdtContent>
                        </w:sdt>
                        <w:sdt>
                          <w:sdtPr>
                            <w:alias w:val="12.1.2.2 pp."/>
                            <w:tag w:val="part_d33b6cc0abe244498db322a498d0ab09"/>
                            <w:lock w:val="sdtLocked"/>
                            <w:richText/>
                          </w:sdtPr>
                          <w:sdtContent>
                            <w:p>
                              <w:pPr>
                                <w:tabs>
                                  <w:tab w:val="num" w:pos="720"/>
                                </w:tabs>
                                <w:ind w:firstLine="851"/>
                                <w:jc w:val="both"/>
                                <w:textAlignment w:val="baseline"/>
                                <w:rPr>
                                  <w:szCs w:val="24"/>
                                  <w:lang w:eastAsia="lt-LT"/>
                                </w:rPr>
                              </w:pPr>
                              <w:sdt>
                                <w:sdtPr>
                                  <w:alias w:val="Numeris"/>
                                  <w:tag w:val="nr_d33b6cc0abe244498db322a498d0ab09"/>
                                  <w:lock w:val="sdtLocked"/>
                                  <w:richText/>
                                </w:sdtPr>
                                <w:sdtContent>
                                  <w:r>
                                    <w:rPr>
                                      <w:szCs w:val="24"/>
                                      <w:lang w:eastAsia="lt-LT"/>
                                    </w:rPr>
                                    <w:t>12.1.2.2</w:t>
                                  </w:r>
                                </w:sdtContent>
                              </w:sdt>
                              <w:r>
                                <w:rPr>
                                  <w:szCs w:val="24"/>
                                  <w:lang w:eastAsia="lt-LT"/>
                                </w:rPr>
                                <w:t>. naujai atsiradęs ir plintantis bėrimas, atsiradęs per 24 val.; </w:t>
                              </w:r>
                            </w:p>
                          </w:sdtContent>
                        </w:sdt>
                        <w:sdt>
                          <w:sdtPr>
                            <w:alias w:val="12.1.2.3 pp."/>
                            <w:tag w:val="part_0883386dedc243cfb67c532be93000c5"/>
                            <w:lock w:val="sdtLocked"/>
                            <w:richText/>
                          </w:sdtPr>
                          <w:sdtContent>
                            <w:p>
                              <w:pPr>
                                <w:tabs>
                                  <w:tab w:val="num" w:pos="720"/>
                                </w:tabs>
                                <w:ind w:firstLine="851"/>
                                <w:jc w:val="both"/>
                                <w:textAlignment w:val="baseline"/>
                                <w:rPr>
                                  <w:szCs w:val="24"/>
                                  <w:lang w:eastAsia="lt-LT"/>
                                </w:rPr>
                              </w:pPr>
                              <w:sdt>
                                <w:sdtPr>
                                  <w:alias w:val="Numeris"/>
                                  <w:tag w:val="nr_0883386dedc243cfb67c532be93000c5"/>
                                  <w:lock w:val="sdtLocked"/>
                                  <w:richText/>
                                </w:sdtPr>
                                <w:sdtContent>
                                  <w:r>
                                    <w:rPr>
                                      <w:szCs w:val="24"/>
                                      <w:lang w:eastAsia="lt-LT"/>
                                    </w:rPr>
                                    <w:t>12.1.2.3</w:t>
                                  </w:r>
                                </w:sdtContent>
                              </w:sdt>
                              <w:r>
                                <w:rPr>
                                  <w:szCs w:val="24"/>
                                  <w:lang w:eastAsia="lt-LT"/>
                                </w:rPr>
                                <w:t>. ūmus skausmas, nepraeinantis nuo analgetikų; </w:t>
                              </w:r>
                            </w:p>
                          </w:sdtContent>
                        </w:sdt>
                        <w:sdt>
                          <w:sdtPr>
                            <w:alias w:val="12.1.2.4 pp."/>
                            <w:tag w:val="part_9c494bb700c14d0fb3ca63a11c3f4e2b"/>
                            <w:lock w:val="sdtLocked"/>
                            <w:richText/>
                          </w:sdtPr>
                          <w:sdtContent>
                            <w:p>
                              <w:pPr>
                                <w:tabs>
                                  <w:tab w:val="num" w:pos="720"/>
                                </w:tabs>
                                <w:ind w:firstLine="851"/>
                                <w:jc w:val="both"/>
                                <w:textAlignment w:val="baseline"/>
                                <w:rPr>
                                  <w:szCs w:val="24"/>
                                  <w:lang w:eastAsia="lt-LT"/>
                                </w:rPr>
                              </w:pPr>
                              <w:sdt>
                                <w:sdtPr>
                                  <w:alias w:val="Numeris"/>
                                  <w:tag w:val="nr_9c494bb700c14d0fb3ca63a11c3f4e2b"/>
                                  <w:lock w:val="sdtLocked"/>
                                  <w:richText/>
                                </w:sdtPr>
                                <w:sdtContent>
                                  <w:r>
                                    <w:rPr>
                                      <w:szCs w:val="24"/>
                                      <w:lang w:eastAsia="lt-LT"/>
                                    </w:rPr>
                                    <w:t>12.1.2.4</w:t>
                                  </w:r>
                                </w:sdtContent>
                              </w:sdt>
                              <w:r>
                                <w:rPr>
                                  <w:szCs w:val="24"/>
                                  <w:lang w:eastAsia="lt-LT"/>
                                </w:rPr>
                                <w:t>. ūmūs / pasikartojantis vėmimas ir (ar) viduriavimas, be dehidratacijos požymių; </w:t>
                              </w:r>
                            </w:p>
                          </w:sdtContent>
                        </w:sdt>
                        <w:sdt>
                          <w:sdtPr>
                            <w:alias w:val="12.1.2.5 pp."/>
                            <w:tag w:val="part_42ec0dbab760426b9ab2eaf2d3ac570d"/>
                            <w:lock w:val="sdtLocked"/>
                            <w:richText/>
                          </w:sdtPr>
                          <w:sdtContent>
                            <w:p>
                              <w:pPr>
                                <w:tabs>
                                  <w:tab w:val="num" w:pos="720"/>
                                </w:tabs>
                                <w:ind w:firstLine="851"/>
                                <w:jc w:val="both"/>
                                <w:textAlignment w:val="baseline"/>
                                <w:rPr>
                                  <w:szCs w:val="24"/>
                                  <w:lang w:eastAsia="lt-LT"/>
                                </w:rPr>
                              </w:pPr>
                              <w:sdt>
                                <w:sdtPr>
                                  <w:alias w:val="Numeris"/>
                                  <w:tag w:val="nr_42ec0dbab760426b9ab2eaf2d3ac570d"/>
                                  <w:lock w:val="sdtLocked"/>
                                  <w:richText/>
                                </w:sdtPr>
                                <w:sdtContent>
                                  <w:r>
                                    <w:rPr>
                                      <w:szCs w:val="24"/>
                                      <w:lang w:eastAsia="lt-LT"/>
                                    </w:rPr>
                                    <w:t>12.1.2.5</w:t>
                                  </w:r>
                                </w:sdtContent>
                              </w:sdt>
                              <w:r>
                                <w:rPr>
                                  <w:szCs w:val="24"/>
                                  <w:lang w:eastAsia="lt-LT"/>
                                </w:rPr>
                                <w:t>. ūmus skausmas ir diskomfortas šlapinantis (dizurija); </w:t>
                              </w:r>
                            </w:p>
                          </w:sdtContent>
                        </w:sdt>
                        <w:sdt>
                          <w:sdtPr>
                            <w:alias w:val="12.1.2.6 pp."/>
                            <w:tag w:val="part_f1267fb1b6134050ad7a924b50f2fa26"/>
                            <w:lock w:val="sdtLocked"/>
                            <w:richText/>
                          </w:sdtPr>
                          <w:sdtContent>
                            <w:p>
                              <w:pPr>
                                <w:tabs>
                                  <w:tab w:val="num" w:pos="720"/>
                                </w:tabs>
                                <w:ind w:firstLine="851"/>
                                <w:jc w:val="both"/>
                                <w:textAlignment w:val="baseline"/>
                                <w:rPr>
                                  <w:szCs w:val="24"/>
                                  <w:lang w:eastAsia="lt-LT"/>
                                </w:rPr>
                              </w:pPr>
                              <w:sdt>
                                <w:sdtPr>
                                  <w:alias w:val="Numeris"/>
                                  <w:tag w:val="nr_f1267fb1b6134050ad7a924b50f2fa26"/>
                                  <w:lock w:val="sdtLocked"/>
                                  <w:richText/>
                                </w:sdtPr>
                                <w:sdtContent>
                                  <w:r>
                                    <w:rPr>
                                      <w:szCs w:val="24"/>
                                      <w:lang w:eastAsia="lt-LT"/>
                                    </w:rPr>
                                    <w:t>12.1.2.6</w:t>
                                  </w:r>
                                </w:sdtContent>
                              </w:sdt>
                              <w:r>
                                <w:rPr>
                                  <w:szCs w:val="24"/>
                                  <w:lang w:eastAsia="lt-LT"/>
                                </w:rPr>
                                <w:t>. ūmi alerginė reakcija, kai pasireiškia bėrimas, tinimas, bet nėra anafilaksijos požymių; </w:t>
                              </w:r>
                            </w:p>
                          </w:sdtContent>
                        </w:sdt>
                        <w:sdt>
                          <w:sdtPr>
                            <w:alias w:val="12.1.2.7 pp."/>
                            <w:tag w:val="part_537413a0a94a40bb94cd8223529f7b1f"/>
                            <w:lock w:val="sdtLocked"/>
                            <w:richText/>
                          </w:sdtPr>
                          <w:sdtContent>
                            <w:p>
                              <w:pPr>
                                <w:tabs>
                                  <w:tab w:val="num" w:pos="720"/>
                                </w:tabs>
                                <w:ind w:firstLine="851"/>
                                <w:jc w:val="both"/>
                                <w:textAlignment w:val="baseline"/>
                                <w:rPr>
                                  <w:szCs w:val="24"/>
                                  <w:lang w:eastAsia="lt-LT"/>
                                </w:rPr>
                              </w:pPr>
                              <w:sdt>
                                <w:sdtPr>
                                  <w:alias w:val="Numeris"/>
                                  <w:tag w:val="nr_537413a0a94a40bb94cd8223529f7b1f"/>
                                  <w:lock w:val="sdtLocked"/>
                                  <w:richText/>
                                </w:sdtPr>
                                <w:sdtContent>
                                  <w:r>
                                    <w:rPr>
                                      <w:szCs w:val="24"/>
                                      <w:lang w:eastAsia="lt-LT"/>
                                    </w:rPr>
                                    <w:t>12.1.2.7</w:t>
                                  </w:r>
                                </w:sdtContent>
                              </w:sdt>
                              <w:r>
                                <w:rPr>
                                  <w:szCs w:val="24"/>
                                  <w:lang w:eastAsia="lt-LT"/>
                                </w:rPr>
                                <w:t>. paviršinės žaizdos, kurios nereikalauja chirurginės intervencijos; </w:t>
                              </w:r>
                            </w:p>
                          </w:sdtContent>
                        </w:sdt>
                        <w:sdt>
                          <w:sdtPr>
                            <w:alias w:val="12.1.2.8 pp."/>
                            <w:tag w:val="part_92d2a2787ef544ec90e90ab896e2f807"/>
                            <w:lock w:val="sdtLocked"/>
                            <w:richText/>
                          </w:sdtPr>
                          <w:sdtContent>
                            <w:p>
                              <w:pPr>
                                <w:tabs>
                                  <w:tab w:val="num" w:pos="720"/>
                                </w:tabs>
                                <w:ind w:firstLine="851"/>
                                <w:jc w:val="both"/>
                                <w:textAlignment w:val="baseline"/>
                                <w:rPr>
                                  <w:szCs w:val="24"/>
                                  <w:lang w:eastAsia="lt-LT"/>
                                </w:rPr>
                              </w:pPr>
                              <w:sdt>
                                <w:sdtPr>
                                  <w:alias w:val="Numeris"/>
                                  <w:tag w:val="nr_92d2a2787ef544ec90e90ab896e2f807"/>
                                  <w:lock w:val="sdtLocked"/>
                                  <w:richText/>
                                </w:sdtPr>
                                <w:sdtContent>
                                  <w:r>
                                    <w:rPr>
                                      <w:szCs w:val="24"/>
                                      <w:lang w:eastAsia="lt-LT"/>
                                    </w:rPr>
                                    <w:t>12.1.2.8</w:t>
                                  </w:r>
                                </w:sdtContent>
                              </w:sdt>
                              <w:r>
                                <w:rPr>
                                  <w:szCs w:val="24"/>
                                  <w:lang w:eastAsia="lt-LT"/>
                                </w:rPr>
                                <w:t>. erkių įsisiurbimas, kai įkandimas įvyko per pastarąsias 24 valandas, tačiau nėra jokių ankstyvųjų infekcijos požymių; </w:t>
                              </w:r>
                            </w:p>
                          </w:sdtContent>
                        </w:sdt>
                        <w:sdt>
                          <w:sdtPr>
                            <w:alias w:val="12.1.2.9 pp."/>
                            <w:tag w:val="part_d0d9d65d26dd4116b03a6c51686a6fab"/>
                            <w:lock w:val="sdtLocked"/>
                            <w:richText/>
                          </w:sdtPr>
                          <w:sdtContent>
                            <w:p>
                              <w:pPr>
                                <w:tabs>
                                  <w:tab w:val="num" w:pos="720"/>
                                </w:tabs>
                                <w:ind w:firstLine="851"/>
                                <w:jc w:val="both"/>
                                <w:textAlignment w:val="baseline"/>
                                <w:rPr>
                                  <w:szCs w:val="24"/>
                                  <w:lang w:eastAsia="lt-LT"/>
                                </w:rPr>
                              </w:pPr>
                              <w:sdt>
                                <w:sdtPr>
                                  <w:alias w:val="Numeris"/>
                                  <w:tag w:val="nr_d0d9d65d26dd4116b03a6c51686a6fab"/>
                                  <w:lock w:val="sdtLocked"/>
                                  <w:richText/>
                                </w:sdtPr>
                                <w:sdtContent>
                                  <w:r>
                                    <w:rPr>
                                      <w:szCs w:val="24"/>
                                      <w:lang w:eastAsia="lt-LT"/>
                                    </w:rPr>
                                    <w:t>12.1.2.9</w:t>
                                  </w:r>
                                </w:sdtContent>
                              </w:sdt>
                              <w:r>
                                <w:rPr>
                                  <w:szCs w:val="24"/>
                                  <w:lang w:eastAsia="lt-LT"/>
                                </w:rPr>
                                <w:t>. gyvūnų smulkūs įkandimai, kai nereikia chirurginės pagalbos ir nėra poreikio pasiutligės profilaktikai; </w:t>
                              </w:r>
                            </w:p>
                          </w:sdtContent>
                        </w:sdt>
                        <w:sdt>
                          <w:sdtPr>
                            <w:alias w:val="12.1.2.10 pp."/>
                            <w:tag w:val="part_e941da1cc6544f39a3505ef970c926cc"/>
                            <w:lock w:val="sdtLocked"/>
                            <w:richText/>
                          </w:sdtPr>
                          <w:sdtContent>
                            <w:p>
                              <w:pPr>
                                <w:tabs>
                                  <w:tab w:val="num" w:pos="720"/>
                                </w:tabs>
                                <w:ind w:firstLine="851"/>
                                <w:jc w:val="both"/>
                                <w:textAlignment w:val="baseline"/>
                                <w:rPr>
                                  <w:szCs w:val="24"/>
                                  <w:lang w:eastAsia="lt-LT"/>
                                </w:rPr>
                              </w:pPr>
                              <w:sdt>
                                <w:sdtPr>
                                  <w:alias w:val="Numeris"/>
                                  <w:tag w:val="nr_e941da1cc6544f39a3505ef970c926cc"/>
                                  <w:lock w:val="sdtLocked"/>
                                  <w:richText/>
                                </w:sdtPr>
                                <w:sdtContent>
                                  <w:r>
                                    <w:rPr>
                                      <w:szCs w:val="24"/>
                                      <w:lang w:eastAsia="lt-LT"/>
                                    </w:rPr>
                                    <w:t>12.1.2.10</w:t>
                                  </w:r>
                                </w:sdtContent>
                              </w:sdt>
                              <w:r>
                                <w:rPr>
                                  <w:szCs w:val="24"/>
                                  <w:lang w:eastAsia="lt-LT"/>
                                </w:rPr>
                                <w:t>. paviršinės akių infekcinės ligos, prasidėjusios prieš &gt; 48 val.;  </w:t>
                              </w:r>
                            </w:p>
                          </w:sdtContent>
                        </w:sdt>
                        <w:sdt>
                          <w:sdtPr>
                            <w:alias w:val="12.1.2.11 pp."/>
                            <w:tag w:val="part_5e9ad4366751408682908a85526be6f3"/>
                            <w:lock w:val="sdtLocked"/>
                            <w:richText/>
                          </w:sdtPr>
                          <w:sdtContent>
                            <w:p>
                              <w:pPr>
                                <w:tabs>
                                  <w:tab w:val="num" w:pos="720"/>
                                </w:tabs>
                                <w:ind w:firstLine="851"/>
                                <w:jc w:val="both"/>
                                <w:textAlignment w:val="baseline"/>
                                <w:rPr>
                                  <w:szCs w:val="24"/>
                                  <w:lang w:eastAsia="lt-LT"/>
                                </w:rPr>
                              </w:pPr>
                              <w:sdt>
                                <w:sdtPr>
                                  <w:alias w:val="Numeris"/>
                                  <w:tag w:val="nr_5e9ad4366751408682908a85526be6f3"/>
                                  <w:lock w:val="sdtLocked"/>
                                  <w:richText/>
                                </w:sdtPr>
                                <w:sdtContent>
                                  <w:r>
                                    <w:rPr>
                                      <w:szCs w:val="24"/>
                                      <w:lang w:eastAsia="lt-LT"/>
                                    </w:rPr>
                                    <w:t>12.1.2.11</w:t>
                                  </w:r>
                                </w:sdtContent>
                              </w:sdt>
                              <w:r>
                                <w:rPr>
                                  <w:szCs w:val="24"/>
                                  <w:lang w:eastAsia="lt-LT"/>
                                </w:rPr>
                                <w:t xml:space="preserve">. laikino nedarbingumo pažymėjimo dėl ūmios būklės arba susirgusio vaiko slaugos išdavimas pirmą kartą;  </w:t>
                              </w:r>
                            </w:p>
                          </w:sdtContent>
                        </w:sdt>
                        <w:sdt>
                          <w:sdtPr>
                            <w:alias w:val="12.1.2.12 pp."/>
                            <w:tag w:val="part_37da6093fc3247eeb6f831d7e24f847b"/>
                            <w:lock w:val="sdtLocked"/>
                            <w:richText/>
                          </w:sdtPr>
                          <w:sdtContent>
                            <w:p>
                              <w:pPr>
                                <w:tabs>
                                  <w:tab w:val="num" w:pos="720"/>
                                </w:tabs>
                                <w:ind w:firstLine="851"/>
                                <w:jc w:val="both"/>
                                <w:textAlignment w:val="baseline"/>
                                <w:rPr>
                                  <w:szCs w:val="24"/>
                                  <w:lang w:eastAsia="lt-LT"/>
                                </w:rPr>
                              </w:pPr>
                              <w:sdt>
                                <w:sdtPr>
                                  <w:alias w:val="Numeris"/>
                                  <w:tag w:val="nr_37da6093fc3247eeb6f831d7e24f847b"/>
                                  <w:lock w:val="sdtLocked"/>
                                  <w:richText/>
                                </w:sdtPr>
                                <w:sdtContent>
                                  <w:r>
                                    <w:rPr>
                                      <w:szCs w:val="24"/>
                                      <w:lang w:eastAsia="lt-LT"/>
                                    </w:rPr>
                                    <w:t>12.1.2.12</w:t>
                                  </w:r>
                                </w:sdtContent>
                              </w:sdt>
                              <w:r>
                                <w:rPr>
                                  <w:szCs w:val="24"/>
                                  <w:lang w:eastAsia="lt-LT"/>
                                </w:rPr>
                                <w:t>. lengvi nudegimai, kai nėra bent vieno iš šių požymių: </w:t>
                              </w:r>
                            </w:p>
                            <w:sdt>
                              <w:sdtPr>
                                <w:alias w:val="12.1.2.12.1 pp."/>
                                <w:tag w:val="part_014645b970444aec9f6cf5dcaa7a2f9e"/>
                                <w:lock w:val="sdtLocked"/>
                                <w:richText/>
                              </w:sdtPr>
                              <w:sdtContent>
                                <w:p>
                                  <w:pPr>
                                    <w:tabs>
                                      <w:tab w:val="num" w:pos="720"/>
                                    </w:tabs>
                                    <w:ind w:firstLine="851"/>
                                    <w:jc w:val="both"/>
                                    <w:textAlignment w:val="baseline"/>
                                    <w:rPr>
                                      <w:szCs w:val="24"/>
                                      <w:lang w:eastAsia="lt-LT"/>
                                    </w:rPr>
                                  </w:pPr>
                                  <w:sdt>
                                    <w:sdtPr>
                                      <w:alias w:val="Numeris"/>
                                      <w:tag w:val="nr_014645b970444aec9f6cf5dcaa7a2f9e"/>
                                      <w:lock w:val="sdtLocked"/>
                                      <w:richText/>
                                    </w:sdtPr>
                                    <w:sdtContent>
                                      <w:r>
                                        <w:rPr>
                                          <w:szCs w:val="24"/>
                                          <w:lang w:eastAsia="lt-LT"/>
                                        </w:rPr>
                                        <w:t>12.1.2.12.1</w:t>
                                      </w:r>
                                    </w:sdtContent>
                                  </w:sdt>
                                  <w:r>
                                    <w:rPr>
                                      <w:szCs w:val="24"/>
                                      <w:lang w:eastAsia="lt-LT"/>
                                    </w:rPr>
                                    <w:t>. cirkuliaraus nudegimo;  </w:t>
                                  </w:r>
                                </w:p>
                              </w:sdtContent>
                            </w:sdt>
                            <w:sdt>
                              <w:sdtPr>
                                <w:alias w:val="12.1.2.12.2 pp."/>
                                <w:tag w:val="part_c1afa6a7bd1e4fbba0fab061de4ee17a"/>
                                <w:lock w:val="sdtLocked"/>
                                <w:richText/>
                              </w:sdtPr>
                              <w:sdtContent>
                                <w:p>
                                  <w:pPr>
                                    <w:tabs>
                                      <w:tab w:val="num" w:pos="720"/>
                                    </w:tabs>
                                    <w:ind w:firstLine="851"/>
                                    <w:jc w:val="both"/>
                                    <w:textAlignment w:val="baseline"/>
                                    <w:rPr>
                                      <w:szCs w:val="24"/>
                                      <w:lang w:eastAsia="lt-LT"/>
                                    </w:rPr>
                                  </w:pPr>
                                  <w:sdt>
                                    <w:sdtPr>
                                      <w:alias w:val="Numeris"/>
                                      <w:tag w:val="nr_c1afa6a7bd1e4fbba0fab061de4ee17a"/>
                                      <w:lock w:val="sdtLocked"/>
                                      <w:richText/>
                                    </w:sdtPr>
                                    <w:sdtContent>
                                      <w:r>
                                        <w:rPr>
                                          <w:szCs w:val="24"/>
                                          <w:lang w:eastAsia="lt-LT"/>
                                        </w:rPr>
                                        <w:t>12.1.2.12.2</w:t>
                                      </w:r>
                                    </w:sdtContent>
                                  </w:sdt>
                                  <w:r>
                                    <w:rPr>
                                      <w:szCs w:val="24"/>
                                      <w:lang w:eastAsia="lt-LT"/>
                                    </w:rPr>
                                    <w:t>. kvėpavimo takų nudegimo; </w:t>
                                  </w:r>
                                </w:p>
                              </w:sdtContent>
                            </w:sdt>
                            <w:sdt>
                              <w:sdtPr>
                                <w:alias w:val="12.1.2.12.3 pp."/>
                                <w:tag w:val="part_82251d857b994980bfcd465eaacea9d1"/>
                                <w:lock w:val="sdtLocked"/>
                                <w:richText/>
                              </w:sdtPr>
                              <w:sdtContent>
                                <w:p>
                                  <w:pPr>
                                    <w:tabs>
                                      <w:tab w:val="num" w:pos="720"/>
                                    </w:tabs>
                                    <w:ind w:firstLine="851"/>
                                    <w:jc w:val="both"/>
                                    <w:textAlignment w:val="baseline"/>
                                    <w:rPr>
                                      <w:szCs w:val="24"/>
                                      <w:lang w:eastAsia="lt-LT"/>
                                    </w:rPr>
                                  </w:pPr>
                                  <w:sdt>
                                    <w:sdtPr>
                                      <w:alias w:val="Numeris"/>
                                      <w:tag w:val="nr_82251d857b994980bfcd465eaacea9d1"/>
                                      <w:lock w:val="sdtLocked"/>
                                      <w:richText/>
                                    </w:sdtPr>
                                    <w:sdtContent>
                                      <w:r>
                                        <w:rPr>
                                          <w:szCs w:val="24"/>
                                          <w:lang w:eastAsia="lt-LT"/>
                                        </w:rPr>
                                        <w:t>12.1.2.12.3</w:t>
                                      </w:r>
                                    </w:sdtContent>
                                  </w:sdt>
                                  <w:r>
                                    <w:rPr>
                                      <w:szCs w:val="24"/>
                                      <w:lang w:eastAsia="lt-LT"/>
                                    </w:rPr>
                                    <w:t>. apima veidą bei kaklą; </w:t>
                                  </w:r>
                                </w:p>
                              </w:sdtContent>
                            </w:sdt>
                            <w:sdt>
                              <w:sdtPr>
                                <w:alias w:val="12.1.2.12.4 pp."/>
                                <w:tag w:val="part_15c968f38f8c4faeb89a06e88cf6736d"/>
                                <w:lock w:val="sdtLocked"/>
                                <w:richText/>
                              </w:sdtPr>
                              <w:sdtContent>
                                <w:p>
                                  <w:pPr>
                                    <w:tabs>
                                      <w:tab w:val="num" w:pos="720"/>
                                    </w:tabs>
                                    <w:ind w:firstLine="851"/>
                                    <w:jc w:val="both"/>
                                    <w:textAlignment w:val="baseline"/>
                                    <w:rPr>
                                      <w:szCs w:val="24"/>
                                      <w:lang w:eastAsia="lt-LT"/>
                                    </w:rPr>
                                  </w:pPr>
                                  <w:sdt>
                                    <w:sdtPr>
                                      <w:alias w:val="Numeris"/>
                                      <w:tag w:val="nr_15c968f38f8c4faeb89a06e88cf6736d"/>
                                      <w:lock w:val="sdtLocked"/>
                                      <w:richText/>
                                    </w:sdtPr>
                                    <w:sdtContent>
                                      <w:r>
                                        <w:rPr>
                                          <w:szCs w:val="24"/>
                                          <w:lang w:eastAsia="lt-LT"/>
                                        </w:rPr>
                                        <w:t>12.1.2.12.4</w:t>
                                      </w:r>
                                    </w:sdtContent>
                                  </w:sdt>
                                  <w:r>
                                    <w:rPr>
                                      <w:szCs w:val="24"/>
                                      <w:lang w:eastAsia="lt-LT"/>
                                    </w:rPr>
                                    <w:t>. nudegimas apima tarpvietės sritį; </w:t>
                                  </w:r>
                                </w:p>
                              </w:sdtContent>
                            </w:sdt>
                            <w:sdt>
                              <w:sdtPr>
                                <w:alias w:val="12.1.2.12.5 pp."/>
                                <w:tag w:val="part_50e99433f89840d8a4e675ddd046d4c1"/>
                                <w:lock w:val="sdtLocked"/>
                                <w:richText/>
                              </w:sdtPr>
                              <w:sdtContent>
                                <w:p>
                                  <w:pPr>
                                    <w:tabs>
                                      <w:tab w:val="num" w:pos="720"/>
                                    </w:tabs>
                                    <w:ind w:firstLine="851"/>
                                    <w:jc w:val="both"/>
                                    <w:textAlignment w:val="baseline"/>
                                    <w:rPr>
                                      <w:szCs w:val="24"/>
                                      <w:lang w:eastAsia="lt-LT"/>
                                    </w:rPr>
                                  </w:pPr>
                                  <w:sdt>
                                    <w:sdtPr>
                                      <w:alias w:val="Numeris"/>
                                      <w:tag w:val="nr_50e99433f89840d8a4e675ddd046d4c1"/>
                                      <w:lock w:val="sdtLocked"/>
                                      <w:richText/>
                                    </w:sdtPr>
                                    <w:sdtContent>
                                      <w:r>
                                        <w:rPr>
                                          <w:szCs w:val="24"/>
                                          <w:lang w:eastAsia="lt-LT"/>
                                        </w:rPr>
                                        <w:t>12.1.2.12.5</w:t>
                                      </w:r>
                                    </w:sdtContent>
                                  </w:sdt>
                                  <w:r>
                                    <w:rPr>
                                      <w:szCs w:val="24"/>
                                      <w:lang w:eastAsia="lt-LT"/>
                                    </w:rPr>
                                    <w:t>. nudegimas apima sąnarius; </w:t>
                                  </w:r>
                                </w:p>
                              </w:sdtContent>
                            </w:sdt>
                            <w:sdt>
                              <w:sdtPr>
                                <w:alias w:val="12.1.2.12.6 pp."/>
                                <w:tag w:val="part_064ad8cc8ead45c4a235660a88ffdfc8"/>
                                <w:lock w:val="sdtLocked"/>
                                <w:richText/>
                              </w:sdtPr>
                              <w:sdtContent>
                                <w:p>
                                  <w:pPr>
                                    <w:tabs>
                                      <w:tab w:val="num" w:pos="720"/>
                                    </w:tabs>
                                    <w:ind w:firstLine="851"/>
                                    <w:jc w:val="both"/>
                                    <w:textAlignment w:val="baseline"/>
                                    <w:rPr>
                                      <w:color w:val="000000"/>
                                      <w:szCs w:val="24"/>
                                      <w:lang w:eastAsia="lt-LT"/>
                                    </w:rPr>
                                  </w:pPr>
                                  <w:sdt>
                                    <w:sdtPr>
                                      <w:alias w:val="Numeris"/>
                                      <w:tag w:val="nr_064ad8cc8ead45c4a235660a88ffdfc8"/>
                                      <w:lock w:val="sdtLocked"/>
                                      <w:richText/>
                                    </w:sdtPr>
                                    <w:sdtContent>
                                      <w:r>
                                        <w:rPr>
                                          <w:szCs w:val="24"/>
                                          <w:lang w:eastAsia="lt-LT"/>
                                        </w:rPr>
                                        <w:t>12.1.2.12.6</w:t>
                                      </w:r>
                                    </w:sdtContent>
                                  </w:sdt>
                                  <w:r>
                                    <w:rPr>
                                      <w:szCs w:val="24"/>
                                      <w:lang w:eastAsia="lt-LT"/>
                                    </w:rPr>
                                    <w:t>. yra didelės kinetinės energijos. </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12.2 pp."/>
                    <w:tag w:val="part_2d8e3614ff264e738a9b1f21ebed25f1"/>
                    <w:lock w:val="sdtLocked"/>
                    <w:richText/>
                  </w:sdtPr>
                  <w:sdtContent>
                    <w:p>
                      <w:pPr>
                        <w:tabs>
                          <w:tab w:val="left" w:pos="993"/>
                          <w:tab w:val="left" w:pos="1134"/>
                          <w:tab w:val="left" w:pos="127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2d8e3614ff264e738a9b1f21ebed25f1"/>
                          <w:lock w:val="sdtLocked"/>
                          <w:richText/>
                        </w:sdtPr>
                        <w:sdtContent>
                          <w:r>
                            <w:rPr>
                              <w:color w:val="000000"/>
                              <w:szCs w:val="24"/>
                              <w:lang w:eastAsia="lt-LT"/>
                            </w:rPr>
                            <w:t>12.2</w:t>
                          </w:r>
                        </w:sdtContent>
                      </w:sdt>
                      <w:r>
                        <w:rPr>
                          <w:color w:val="000000"/>
                          <w:szCs w:val="24"/>
                          <w:lang w:eastAsia="lt-LT"/>
                        </w:rPr>
                        <w:t>.</w:t>
                        <w:tab/>
                        <w:t>per 7 kalendorines dienas nuo paciento kreipimosi į PAASP įstaigą – paūmėjus lėtinei ligai ir kitais atvejais;</w:t>
                      </w:r>
                    </w:p>
                  </w:sdtContent>
                </w:sdt>
                <w:sdt>
                  <w:sdtPr>
                    <w:alias w:val="12.3 pp."/>
                    <w:tag w:val="part_de6259bb74fe4196bc765d6d3d5d4d45"/>
                    <w:lock w:val="sdtLocked"/>
                    <w:richText/>
                  </w:sdtPr>
                  <w:sdtContent>
                    <w:p>
                      <w:pPr>
                        <w:tabs>
                          <w:tab w:val="num" w:pos="720"/>
                        </w:tabs>
                        <w:ind w:firstLine="851"/>
                        <w:jc w:val="both"/>
                        <w:textAlignment w:val="baseline"/>
                        <w:rPr>
                          <w:color w:val="000000"/>
                          <w:szCs w:val="24"/>
                          <w:lang w:eastAsia="lt-LT"/>
                        </w:rPr>
                      </w:pPr>
                      <w:sdt>
                        <w:sdtPr>
                          <w:alias w:val="Numeris"/>
                          <w:tag w:val="nr_de6259bb74fe4196bc765d6d3d5d4d45"/>
                          <w:lock w:val="sdtLocked"/>
                          <w:richText/>
                        </w:sdtPr>
                        <w:sdtContent>
                          <w:r>
                            <w:rPr>
                              <w:szCs w:val="24"/>
                              <w:lang w:eastAsia="lt-LT"/>
                            </w:rPr>
                            <w:t>12.3</w:t>
                          </w:r>
                        </w:sdtContent>
                      </w:sdt>
                      <w:r>
                        <w:rPr>
                          <w:szCs w:val="24"/>
                          <w:lang w:eastAsia="lt-LT"/>
                        </w:rPr>
                        <w:t>. Teikia skubiąją medicinos pagalbą pagal  Lietuvos Respublikos sveikatos apsaugos ministro 2004 m. balandžio 8 d. įsakymo Nr. V-208 „Dėl Būtinosios medicinos pagalbos teikimo tvarkos ir masto aprašo patvirtinimo“ nuostatas dėl Lietuvos Respublikos sveikatos apsaugos ministro 2005 m. gruodžio 22 d. įsakyme Nr. V-1013 „Dėl Lietuvos medicinos normos MN 14:2019 „Šeimos gydytojas“ patvirtinimo“ nustatytų būklių, priskirtinų šeimos gydytojo kompetencijai.</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Content>
            </w:sdt>
            <w:sdt>
              <w:sdtPr>
                <w:alias w:val="13 p."/>
                <w:tag w:val="part_d7f0089fa650409988bb2a346ea66f4d"/>
                <w:lock w:val="sdtLocked"/>
                <w:richText/>
              </w:sdtPr>
              <w:sdtContent>
                <w:p>
                  <w:pPr>
                    <w:tabs>
                      <w:tab w:val="num" w:pos="720"/>
                    </w:tabs>
                    <w:ind w:firstLine="851"/>
                    <w:jc w:val="both"/>
                    <w:textAlignment w:val="baseline"/>
                    <w:rPr>
                      <w:szCs w:val="24"/>
                      <w:lang w:eastAsia="lt-LT"/>
                    </w:rPr>
                  </w:pPr>
                  <w:sdt>
                    <w:sdtPr>
                      <w:alias w:val="Numeris"/>
                      <w:tag w:val="nr_d7f0089fa650409988bb2a346ea66f4d"/>
                      <w:lock w:val="sdtLocked"/>
                      <w:richText/>
                    </w:sdtPr>
                    <w:sdtContent>
                      <w:r>
                        <w:rPr>
                          <w:szCs w:val="24"/>
                          <w:lang w:eastAsia="lt-LT"/>
                        </w:rPr>
                        <w:t>13</w:t>
                      </w:r>
                    </w:sdtContent>
                  </w:sdt>
                  <w:r>
                    <w:rPr>
                      <w:szCs w:val="24"/>
                      <w:lang w:eastAsia="lt-LT"/>
                    </w:rPr>
                    <w:t>. PAASPĮ turi užtikrinti, kad prie jos prirašytiems gyventojams šeimos gydytojo komandos paslaugos būtų teikiamos ne mažiau kaip po 12 valandų per dieną 5 darbo dienas per savaitę. </w:t>
                  </w:r>
                </w:p>
                <w:p>
                  <w:pPr>
                    <w:tabs>
                      <w:tab w:val="num" w:pos="720"/>
                    </w:tabs>
                    <w:ind w:firstLine="851"/>
                    <w:jc w:val="both"/>
                    <w:textAlignment w:val="baseline"/>
                    <w:rPr>
                      <w:color w:val="000000"/>
                      <w:szCs w:val="24"/>
                      <w:lang w:eastAsia="lt-LT"/>
                    </w:rPr>
                  </w:pPr>
                  <w:r>
                    <w:rPr>
                      <w:szCs w:val="24"/>
                      <w:lang w:eastAsia="lt-LT"/>
                    </w:rPr>
                    <w:t>PAASPĮ, privalančios užtikrinti PAASP paslaugų (išskyrus pirminės ambulatorinės psichikos sveikatos ir odontologijos priežiūros paslaugas) teikimą ne mažiau kaip po 12 valandų per dieną 5 darbo dienas per savaitę, darbas pradedamas tarp 7 iki 8 valandos ryto. PAASPĮ vadovas nustato PAASP paslaugų teikimą PAASPĮ paciento šeimos gydytojo (vaikų ligų ir vidaus ligų gydytojo) nedarbo laiku ne mažiau kaip po 12 valandų per dieną 5 darbo dienas per savaitę.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14 p."/>
                <w:tag w:val="part_f20e133b5b0f4f8490918cc0c01642e9"/>
                <w:lock w:val="sdtLocked"/>
                <w:richText/>
              </w:sdtPr>
              <w:sdtContent>
                <w:p>
                  <w:pPr>
                    <w:tabs>
                      <w:tab w:val="num" w:pos="720"/>
                    </w:tabs>
                    <w:ind w:firstLine="851"/>
                    <w:jc w:val="both"/>
                    <w:textAlignment w:val="baseline"/>
                    <w:rPr>
                      <w:color w:val="000000"/>
                      <w:szCs w:val="24"/>
                      <w:lang w:eastAsia="lt-LT"/>
                    </w:rPr>
                  </w:pPr>
                  <w:sdt>
                    <w:sdtPr>
                      <w:alias w:val="Numeris"/>
                      <w:tag w:val="nr_f20e133b5b0f4f8490918cc0c01642e9"/>
                      <w:lock w:val="sdtLocked"/>
                      <w:richText/>
                    </w:sdtPr>
                    <w:sdtContent>
                      <w:r>
                        <w:rPr>
                          <w:szCs w:val="24"/>
                          <w:lang w:eastAsia="lt-LT"/>
                        </w:rPr>
                        <w:t>14</w:t>
                      </w:r>
                    </w:sdtContent>
                  </w:sdt>
                  <w:r>
                    <w:rPr>
                      <w:szCs w:val="24"/>
                      <w:lang w:eastAsia="lt-LT"/>
                    </w:rPr>
                    <w:t>. Poilsio  ir  švenčių  dienomis skubi ambulatorinė paslauga PAASPĮ pacientui teikiama skubiosios medicinos pagalbos kabinete Specialiųjų reikalavimų asmens sveikatos priežiūros įstaigos skubiosios medicinos pagalbos skyriui ir skubiosios medicinos pagalbos kabinetui aprašo, patvirtinto Lietuvos Respublikos sveikatos apsaugos ministro gruodžio 16 d. įsakymu Nr. V-1073 „Dėl Specialiųjų reikalavimų asmens sveikatos priežiūros įstaigos skubiosios medicinos pagalbos skyriui ir skubiosios medicinos pagalbos kabinetui aprašo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15 p."/>
                <w:tag w:val="part_db4201860e2d4319ad169cd5c9143fa8"/>
                <w:lock w:val="sdtLocked"/>
                <w:richText/>
              </w:sdtPr>
              <w:sdtContent>
                <w:p>
                  <w:pPr>
                    <w:tabs>
                      <w:tab w:val="num" w:pos="720"/>
                    </w:tabs>
                    <w:ind w:firstLine="851"/>
                    <w:jc w:val="both"/>
                    <w:textAlignment w:val="baseline"/>
                    <w:rPr>
                      <w:szCs w:val="24"/>
                    </w:rPr>
                  </w:pPr>
                  <w:sdt>
                    <w:sdtPr>
                      <w:alias w:val="Numeris"/>
                      <w:tag w:val="nr_db4201860e2d4319ad169cd5c9143fa8"/>
                      <w:lock w:val="sdtLocked"/>
                      <w:richText/>
                    </w:sdtPr>
                    <w:sdtContent>
                      <w:r>
                        <w:rPr>
                          <w:szCs w:val="24"/>
                          <w:lang w:eastAsia="lt-LT"/>
                        </w:rPr>
                        <w:t>15</w:t>
                      </w:r>
                    </w:sdtContent>
                  </w:sdt>
                  <w:r>
                    <w:rPr>
                      <w:szCs w:val="24"/>
                      <w:lang w:eastAsia="lt-LT"/>
                    </w:rPr>
                    <w:t>. Už PAASPĮ, kurioje visi šeimos gydytojai bendrai dirba mažesniu nei 3 etatų darbo krūviu (vertinamas bendras šeimos gydytojų etatų darbo krūvis vienu licencijoje nurodytu veiklos vietos adresu), prie jos prisirašiusiems gyventojams teikiamas šeimos gydytojo komandos paslaugas kitoje įstaigoje šios įstaigos viena su kita atsiskaito pagal tarpusavio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16 p."/>
                <w:tag w:val="part_aaceb99ff2e146728c39ee7f71384e83"/>
                <w:lock w:val="sdtLocked"/>
                <w:richText/>
              </w:sdtPr>
              <w:sdtContent>
                <w:p>
                  <w:pPr>
                    <w:tabs>
                      <w:tab w:val="num" w:pos="720"/>
                    </w:tabs>
                    <w:ind w:firstLine="851"/>
                    <w:jc w:val="both"/>
                    <w:textAlignment w:val="baseline"/>
                  </w:pPr>
                  <w:sdt>
                    <w:sdtPr>
                      <w:alias w:val="Numeris"/>
                      <w:tag w:val="nr_aaceb99ff2e146728c39ee7f71384e83"/>
                      <w:lock w:val="sdtLocked"/>
                      <w:richText/>
                    </w:sdtPr>
                    <w:sdtContent>
                      <w:r>
                        <w:rPr>
                          <w:szCs w:val="24"/>
                          <w:lang w:eastAsia="lt-LT"/>
                        </w:rPr>
                        <w:t>16</w:t>
                      </w:r>
                    </w:sdtContent>
                  </w:sdt>
                  <w:r>
                    <w:rPr>
                      <w:szCs w:val="24"/>
                      <w:lang w:eastAsia="lt-LT"/>
                    </w:rPr>
                    <w:t>. PAASPĮ, kurioje visi šeimos gydytojai bendrai dirba mažiau nei 3 etatų darbo krūviu (vertinamas bendras šeimos gydytojų etatų darbo krūvis vienu licencijoje nurodytu veiklos vietos adresu), gali sudaryti sutartį dėl PAASP paslaugų teikimo ne mažiau kaip po 12 valandų per dieną 5 darbo dienas per savaitę užtikrinimo su kita PAASPĮ, esančia toje pačioje arba besiribojančioje savivaldybėje. Tokiu atveju PAASPĮ vadovas nustato PAASP paslaugų teikimo PAASPĮ pacientui tvarką PAASPĮ paciento šeimos gydytojo (arba vaikų ligų ir vidaus ligų gydytojo, gydytojo akušerio ginekologo ir gydytojo chirurgo kartu) nedarbo laiku ne mažiau kaip po 12 valandų per dieną 5 darbo dienas per savaitę.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ec620447e11e8ad2f97b2a095557a">
                    <w:r w:rsidRPr="00532B9F">
                      <w:rPr>
                        <w:rFonts w:ascii="Times New Roman" w:eastAsia="MS Mincho" w:hAnsi="Times New Roman"/>
                        <w:sz w:val="20"/>
                        <w:i/>
                        <w:iCs/>
                        <w:color w:val="0000FF" w:themeColor="hyperlink"/>
                        <w:u w:val="single"/>
                      </w:rPr>
                      <w:t>V-468</w:t>
                    </w:r>
                  </w:fldSimple>
                  <w:r>
                    <w:rPr>
                      <w:rFonts w:ascii="Times New Roman" w:eastAsia="MS Mincho" w:hAnsi="Times New Roman"/>
                      <w:sz w:val="20"/>
                      <w:i/>
                      <w:iCs/>
                    </w:rPr>
                    <w:t>,
2018-04-19,
paskelbta TAR 2018-04-20, i. k. 2018-06353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e79540a9fa11e9964cdd77475976b0">
                    <w:r w:rsidRPr="00532B9F">
                      <w:rPr>
                        <w:rFonts w:ascii="Times New Roman" w:eastAsia="MS Mincho" w:hAnsi="Times New Roman"/>
                        <w:sz w:val="20"/>
                        <w:i/>
                        <w:iCs/>
                        <w:color w:val="0000FF" w:themeColor="hyperlink"/>
                        <w:u w:val="single"/>
                      </w:rPr>
                      <w:t>V-856</w:t>
                    </w:r>
                  </w:fldSimple>
                  <w:r>
                    <w:rPr>
                      <w:rFonts w:ascii="Times New Roman" w:eastAsia="MS Mincho" w:hAnsi="Times New Roman"/>
                      <w:sz w:val="20"/>
                      <w:i/>
                      <w:iCs/>
                    </w:rPr>
                    <w:t>,
2019-07-18,
paskelbta TAR 2019-07-19, i. k. 2019-11922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5def70649711eb9dc7b575f08e8bea">
                    <w:r w:rsidRPr="00532B9F">
                      <w:rPr>
                        <w:rFonts w:ascii="Times New Roman" w:eastAsia="MS Mincho" w:hAnsi="Times New Roman"/>
                        <w:sz w:val="20"/>
                        <w:i/>
                        <w:iCs/>
                        <w:color w:val="0000FF" w:themeColor="hyperlink"/>
                        <w:u w:val="single"/>
                      </w:rPr>
                      <w:t>V-199</w:t>
                    </w:r>
                  </w:fldSimple>
                  <w:r>
                    <w:rPr>
                      <w:rFonts w:ascii="Times New Roman" w:eastAsia="MS Mincho" w:hAnsi="Times New Roman"/>
                      <w:sz w:val="20"/>
                      <w:i/>
                      <w:iCs/>
                    </w:rPr>
                    <w:t>,
2021-02-01,
paskelbta TAR 2021-02-01, i. k. 2021-01886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16-1 p."/>
                <w:tag w:val="part_c18de5e3d23d417eaad4bc8c6abd42d5"/>
                <w:lock w:val="sdtLocked"/>
                <w:richText/>
              </w:sdtPr>
              <w:sdtContent>
                <w:p>
                  <w:pPr>
                    <w:tabs>
                      <w:tab w:val="num" w:pos="720"/>
                    </w:tabs>
                    <w:ind w:firstLine="851"/>
                    <w:jc w:val="both"/>
                    <w:textAlignment w:val="baseline"/>
                    <w:rPr>
                      <w:szCs w:val="24"/>
                    </w:rPr>
                  </w:pPr>
                  <w:sdt>
                    <w:sdtPr>
                      <w:alias w:val="Numeris"/>
                      <w:tag w:val="nr_c18de5e3d23d417eaad4bc8c6abd42d5"/>
                      <w:lock w:val="sdtLocked"/>
                      <w:richText/>
                    </w:sdtPr>
                    <w:sdtContent>
                      <w:r>
                        <w:rPr>
                          <w:szCs w:val="24"/>
                          <w:lang w:eastAsia="lt-LT"/>
                        </w:rPr>
                        <w:t>16</w:t>
                      </w:r>
                      <w:r>
                        <w:rPr>
                          <w:szCs w:val="24"/>
                          <w:vertAlign w:val="superscript"/>
                          <w:lang w:eastAsia="lt-LT"/>
                        </w:rPr>
                        <w:t>1</w:t>
                      </w:r>
                    </w:sdtContent>
                  </w:sdt>
                  <w:r>
                    <w:rPr>
                      <w:szCs w:val="24"/>
                      <w:lang w:eastAsia="lt-LT"/>
                    </w:rPr>
                    <w:t>. PAASPĮ privalo PAASPĮ pacientams aiškiai matomoje vietoje (įstaigos informacinių pranešimų stenduose, įstaigos interneto svetainėse) skelbti ir įstaigos nedarbo metu informuoti telefono autoatsakikliu apie PAASPĮ darbo laiką, nurodyti kitos įstaigos, užtikrinančios PAASP paslaugos teikimą PAASPĮ pacientams šeimos gydytojo nedarbo metu ne mažiau kaip po 12 valandų per parą 5 darbo dienas per savaitę, ir įstaigos, teikiančios skubią ambulatorinę paslaugą, kontaktus. Su šiame punkte nurodyta informacija PAASPĮ pacientai turi būti supažindinti ir elektroninėmis ryšio priemonėmis bent vienu iš šių būdų: SMS žinutėmis, pacientų kontaktiniais elektroninio pašto adresais, ir kt.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17 p."/>
                <w:tag w:val="part_8a0955f956bb4c24881753a8205b8712"/>
                <w:lock w:val="sdtLocked"/>
                <w:richText/>
              </w:sdtPr>
              <w:sdtContent>
                <w:p>
                  <w:pPr>
                    <w:spacing w:line="259" w:lineRule="auto"/>
                    <w:ind w:firstLine="851"/>
                    <w:jc w:val="both"/>
                    <w:rPr>
                      <w:szCs w:val="24"/>
                    </w:rPr>
                  </w:pPr>
                  <w:sdt>
                    <w:sdtPr>
                      <w:alias w:val="Numeris"/>
                      <w:tag w:val="nr_8a0955f956bb4c24881753a8205b8712"/>
                      <w:lock w:val="sdtLocked"/>
                      <w:richText/>
                    </w:sdtPr>
                    <w:sdtContent>
                      <w:r>
                        <w:rPr>
                          <w:szCs w:val="24"/>
                        </w:rPr>
                        <w:t>17</w:t>
                      </w:r>
                    </w:sdtContent>
                  </w:sdt>
                  <w:r>
                    <w:rPr>
                      <w:szCs w:val="24"/>
                    </w:rPr>
                    <w:t>. Už pirminės ambulatorinės psichikos sveikatos priežiūros paslaugų teikimą atsako sutartį su VLK dėl šių paslaugų išlaidų apmokėjimo sudariusi pirminės ambulatorinės psichikos sveikatos priežiūros paslaugas teikianti 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2967635fc11f08fdabd4950271e2c">
                    <w:r w:rsidRPr="00532B9F">
                      <w:rPr>
                        <w:rFonts w:ascii="Times New Roman" w:eastAsia="MS Mincho" w:hAnsi="Times New Roman"/>
                        <w:sz w:val="20"/>
                        <w:i/>
                        <w:iCs/>
                        <w:color w:val="0000FF" w:themeColor="hyperlink"/>
                        <w:u w:val="single"/>
                      </w:rPr>
                      <w:t>V-487</w:t>
                    </w:r>
                  </w:fldSimple>
                  <w:r>
                    <w:rPr>
                      <w:rFonts w:ascii="Times New Roman" w:eastAsia="MS Mincho" w:hAnsi="Times New Roman"/>
                      <w:sz w:val="20"/>
                      <w:i/>
                      <w:iCs/>
                    </w:rPr>
                    <w:t>,
2025-05-21,
paskelbta TAR 2025-05-21, i. k. 2025-08959            </w:t>
                  </w:r>
                </w:p>
                <w:p/>
              </w:sdtContent>
            </w:sdt>
            <w:sdt>
              <w:sdtPr>
                <w:alias w:val="18 p."/>
                <w:tag w:val="part_6238bf68715e4789a447d027b1a2f3b5"/>
                <w:lock w:val="sdtLocked"/>
                <w:richText/>
              </w:sdtPr>
              <w:sdtContent>
                <w:p>
                  <w:pPr>
                    <w:tabs>
                      <w:tab w:val="left" w:pos="993"/>
                      <w:tab w:val="left" w:pos="1134"/>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6238bf68715e4789a447d027b1a2f3b5"/>
                      <w:lock w:val="sdtLocked"/>
                      <w:richText/>
                    </w:sdtPr>
                    <w:sdtContent>
                      <w:r>
                        <w:rPr>
                          <w:color w:val="000000"/>
                          <w:szCs w:val="24"/>
                          <w:lang w:eastAsia="lt-LT"/>
                        </w:rPr>
                        <w:t>18</w:t>
                      </w:r>
                    </w:sdtContent>
                  </w:sdt>
                  <w:r>
                    <w:rPr>
                      <w:color w:val="000000"/>
                      <w:szCs w:val="24"/>
                      <w:lang w:eastAsia="lt-LT"/>
                    </w:rPr>
                    <w:t>.</w:t>
                    <w:tab/>
                    <w:t xml:space="preserve">Pirminės </w:t>
                  </w:r>
                  <w:r>
                    <w:rPr>
                      <w:szCs w:val="24"/>
                      <w:lang w:eastAsia="lt-LT"/>
                    </w:rPr>
                    <w:t xml:space="preserve">ambulatorinės </w:t>
                  </w:r>
                  <w:r>
                    <w:rPr>
                      <w:color w:val="000000"/>
                      <w:szCs w:val="24"/>
                      <w:lang w:eastAsia="lt-LT"/>
                    </w:rPr>
                    <w:t xml:space="preserve">psichikos sveikatos priežiūros paslaugos teikiamos vadovaujantis </w:t>
                  </w:r>
                  <w:r>
                    <w:rPr>
                      <w:rFonts w:eastAsia="Calibri"/>
                      <w:color w:val="000000"/>
                      <w:szCs w:val="24"/>
                      <w:lang w:eastAsia="lt-LT"/>
                    </w:rPr>
                    <w:t xml:space="preserve">Pirminės ambulatorinės psichikos sveikatos priežiūros paslaugų teikimo tvarkos aprašu, patvirtintu </w:t>
                  </w:r>
                  <w:r>
                    <w:rPr>
                      <w:color w:val="000000"/>
                      <w:szCs w:val="24"/>
                      <w:lang w:eastAsia="lt-LT"/>
                    </w:rPr>
                    <w:t xml:space="preserve">Lietuvos Respublikos sveikatos apsaugos ministro 2012 m. rugsėjo 17 d. įsakymu Nr. V-861 „Dėl Pirminės ambulatorinės psichikos sveikatos priežiūros paslaugų teikimo tvarkos aprašo patvirtinimo“. </w:t>
                  </w:r>
                </w:p>
              </w:sdtContent>
            </w:sdt>
            <w:sdt>
              <w:sdtPr>
                <w:alias w:val="19 p."/>
                <w:tag w:val="part_3013f4d551b244498fb555cde2d10f4f"/>
                <w:lock w:val="sdtLocked"/>
                <w:richText/>
              </w:sdtPr>
              <w:sdtContent>
                <w:p>
                  <w:pPr>
                    <w:ind w:firstLine="851"/>
                    <w:jc w:val="both"/>
                    <w:rPr>
                      <w:szCs w:val="24"/>
                    </w:rPr>
                  </w:pPr>
                  <w:sdt>
                    <w:sdtPr>
                      <w:alias w:val="Numeris"/>
                      <w:tag w:val="nr_3013f4d551b244498fb555cde2d10f4f"/>
                      <w:lock w:val="sdtLocked"/>
                      <w:richText/>
                    </w:sdtPr>
                    <w:sdtContent>
                      <w:r>
                        <w:rPr>
                          <w:szCs w:val="24"/>
                        </w:rPr>
                        <w:t>19</w:t>
                      </w:r>
                    </w:sdtContent>
                  </w:sdt>
                  <w:r>
                    <w:rPr>
                      <w:szCs w:val="24"/>
                    </w:rPr>
                    <w:t>. Jei savivaldybės teritorijoje yra tik viena pirminės ambulatorinės psichikos sveikatos priežiūros paslaugas teikianti įstaiga, prie jos prirašytų gyventojų skaičius turi atitikti prirašytų prie PAASP įstaigų, veikiančių savivaldybės teritorijoje, gyventojų skaičių. Jei vienos savivaldybės teritorijoje yra kelios pirminės ambulatorinės psichikos sveikatos priežiūros paslaugas teikiančios įstaigos, bendras prie šių įstaigų prirašytų gyventojų skaičius negali viršyti prirašytų prie savivaldybės teritorijoje veikiančių PAASP įstaigų gyventojų skaičiaus (t. y. už vienam gyventojui suteiktas pirminės ambulatorinės psichikos sveikatos priežiūros paslaugas mokama tik vienai įstaigai). Šio punkto nuostatos netaikomos prirašytų prie Laisvės atėmimo vietų ligoninės dėl pirminės psichikos sveikatos priežiūros paslaugų gyventojų skaičiui (šiuo skaičiumi savivaldybės teritorijoje gali skirtis prirašytų prie pirminės ambulatorinės psichikos sveikatos priežiūros paslaugas teikiančios (-ių) įstaigos (-ų) ir prirašytų prie PAASP įstaigų gyventojų skaičius).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915190bc5c11eab9d9cd0c85e0b745">
                    <w:r w:rsidRPr="00532B9F">
                      <w:rPr>
                        <w:rFonts w:ascii="Times New Roman" w:eastAsia="MS Mincho" w:hAnsi="Times New Roman"/>
                        <w:sz w:val="20"/>
                        <w:i/>
                        <w:iCs/>
                        <w:color w:val="0000FF" w:themeColor="hyperlink"/>
                        <w:u w:val="single"/>
                      </w:rPr>
                      <w:t>V-1586</w:t>
                    </w:r>
                  </w:fldSimple>
                  <w:r>
                    <w:rPr>
                      <w:rFonts w:ascii="Times New Roman" w:eastAsia="MS Mincho" w:hAnsi="Times New Roman"/>
                      <w:sz w:val="20"/>
                      <w:i/>
                      <w:iCs/>
                    </w:rPr>
                    <w:t>,
2020-07-01,
paskelbta TAR 2020-07-02, i. k. 2020-14876            </w:t>
                  </w:r>
                </w:p>
                <w:p/>
              </w:sdtContent>
            </w:sdt>
            <w:sdt>
              <w:sdtPr>
                <w:alias w:val="20 p."/>
                <w:tag w:val="part_b5931a1d6f46439692ae11282b9519f5"/>
                <w:lock w:val="sdtLocked"/>
                <w:richText/>
              </w:sdtPr>
              <w:sdtContent>
                <w:p>
                  <w:pPr>
                    <w:tabs>
                      <w:tab w:val="left" w:pos="1134"/>
                    </w:tabs>
                    <w:spacing w:line="259" w:lineRule="auto"/>
                    <w:ind w:firstLine="851"/>
                    <w:jc w:val="both"/>
                    <w:rPr>
                      <w:szCs w:val="24"/>
                    </w:rPr>
                  </w:pPr>
                  <w:sdt>
                    <w:sdtPr>
                      <w:alias w:val="Numeris"/>
                      <w:tag w:val="nr_b5931a1d6f46439692ae11282b9519f5"/>
                      <w:lock w:val="sdtLocked"/>
                      <w:richText/>
                    </w:sdtPr>
                    <w:sdtContent>
                      <w:r>
                        <w:rPr>
                          <w:szCs w:val="24"/>
                          <w:lang w:eastAsia="lt-LT"/>
                        </w:rPr>
                        <w:t>20</w:t>
                      </w:r>
                    </w:sdtContent>
                  </w:sdt>
                  <w:r>
                    <w:rPr>
                      <w:szCs w:val="24"/>
                      <w:lang w:eastAsia="lt-LT"/>
                    </w:rPr>
                    <w:t>. Už pirminės ambulatorinės odontologinės asmens sveikatos priežiūros paslaugų teikimą atsako sutartį su VLK dėl PAASP paslaugų išlaidų apmokėjimo sudariusi įstaiga. Jei PAASP įstaiga pati neteikia pirminės ambulatorinės odontologinės asmens sveikatos priežiūros paslaugų, dėl jų teikimo ir išlaidų apmokėjimo sudaroma trišalė sutartis tarp šias paslaugas teikiančios įstaigos, PAASP įstaigos ir VLK. Pagal šią sutartį už pirminės ambulatorinės odontologinės asmens sveikatos priežiūros paslaugas mokama jas suteikusiai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2967635fc11f08fdabd4950271e2c">
                    <w:r w:rsidRPr="00532B9F">
                      <w:rPr>
                        <w:rFonts w:ascii="Times New Roman" w:eastAsia="MS Mincho" w:hAnsi="Times New Roman"/>
                        <w:sz w:val="20"/>
                        <w:i/>
                        <w:iCs/>
                        <w:color w:val="0000FF" w:themeColor="hyperlink"/>
                        <w:u w:val="single"/>
                      </w:rPr>
                      <w:t>V-487</w:t>
                    </w:r>
                  </w:fldSimple>
                  <w:r>
                    <w:rPr>
                      <w:rFonts w:ascii="Times New Roman" w:eastAsia="MS Mincho" w:hAnsi="Times New Roman"/>
                      <w:sz w:val="20"/>
                      <w:i/>
                      <w:iCs/>
                    </w:rPr>
                    <w:t>,
2025-05-21,
paskelbta TAR 2025-05-21, i. k. 2025-08959            </w:t>
                  </w:r>
                </w:p>
                <w:p/>
              </w:sdtContent>
            </w:sdt>
            <w:sdt>
              <w:sdtPr>
                <w:alias w:val="21 p."/>
                <w:tag w:val="part_0132c2c8e48c495ca5109269774f78dc"/>
                <w:lock w:val="sdtLocked"/>
                <w:richText/>
              </w:sdtPr>
              <w:sdtContent>
                <w:p>
                  <w:pPr>
                    <w:tabs>
                      <w:tab w:val="left" w:pos="993"/>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0132c2c8e48c495ca5109269774f78dc"/>
                      <w:lock w:val="sdtLocked"/>
                      <w:richText/>
                    </w:sdtPr>
                    <w:sdtContent>
                      <w:r>
                        <w:rPr>
                          <w:color w:val="000000"/>
                          <w:szCs w:val="24"/>
                        </w:rPr>
                        <w:t>21</w:t>
                      </w:r>
                    </w:sdtContent>
                  </w:sdt>
                  <w:r>
                    <w:rPr>
                      <w:color w:val="000000"/>
                      <w:szCs w:val="24"/>
                    </w:rPr>
                    <w:t>.</w:t>
                    <w:tab/>
                  </w:r>
                  <w:r>
                    <w:rPr>
                      <w:szCs w:val="24"/>
                    </w:rPr>
                    <w:t xml:space="preserve">Pirminės </w:t>
                  </w:r>
                  <w:r>
                    <w:rPr>
                      <w:szCs w:val="24"/>
                      <w:lang w:eastAsia="lt-LT"/>
                    </w:rPr>
                    <w:t xml:space="preserve">ambulatorinės </w:t>
                  </w:r>
                  <w:r>
                    <w:rPr>
                      <w:szCs w:val="24"/>
                    </w:rPr>
                    <w:t>odontologinės asmens sveikatos priežiūros paslaugos teikiamos vadovaujantis Lietuvos Respublikos sveikatos apsaugos ministro 2008 m. gegužės 23 d. įsakymu Nr. V-483 „Dėl Pirminės odontologinės priežiūros (pagalbos) paslaugų, kompensuojamų iš Privalomojo sveikatos draudimo fondo biudžeto lėšų, masto (sudėties) patvirtinimo“.</w:t>
                  </w:r>
                </w:p>
              </w:sdtContent>
            </w:sdt>
            <w:sdt>
              <w:sdtPr>
                <w:alias w:val="22 p."/>
                <w:tag w:val="part_4bd4454e2c694c028af927ef0a535976"/>
                <w:lock w:val="sdtLocked"/>
                <w:richText/>
              </w:sdtPr>
              <w:sdtContent>
                <w:p>
                  <w:pPr>
                    <w:tabs>
                      <w:tab w:val="left" w:pos="993"/>
                      <w:tab w:val="left" w:pos="1134"/>
                      <w:tab w:val="left" w:pos="127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rPr>
                  </w:pPr>
                  <w:sdt>
                    <w:sdtPr>
                      <w:alias w:val="Numeris"/>
                      <w:tag w:val="nr_4bd4454e2c694c028af927ef0a535976"/>
                      <w:lock w:val="sdtLocked"/>
                      <w:richText/>
                    </w:sdtPr>
                    <w:sdtContent>
                      <w:r>
                        <w:rPr>
                          <w:color w:val="000000"/>
                          <w:szCs w:val="24"/>
                        </w:rPr>
                        <w:t>22</w:t>
                      </w:r>
                    </w:sdtContent>
                  </w:sdt>
                  <w:r>
                    <w:rPr>
                      <w:color w:val="000000"/>
                      <w:szCs w:val="24"/>
                    </w:rPr>
                    <w:t>.</w:t>
                    <w:tab/>
                  </w:r>
                  <w:r>
                    <w:rPr>
                      <w:szCs w:val="24"/>
                    </w:rPr>
                    <w:t xml:space="preserve">PAASP paslaugų, už kurias mokamas skatinamasis priedas, teikimą prirašytiesiems gyventojams organizuoja PAASP įstaigos. Jeigu įstaiga pati negali atlikti reikiamų tyrimų, priskiriamų PAASP paslaugoms, už kurias mokamas skatinamasis priedas, ji sudaro sutartį dėl šių tyrimų atlikimo su </w:t>
                  </w:r>
                  <w:r>
                    <w:rPr>
                      <w:color w:val="000000"/>
                      <w:szCs w:val="24"/>
                    </w:rPr>
                    <w:t xml:space="preserve">kita asmens sveikatos priežiūros įstaiga. </w:t>
                  </w:r>
                </w:p>
              </w:sdtContent>
            </w:sdt>
            <w:sdt>
              <w:sdtPr>
                <w:alias w:val="23 p."/>
                <w:tag w:val="part_d0a6fe3be1c8432780ff5631fe786809"/>
                <w:lock w:val="sdtLocked"/>
                <w:richText/>
              </w:sdtPr>
              <w:sdtContent>
                <w:p>
                  <w:pPr>
                    <w:tabs>
                      <w:tab w:val="left" w:pos="993"/>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d0a6fe3be1c8432780ff5631fe786809"/>
                      <w:lock w:val="sdtLocked"/>
                      <w:richText/>
                    </w:sdtPr>
                    <w:sdtContent>
                      <w:r>
                        <w:rPr>
                          <w:color w:val="000000"/>
                          <w:szCs w:val="24"/>
                        </w:rPr>
                        <w:t>23</w:t>
                      </w:r>
                    </w:sdtContent>
                  </w:sdt>
                  <w:r>
                    <w:rPr>
                      <w:color w:val="000000"/>
                      <w:szCs w:val="24"/>
                    </w:rPr>
                    <w:t>.</w:t>
                    <w:tab/>
                  </w:r>
                  <w:r>
                    <w:rPr>
                      <w:color w:val="000000"/>
                      <w:szCs w:val="24"/>
                      <w:lang w:eastAsia="lt-LT"/>
                    </w:rPr>
                    <w:t>Šeimos gydytojo komanda,</w:t>
                  </w:r>
                  <w:r>
                    <w:rPr>
                      <w:color w:val="000000"/>
                      <w:szCs w:val="24"/>
                    </w:rPr>
                    <w:t xml:space="preserve"> be Aprašo 3.6 papunktyje nurodytų asmens sveikatos priežiūros paslaugų, pagal kompetenciją </w:t>
                  </w:r>
                  <w:r>
                    <w:rPr>
                      <w:szCs w:val="24"/>
                    </w:rPr>
                    <w:t>teikia ir prevencinėse programose numatytas paslaugas.</w:t>
                  </w:r>
                </w:p>
              </w:sdtContent>
            </w:sdt>
            <w:sdt>
              <w:sdtPr>
                <w:alias w:val="24 p."/>
                <w:tag w:val="part_1e0f2b3aade1430cb172cdcab1fc760e"/>
                <w:lock w:val="sdtLocked"/>
                <w:richText/>
              </w:sdtPr>
              <w:sdtContent>
                <w:p>
                  <w:pPr>
                    <w:tabs>
                      <w:tab w:val="left" w:pos="426"/>
                      <w:tab w:val="left" w:pos="1134"/>
                      <w:tab w:val="left" w:pos="1418"/>
                      <w:tab w:val="left" w:pos="1560"/>
                    </w:tabs>
                    <w:ind w:firstLine="851"/>
                    <w:jc w:val="both"/>
                  </w:pPr>
                  <w:sdt>
                    <w:sdtPr>
                      <w:alias w:val="Numeris"/>
                      <w:tag w:val="nr_1e0f2b3aade1430cb172cdcab1fc760e"/>
                      <w:lock w:val="sdtLocked"/>
                      <w:richText/>
                    </w:sdtPr>
                    <w:sdtContent>
                      <w:r>
                        <w:rPr>
                          <w:szCs w:val="24"/>
                        </w:rPr>
                        <w:t>24</w:t>
                      </w:r>
                    </w:sdtContent>
                  </w:sdt>
                  <w:r>
                    <w:rPr>
                      <w:szCs w:val="24"/>
                    </w:rPr>
                    <w:t xml:space="preserve">. Pacientams ir jų artimiesiems PAASP įstaigoje turi būti sudaryta galimybė kreiptis į šeimos gydytoją ir bet kurį kitą </w:t>
                  </w:r>
                  <w:r>
                    <w:rPr>
                      <w:color w:val="000000"/>
                      <w:szCs w:val="24"/>
                      <w:lang w:eastAsia="lt-LT"/>
                    </w:rPr>
                    <w:t xml:space="preserve">šeimos gydytojo komandos </w:t>
                  </w:r>
                  <w:r>
                    <w:rPr>
                      <w:szCs w:val="24"/>
                    </w:rPr>
                    <w:t xml:space="preserve">narį ir gauti nuotolinę konsultaciją </w:t>
                  </w:r>
                  <w:r>
                    <w:rPr>
                      <w:color w:val="000000"/>
                    </w:rPr>
                    <w:t xml:space="preserve">Nuotolinių gydytojo ir šeimos gydytojo komandos nario konsultacijų pacientui ir gydytojo konsultacijų gydytojui teikimo ir jų išlaidų apmokėjimo Privalomojo sveikatos draudimo fondo biudžeto lėšomis tvarkos aprašo, patvirtinto </w:t>
                  </w:r>
                  <w:r>
                    <w:rPr>
                      <w:szCs w:val="24"/>
                    </w:rPr>
                    <w:t>Lietuvos Respublikos sveikatos apsaugos ministro 2020 m. lapkričio 10 d. įsakymu Nr. V-2569 „Dėl N</w:t>
                  </w:r>
                  <w:r>
                    <w:rPr>
                      <w:color w:val="000000"/>
                    </w:rPr>
                    <w:t>uotolinių gydytojo ir šeimos gydytojo komandos nario konsultacijų pacientui ir gydytojo konsultacijų gydytojui teikimo ir jų išlaidų apmokėjimo Privalomojo sveikatos draudimo fondo biudžeto lėšomis tvarkos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6a66b08c1a11e8adc2b65cf0f647e0">
                    <w:r w:rsidRPr="00532B9F">
                      <w:rPr>
                        <w:rFonts w:ascii="Times New Roman" w:eastAsia="MS Mincho" w:hAnsi="Times New Roman"/>
                        <w:sz w:val="20"/>
                        <w:i/>
                        <w:iCs/>
                        <w:color w:val="0000FF" w:themeColor="hyperlink"/>
                        <w:u w:val="single"/>
                      </w:rPr>
                      <w:t>V-826</w:t>
                    </w:r>
                  </w:fldSimple>
                  <w:r>
                    <w:rPr>
                      <w:rFonts w:ascii="Times New Roman" w:eastAsia="MS Mincho" w:hAnsi="Times New Roman"/>
                      <w:sz w:val="20"/>
                      <w:i/>
                      <w:iCs/>
                    </w:rPr>
                    <w:t>,
2018-07-19,
paskelbta TAR 2018-07-23, i. k. 2018-12257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sdtContent>
            </w:sdt>
            <w:sdt>
              <w:sdtPr>
                <w:alias w:val="24-1 p."/>
                <w:tag w:val="part_1beb5202eb2142ac835774bddad3ce96"/>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6a66b08c1a11e8adc2b65cf0f647e0">
                    <w:r w:rsidRPr="00532B9F">
                      <w:rPr>
                        <w:rFonts w:ascii="Times New Roman" w:eastAsia="MS Mincho" w:hAnsi="Times New Roman"/>
                        <w:sz w:val="20"/>
                        <w:i/>
                        <w:iCs/>
                        <w:color w:val="0000FF" w:themeColor="hyperlink"/>
                        <w:u w:val="single"/>
                      </w:rPr>
                      <w:t>V-826</w:t>
                    </w:r>
                  </w:fldSimple>
                  <w:r>
                    <w:rPr>
                      <w:rFonts w:ascii="Times New Roman" w:eastAsia="MS Mincho" w:hAnsi="Times New Roman"/>
                      <w:sz w:val="20"/>
                      <w:i/>
                      <w:iCs/>
                    </w:rPr>
                    <w:t>,
2018-07-19,
paskelbta TAR 2018-07-23, i. k. 2018-12257        </w:t>
                  </w:r>
                </w:p>
                <w:p/>
              </w:sdtContent>
            </w:sdt>
            <w:sdt>
              <w:sdtPr>
                <w:alias w:val="24-2 p."/>
                <w:tag w:val="part_aede7c2c33f844f7bcc865935cb686da"/>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sdtContent>
            </w:sdt>
            <w:sdt>
              <w:sdtPr>
                <w:alias w:val="24-3 p."/>
                <w:tag w:val="part_931e0789efa14b99acf6467aa2a1598b"/>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sdtContent>
            </w:sdt>
            <w:sdt>
              <w:sdtPr>
                <w:alias w:val="24-4 p."/>
                <w:tag w:val="part_d47fe93c063e4916a125495f47747f8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vertAlign w:val="superscript"/>
                      <w:sz w:val="22"/>
                    </w:rPr>
                    <w:t>4</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sdtContent>
            </w:sdt>
            <w:sdt>
              <w:sdtPr>
                <w:alias w:val="24-5 p."/>
                <w:tag w:val="part_9b87ccf04acd47e5b9df89d173074aa0"/>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vertAlign w:val="superscript"/>
                      <w:sz w:val="22"/>
                    </w:rPr>
                    <w:t>5</w:t>
                  </w:r>
                  <w:r>
                    <w:rPr>
                      <w:rFonts w:ascii="Times New Roman" w:hAnsi="Times New Roman"/>
                      <w:sz w:val="22"/>
                    </w:rPr>
                    <w:t>.</w:t>
                  </w:r>
                  <w:r>
                    <w:rPr>
                      <w:rFonts w:ascii="Times New Roman" w:eastAsia="MS Mincho" w:hAnsi="Times New Roman"/>
                      <w:sz w:val="20"/>
                      <w:i/>
                      <w:iCs/>
                    </w:rPr>
                    <w:t xml:space="preserve"> Neteko galios nuo 2021-01-01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831ff044ef11eb8d9fe110e148c770">
                    <w:r w:rsidRPr="00532B9F">
                      <w:rPr>
                        <w:rFonts w:ascii="Times New Roman" w:eastAsia="MS Mincho" w:hAnsi="Times New Roman"/>
                        <w:sz w:val="20"/>
                        <w:i/>
                        <w:iCs/>
                        <w:color w:val="0000FF" w:themeColor="hyperlink"/>
                        <w:u w:val="single"/>
                      </w:rPr>
                      <w:t>V-2980</w:t>
                    </w:r>
                  </w:fldSimple>
                  <w:r>
                    <w:rPr>
                      <w:rFonts w:ascii="Times New Roman" w:eastAsia="MS Mincho" w:hAnsi="Times New Roman"/>
                      <w:sz w:val="20"/>
                      <w:i/>
                      <w:iCs/>
                    </w:rPr>
                    <w:t>,
2020-12-21,
paskelbta TAR 2020-12-23, i. k. 2020-28293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6a66b08c1a11e8adc2b65cf0f647e0">
                    <w:r w:rsidRPr="00532B9F">
                      <w:rPr>
                        <w:rFonts w:ascii="Times New Roman" w:eastAsia="MS Mincho" w:hAnsi="Times New Roman"/>
                        <w:sz w:val="20"/>
                        <w:i/>
                        <w:iCs/>
                        <w:color w:val="0000FF" w:themeColor="hyperlink"/>
                        <w:u w:val="single"/>
                      </w:rPr>
                      <w:t>V-826</w:t>
                    </w:r>
                  </w:fldSimple>
                  <w:r>
                    <w:rPr>
                      <w:rFonts w:ascii="Times New Roman" w:eastAsia="MS Mincho" w:hAnsi="Times New Roman"/>
                      <w:sz w:val="20"/>
                      <w:i/>
                      <w:iCs/>
                    </w:rPr>
                    <w:t>,
2018-07-19,
paskelbta TAR 2018-07-23, i. k. 2018-12257        </w:t>
                  </w:r>
                </w:p>
                <w:p/>
              </w:sdtContent>
            </w:sdt>
            <w:sdt>
              <w:sdtPr>
                <w:alias w:val="25 p."/>
                <w:tag w:val="part_1f8edb5bcabe4b9dbf737657b94c8814"/>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2020-02-29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d151059fc11ea931dbf3357b5b1c0">
                    <w:r w:rsidRPr="00532B9F">
                      <w:rPr>
                        <w:rFonts w:ascii="Times New Roman" w:eastAsia="MS Mincho" w:hAnsi="Times New Roman"/>
                        <w:sz w:val="20"/>
                        <w:i/>
                        <w:iCs/>
                        <w:color w:val="0000FF" w:themeColor="hyperlink"/>
                        <w:u w:val="single"/>
                      </w:rPr>
                      <w:t>V-236</w:t>
                    </w:r>
                  </w:fldSimple>
                  <w:r>
                    <w:rPr>
                      <w:rFonts w:ascii="Times New Roman" w:eastAsia="MS Mincho" w:hAnsi="Times New Roman"/>
                      <w:sz w:val="20"/>
                      <w:i/>
                      <w:iCs/>
                    </w:rPr>
                    <w:t>,
2020-02-27,
paskelbta TAR 2020-02-28, i. k. 2020-04385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6a66b08c1a11e8adc2b65cf0f647e0">
                    <w:r w:rsidRPr="00532B9F">
                      <w:rPr>
                        <w:rFonts w:ascii="Times New Roman" w:eastAsia="MS Mincho" w:hAnsi="Times New Roman"/>
                        <w:sz w:val="20"/>
                        <w:i/>
                        <w:iCs/>
                        <w:color w:val="0000FF" w:themeColor="hyperlink"/>
                        <w:u w:val="single"/>
                      </w:rPr>
                      <w:t>V-826</w:t>
                    </w:r>
                  </w:fldSimple>
                  <w:r>
                    <w:rPr>
                      <w:rFonts w:ascii="Times New Roman" w:eastAsia="MS Mincho" w:hAnsi="Times New Roman"/>
                      <w:sz w:val="20"/>
                      <w:i/>
                      <w:iCs/>
                    </w:rPr>
                    <w:t>,
2018-07-19,
paskelbta TAR 2018-07-23, i. k. 2018-12257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a370a93711e9964cdd77475976b0">
                    <w:r w:rsidRPr="00532B9F">
                      <w:rPr>
                        <w:rFonts w:ascii="Times New Roman" w:eastAsia="MS Mincho" w:hAnsi="Times New Roman"/>
                        <w:sz w:val="20"/>
                        <w:i/>
                        <w:iCs/>
                        <w:color w:val="0000FF" w:themeColor="hyperlink"/>
                        <w:u w:val="single"/>
                      </w:rPr>
                      <w:t>V-838</w:t>
                    </w:r>
                  </w:fldSimple>
                  <w:r>
                    <w:rPr>
                      <w:rFonts w:ascii="Times New Roman" w:eastAsia="MS Mincho" w:hAnsi="Times New Roman"/>
                      <w:sz w:val="20"/>
                      <w:i/>
                      <w:iCs/>
                    </w:rPr>
                    <w:t>,
2019-07-17,
paskelbta TAR 2019-07-18, i. k. 2019-11829            </w:t>
                  </w:r>
                </w:p>
                <w:p/>
              </w:sdtContent>
            </w:sdt>
            <w:sdt>
              <w:sdtPr>
                <w:alias w:val="25-1 p."/>
                <w:tag w:val="part_0671d3353d6345c8a0c6e0c8b79ba21d"/>
                <w:lock w:val="sdtLocked"/>
                <w:richText/>
              </w:sdtPr>
              <w:sdtContent>
                <w:p>
                  <w:pPr>
                    <w:tabs>
                      <w:tab w:val="left" w:pos="567"/>
                      <w:tab w:val="left" w:pos="851"/>
                    </w:tabs>
                    <w:suppressAutoHyphens/>
                    <w:ind w:firstLine="851"/>
                    <w:jc w:val="both"/>
                    <w:rPr>
                      <w:color w:val="000000"/>
                      <w:szCs w:val="24"/>
                    </w:rPr>
                  </w:pPr>
                  <w:sdt>
                    <w:sdtPr>
                      <w:alias w:val="Numeris"/>
                      <w:tag w:val="nr_0671d3353d6345c8a0c6e0c8b79ba21d"/>
                      <w:lock w:val="sdtLocked"/>
                      <w:richText/>
                    </w:sdtPr>
                    <w:sdtContent>
                      <w:r>
                        <w:rPr>
                          <w:color w:val="000000"/>
                          <w:szCs w:val="24"/>
                        </w:rPr>
                        <w:t>25</w:t>
                      </w:r>
                      <w:r>
                        <w:rPr>
                          <w:color w:val="000000"/>
                          <w:szCs w:val="24"/>
                          <w:vertAlign w:val="superscript"/>
                          <w:lang w:val="en-US"/>
                        </w:rPr>
                        <w:t>1</w:t>
                      </w:r>
                    </w:sdtContent>
                  </w:sdt>
                  <w:r>
                    <w:rPr>
                      <w:color w:val="000000"/>
                      <w:szCs w:val="24"/>
                    </w:rPr>
                    <w:t>. Jeigu pacientui įtariama ar diagnozuota užkrečiamoji liga, šeimos gydytojas ar jo komandos narys parenka paciento interesus labiausiai atitinkantį asmens sveikatos priežiūros paslaugos teikimo būdą. Kontaktinės šeimos gydytojo komandos asmens sveikatos priežiūros paslaugos teikiamos, užtikrinant infekcijų kontrolės reikalavimų laikymąsi.</w:t>
                  </w:r>
                </w:p>
                <w:p>
                  <w:pPr>
                    <w:tabs>
                      <w:tab w:val="left" w:pos="567"/>
                      <w:tab w:val="left" w:pos="851"/>
                    </w:tabs>
                    <w:suppressAutoHyphens/>
                    <w:ind w:firstLine="851"/>
                    <w:jc w:val="both"/>
                  </w:pPr>
                  <w:r>
                    <w:rPr>
                      <w:color w:val="000000"/>
                      <w:szCs w:val="24"/>
                    </w:rPr>
                    <w:t>Jeigu šeimos gydytojo ar jo komandos nario kontaktinė asmens sveikatos priežiūros paslauga pacientui, kuriam įtariama ar diagnozuota užkrečiamoji liga,  negali būti suteikta dėl PAASP įstaigos darbo organizavimo ypatumų, kurie neleidžia užtikrinti infekcijų kontrolės reikalavimų laikymosi, kontaktinės šeimos gydytojo komandos asmens sveikatos priežiūros paslaugos teikimas užtikrinamas pagal sutartį su kontaktines šeimos gydytojo komandos paslaugas galinčia suteikti ASPĮ, atsiskaitant su ja pagal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946970c7ae11ec8d9390588bf2de65">
                    <w:r w:rsidRPr="00532B9F">
                      <w:rPr>
                        <w:rFonts w:ascii="Times New Roman" w:eastAsia="MS Mincho" w:hAnsi="Times New Roman"/>
                        <w:sz w:val="20"/>
                        <w:i/>
                        <w:iCs/>
                        <w:color w:val="0000FF" w:themeColor="hyperlink"/>
                        <w:u w:val="single"/>
                      </w:rPr>
                      <w:t>V-865</w:t>
                    </w:r>
                  </w:fldSimple>
                  <w:r>
                    <w:rPr>
                      <w:rFonts w:ascii="Times New Roman" w:eastAsia="MS Mincho" w:hAnsi="Times New Roman"/>
                      <w:sz w:val="20"/>
                      <w:i/>
                      <w:iCs/>
                    </w:rPr>
                    <w:t>,
2022-04-29,
paskelbta TAR 2022-04-29, i. k. 2022-08985        </w:t>
                  </w:r>
                </w:p>
                <w:p/>
              </w:sdtContent>
            </w:sdt>
            <w:sdt>
              <w:sdtPr>
                <w:alias w:val="25-2 p."/>
                <w:tag w:val="part_7119eb482aa747118b454fc61406a3d4"/>
                <w:lock w:val="sdtLocked"/>
                <w:richText/>
              </w:sdtPr>
              <w:sdtContent>
                <w:p>
                  <w:pPr>
                    <w:tabs>
                      <w:tab w:val="left" w:pos="1134"/>
                      <w:tab w:val="left" w:pos="1276"/>
                    </w:tabs>
                    <w:ind w:firstLine="851"/>
                    <w:jc w:val="both"/>
                  </w:pPr>
                  <w:sdt>
                    <w:sdtPr>
                      <w:alias w:val="Numeris"/>
                      <w:tag w:val="nr_7119eb482aa747118b454fc61406a3d4"/>
                      <w:lock w:val="sdtLocked"/>
                      <w:richText/>
                    </w:sdtPr>
                    <w:sdtContent>
                      <w:r>
                        <w:rPr>
                          <w:rFonts w:eastAsia="Calibri"/>
                          <w:color w:val="000000"/>
                          <w:szCs w:val="24"/>
                        </w:rPr>
                        <w:t>25</w:t>
                      </w:r>
                      <w:r>
                        <w:rPr>
                          <w:rFonts w:eastAsia="Calibri"/>
                          <w:color w:val="000000"/>
                          <w:szCs w:val="24"/>
                          <w:vertAlign w:val="superscript"/>
                        </w:rPr>
                        <w:t>2</w:t>
                      </w:r>
                    </w:sdtContent>
                  </w:sdt>
                  <w:r>
                    <w:rPr>
                      <w:rFonts w:eastAsia="Calibri"/>
                      <w:color w:val="000000"/>
                      <w:szCs w:val="24"/>
                    </w:rPr>
                    <w:t>. Šeimos gydytojas (arba vidaus ligų gydytojas, vaikų ligų gydytojas, akušeris ginekologas ir chirurgas, teikiantys PAASP paslaugas) ar šeimos gydytojo komandos narys, ar PAASP paslaugas teikiančios įstaigos vadovo paskirtas specialistas, pildydamas formą Nr. 025/a-LK „Asmens ambulatorinio gydymo statistinė kortelė“, patvirtintą Lietuvos Respublikos sveikatos apsaugos ministro 1998 m. lapkričio 26 d. įsakymu Nr. 687 „Dėl medicininės apskaitos dokumentų formų tvirtinimo“ (toliau – įsakymas Nr. 687), privalo pateikti duomenis apie apsilankymo metu pacientui skirtus tyrimus Formos Nr. 025/a-LK „Asmens ambulatorinio gydymo statistinė kortelė“ pildymo, pateikimo ir tikslinimo taisyklėse, patvirtintose įsakymu Nr. 687,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13073009b411ee9978886e85107ab2">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2023-06-13,
paskelbta TAR 2023-06-13, i. k. 2023-11717        </w:t>
                  </w:r>
                </w:p>
                <w:p/>
              </w:sdtContent>
            </w:sdt>
          </w:sdtContent>
        </w:sdt>
        <w:sdt>
          <w:sdtPr>
            <w:alias w:val="skyrius"/>
            <w:tag w:val="part_3c804ca931184b54ab2e7a9ca0f7b745"/>
            <w:lock w:val="sdtLocked"/>
            <w:richText/>
          </w:sdtPr>
          <w:sdtContent>
            <w:p>
              <w:pPr>
                <w:spacing w:line="259" w:lineRule="auto"/>
                <w:jc w:val="center"/>
                <w:rPr>
                  <w:b/>
                  <w:szCs w:val="24"/>
                </w:rPr>
              </w:pPr>
              <w:sdt>
                <w:sdtPr>
                  <w:alias w:val="Numeris"/>
                  <w:tag w:val="nr_3c804ca931184b54ab2e7a9ca0f7b745"/>
                  <w:lock w:val="sdtLocked"/>
                  <w:richText/>
                </w:sdtPr>
                <w:sdtContent>
                  <w:r>
                    <w:rPr>
                      <w:b/>
                      <w:szCs w:val="24"/>
                    </w:rPr>
                    <w:t>III</w:t>
                  </w:r>
                </w:sdtContent>
              </w:sdt>
              <w:r>
                <w:rPr>
                  <w:b/>
                  <w:szCs w:val="24"/>
                </w:rPr>
                <w:t xml:space="preserve"> SKYRIUS</w:t>
              </w:r>
            </w:p>
            <w:p>
              <w:pPr>
                <w:tabs>
                  <w:tab w:val="left" w:pos="916"/>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3c804ca931184b54ab2e7a9ca0f7b745"/>
                  <w:lock w:val="sdtLocked"/>
                  <w:richText/>
                </w:sdtPr>
                <w:sdtContent>
                  <w:r>
                    <w:rPr>
                      <w:b/>
                      <w:szCs w:val="24"/>
                    </w:rPr>
                    <w:t xml:space="preserve">PAASP PASLAUGŲ IŠLAIDŲ APMOKĖJIMO PSDF BIUDŽETO LĖŠOMIS TVARKA </w:t>
                  </w:r>
                </w:sdtContent>
              </w:sdt>
            </w:p>
            <w:p>
              <w:pPr>
                <w:tabs>
                  <w:tab w:val="left" w:pos="916"/>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
              <w:sdtPr>
                <w:alias w:val="26 p."/>
                <w:tag w:val="part_b425c02bc06d4b59917cfbccb804e90f"/>
                <w:lock w:val="sdtLocked"/>
                <w:richText/>
              </w:sdtPr>
              <w:sdtContent>
                <w:p>
                  <w:pPr>
                    <w:tabs>
                      <w:tab w:val="left" w:pos="993"/>
                      <w:tab w:val="left" w:pos="1134"/>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rPr>
                  </w:pPr>
                  <w:sdt>
                    <w:sdtPr>
                      <w:alias w:val="Numeris"/>
                      <w:tag w:val="nr_b425c02bc06d4b59917cfbccb804e90f"/>
                      <w:lock w:val="sdtLocked"/>
                      <w:richText/>
                    </w:sdtPr>
                    <w:sdtContent>
                      <w:r>
                        <w:rPr>
                          <w:color w:val="000000"/>
                          <w:szCs w:val="24"/>
                        </w:rPr>
                        <w:t>26</w:t>
                      </w:r>
                    </w:sdtContent>
                  </w:sdt>
                  <w:r>
                    <w:rPr>
                      <w:color w:val="000000"/>
                      <w:szCs w:val="24"/>
                    </w:rPr>
                    <w:t>.</w:t>
                    <w:tab/>
                    <w:t>PAASP paslaugų išlaidų apmokėjimo PSDF biudžeto lėšomis būdai:</w:t>
                  </w:r>
                </w:p>
                <w:sdt>
                  <w:sdtPr>
                    <w:alias w:val="26.1 pp."/>
                    <w:tag w:val="part_d33c5b02a5d44c9097741743b6a50d49"/>
                    <w:lock w:val="sdtLocked"/>
                    <w:richText/>
                  </w:sdtPr>
                  <w:sdtContent>
                    <w:p>
                      <w:pPr>
                        <w:tabs>
                          <w:tab w:val="left" w:pos="142"/>
                          <w:tab w:val="left" w:pos="1276"/>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86"/>
                        <w:jc w:val="both"/>
                        <w:rPr>
                          <w:color w:val="000000"/>
                          <w:szCs w:val="24"/>
                        </w:rPr>
                      </w:pPr>
                      <w:sdt>
                        <w:sdtPr>
                          <w:alias w:val="Numeris"/>
                          <w:tag w:val="nr_d33c5b02a5d44c9097741743b6a50d49"/>
                          <w:lock w:val="sdtLocked"/>
                          <w:richText/>
                        </w:sdtPr>
                        <w:sdtContent>
                          <w:r>
                            <w:rPr>
                              <w:color w:val="000000"/>
                              <w:szCs w:val="24"/>
                              <w:lang w:eastAsia="lt-LT"/>
                            </w:rPr>
                            <w:t>26.1</w:t>
                          </w:r>
                        </w:sdtContent>
                      </w:sdt>
                      <w:r>
                        <w:rPr>
                          <w:color w:val="000000"/>
                          <w:szCs w:val="24"/>
                          <w:lang w:eastAsia="lt-LT"/>
                        </w:rPr>
                        <w:t>. bazinis metinis mokėjimas už prirašytą gyventoją;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26.2 pp."/>
                    <w:tag w:val="part_aa7ca2920436426e9cca2cc8bad9137b"/>
                    <w:lock w:val="sdtLocked"/>
                    <w:richText/>
                  </w:sdtPr>
                  <w:sdtContent>
                    <w:p>
                      <w:pPr>
                        <w:tabs>
                          <w:tab w:val="left" w:pos="993"/>
                          <w:tab w:val="left" w:pos="1134"/>
                          <w:tab w:val="left" w:pos="1418"/>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aa7ca2920436426e9cca2cc8bad9137b"/>
                          <w:lock w:val="sdtLocked"/>
                          <w:richText/>
                        </w:sdtPr>
                        <w:sdtContent>
                          <w:r>
                            <w:rPr>
                              <w:szCs w:val="24"/>
                            </w:rPr>
                            <w:t>26.2</w:t>
                          </w:r>
                        </w:sdtContent>
                      </w:sdt>
                      <w:r>
                        <w:rPr>
                          <w:szCs w:val="24"/>
                        </w:rPr>
                        <w:t>.</w:t>
                        <w:tab/>
                      </w:r>
                      <w:r>
                        <w:rPr>
                          <w:color w:val="000000"/>
                          <w:szCs w:val="24"/>
                        </w:rPr>
                        <w:t>skatinamojo priedo mokėjimas už PAASP įstaigos suteiktas paslaugas, įtrauktas į</w:t>
                      </w:r>
                      <w:r>
                        <w:rPr>
                          <w:color w:val="000000"/>
                          <w:szCs w:val="24"/>
                          <w:lang w:eastAsia="lt-LT"/>
                        </w:rPr>
                        <w:t xml:space="preserve"> Aprašo 35 punkte nustatytą PAASP paslaugų, už kurias mokamas skatinamasis priedas, sąrašą</w:t>
                      </w:r>
                      <w:r>
                        <w:rPr>
                          <w:szCs w:val="24"/>
                        </w:rPr>
                        <w:t>;</w:t>
                      </w:r>
                    </w:p>
                  </w:sdtContent>
                </w:sdt>
                <w:sdt>
                  <w:sdtPr>
                    <w:alias w:val="26.3 pp."/>
                    <w:tag w:val="part_5ddb073d9e734d8e9b0c3f07d34d274f"/>
                    <w:lock w:val="sdtLocked"/>
                    <w:richText/>
                  </w:sdtPr>
                  <w:sdtContent>
                    <w:p>
                      <w:pPr>
                        <w:tabs>
                          <w:tab w:val="left" w:pos="993"/>
                          <w:tab w:val="left" w:pos="1134"/>
                          <w:tab w:val="left" w:pos="1418"/>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rPr>
                      </w:pPr>
                      <w:sdt>
                        <w:sdtPr>
                          <w:alias w:val="Numeris"/>
                          <w:tag w:val="nr_5ddb073d9e734d8e9b0c3f07d34d274f"/>
                          <w:lock w:val="sdtLocked"/>
                          <w:richText/>
                        </w:sdtPr>
                        <w:sdtContent>
                          <w:r>
                            <w:rPr>
                              <w:szCs w:val="24"/>
                            </w:rPr>
                            <w:t>26.3</w:t>
                          </w:r>
                        </w:sdtContent>
                      </w:sdt>
                      <w:r>
                        <w:rPr>
                          <w:szCs w:val="24"/>
                        </w:rPr>
                        <w:t>.</w:t>
                        <w:tab/>
                        <w:t>papildomas mokėjimas už gerus PAASP įstaigos darbo rezultatus.</w:t>
                      </w:r>
                    </w:p>
                  </w:sdtContent>
                </w:sdt>
              </w:sdtContent>
            </w:sdt>
            <w:sdt>
              <w:sdtPr>
                <w:alias w:val="27 p."/>
                <w:tag w:val="part_2fd1e131a42c455a89c57707b0b5894e"/>
                <w:lock w:val="sdtLocked"/>
                <w:richText/>
              </w:sdtPr>
              <w:sdtContent>
                <w:p>
                  <w:pPr>
                    <w:tabs>
                      <w:tab w:val="left" w:pos="1134"/>
                    </w:tabs>
                    <w:ind w:firstLine="851"/>
                    <w:jc w:val="both"/>
                    <w:rPr>
                      <w:color w:val="000000"/>
                      <w:szCs w:val="24"/>
                    </w:rPr>
                  </w:pPr>
                  <w:sdt>
                    <w:sdtPr>
                      <w:alias w:val="Numeris"/>
                      <w:tag w:val="nr_2fd1e131a42c455a89c57707b0b5894e"/>
                      <w:lock w:val="sdtLocked"/>
                      <w:richText/>
                    </w:sdtPr>
                    <w:sdtContent>
                      <w:r>
                        <w:rPr>
                          <w:color w:val="000000"/>
                          <w:szCs w:val="24"/>
                        </w:rPr>
                        <w:t>27</w:t>
                      </w:r>
                    </w:sdtContent>
                  </w:sdt>
                  <w:r>
                    <w:rPr>
                      <w:color w:val="000000"/>
                      <w:szCs w:val="24"/>
                    </w:rPr>
                    <w:t>. PAASP paslaugos, apmokamos PSDF biudžeto lėšomis:</w:t>
                  </w:r>
                </w:p>
                <w:sdt>
                  <w:sdtPr>
                    <w:alias w:val="27.1 pp."/>
                    <w:tag w:val="part_0df6a4754cfb4554be6253617483a3cf"/>
                    <w:lock w:val="sdtLocked"/>
                    <w:richText/>
                  </w:sdtPr>
                  <w:sdtContent>
                    <w:p>
                      <w:pPr>
                        <w:tabs>
                          <w:tab w:val="left" w:pos="709"/>
                          <w:tab w:val="left" w:pos="1134"/>
                        </w:tabs>
                        <w:ind w:firstLine="851"/>
                        <w:jc w:val="both"/>
                        <w:rPr>
                          <w:rFonts w:eastAsia="Calibri"/>
                          <w:strike/>
                          <w:szCs w:val="24"/>
                          <w:lang w:eastAsia="lt-LT"/>
                        </w:rPr>
                      </w:pPr>
                      <w:sdt>
                        <w:sdtPr>
                          <w:alias w:val="Numeris"/>
                          <w:tag w:val="nr_0df6a4754cfb4554be6253617483a3cf"/>
                          <w:lock w:val="sdtLocked"/>
                          <w:richText/>
                        </w:sdtPr>
                        <w:sdtContent>
                          <w:r>
                            <w:rPr>
                              <w:szCs w:val="24"/>
                              <w:lang w:eastAsia="lt-LT"/>
                            </w:rPr>
                            <w:t>27.1</w:t>
                          </w:r>
                        </w:sdtContent>
                      </w:sdt>
                      <w:r>
                        <w:rPr>
                          <w:szCs w:val="24"/>
                          <w:lang w:eastAsia="lt-LT"/>
                        </w:rPr>
                        <w:t>. bazinis metinis mokėjimas už prirašytą gyventoją pagal amžiaus grupes (&lt;1 m., 1–7 m., 8–17 m., 18–34 m., 35–49 m., 50–65 m., &gt; 65 m.):</w:t>
                      </w:r>
                    </w:p>
                    <w:sdt>
                      <w:sdtPr>
                        <w:alias w:val="27.1.1 pp."/>
                        <w:tag w:val="part_6736bab49d5b4090aa59c6faa1c905dc"/>
                        <w:lock w:val="sdtLocked"/>
                        <w:richText/>
                      </w:sdtPr>
                      <w:sdtContent>
                        <w:p>
                          <w:pPr>
                            <w:ind w:firstLine="851"/>
                            <w:jc w:val="both"/>
                            <w:rPr>
                              <w:szCs w:val="24"/>
                              <w:lang w:eastAsia="lt-LT"/>
                            </w:rPr>
                          </w:pPr>
                          <w:sdt>
                            <w:sdtPr>
                              <w:alias w:val="Numeris"/>
                              <w:tag w:val="nr_6736bab49d5b4090aa59c6faa1c905dc"/>
                              <w:lock w:val="sdtLocked"/>
                              <w:richText/>
                            </w:sdtPr>
                            <w:sdtContent>
                              <w:r>
                                <w:rPr>
                                  <w:szCs w:val="24"/>
                                </w:rPr>
                                <w:t>27.1.1</w:t>
                              </w:r>
                            </w:sdtContent>
                          </w:sdt>
                          <w:r>
                            <w:rPr>
                              <w:szCs w:val="24"/>
                            </w:rPr>
                            <w:t xml:space="preserve">. </w:t>
                          </w:r>
                          <w:r>
                            <w:rPr>
                              <w:color w:val="000000"/>
                              <w:szCs w:val="24"/>
                            </w:rPr>
                            <w:t>kai šeimos gydytojo arba vaikų ligų gydytojo, arba vidaus ligų gydytojo komandos narių (ne gydytojų) ir šeimos gydytojų ir (ar) PAASP paslaugas teikiančių vidaus ligų gydytojų bei vaikų ligų gydytojų etatų santykis yra mažesnis nei 2,10;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27.1.2 pp."/>
                        <w:tag w:val="part_b612c23334c44f94b797697c920fd3bc"/>
                        <w:lock w:val="sdtLocked"/>
                        <w:richText/>
                      </w:sdtPr>
                      <w:sdtContent>
                        <w:p>
                          <w:pPr>
                            <w:ind w:firstLine="851"/>
                            <w:jc w:val="both"/>
                          </w:pPr>
                          <w:sdt>
                            <w:sdtPr>
                              <w:alias w:val="Numeris"/>
                              <w:tag w:val="nr_b612c23334c44f94b797697c920fd3bc"/>
                              <w:lock w:val="sdtLocked"/>
                              <w:richText/>
                            </w:sdtPr>
                            <w:sdtContent>
                              <w:r>
                                <w:rPr>
                                  <w:szCs w:val="24"/>
                                </w:rPr>
                                <w:t>27.1.2</w:t>
                              </w:r>
                            </w:sdtContent>
                          </w:sdt>
                          <w:r>
                            <w:rPr>
                              <w:szCs w:val="24"/>
                            </w:rPr>
                            <w:t xml:space="preserve">. </w:t>
                          </w:r>
                          <w:r>
                            <w:rPr>
                              <w:color w:val="000000"/>
                              <w:szCs w:val="24"/>
                            </w:rPr>
                            <w:t>kai šeimos gydytojo arba vaikų ligų gydytojo, arba vidaus ligų gydytojo komandos narių (ne gydytojų) ir šeimos gydytojų ir (ar) PAASP paslaugas teikiančių vidaus ligų gydytojų bei vaikų ligų gydytojų etatų santykis yra didesnis arba lygus 2,10, bet mažesnis nei 2,4;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27.1.3 pp."/>
                        <w:tag w:val="part_b927c1b977df47758a0680928d6cdf13"/>
                        <w:lock w:val="sdtLocked"/>
                        <w:richText/>
                      </w:sdtPr>
                      <w:sdtContent>
                        <w:p>
                          <w:pPr>
                            <w:ind w:firstLine="851"/>
                            <w:jc w:val="both"/>
                          </w:pPr>
                          <w:sdt>
                            <w:sdtPr>
                              <w:alias w:val="Numeris"/>
                              <w:tag w:val="nr_b927c1b977df47758a0680928d6cdf13"/>
                              <w:lock w:val="sdtLocked"/>
                              <w:richText/>
                            </w:sdtPr>
                            <w:sdtContent>
                              <w:r>
                                <w:rPr>
                                  <w:szCs w:val="24"/>
                                </w:rPr>
                                <w:t>27.1.3</w:t>
                              </w:r>
                            </w:sdtContent>
                          </w:sdt>
                          <w:r>
                            <w:rPr>
                              <w:szCs w:val="24"/>
                            </w:rPr>
                            <w:t xml:space="preserve">. </w:t>
                          </w:r>
                          <w:r>
                            <w:rPr>
                              <w:color w:val="000000"/>
                              <w:szCs w:val="24"/>
                            </w:rPr>
                            <w:t> kai šeimos gydytojo arba vaikų ligų gydytojo, arba vidaus ligų gydytojo komandos narių (ne gydytojų) ir šeimos gydytojų ir (ar) PAASP paslaugas teikiančių vidaus ligų gydytojų bei vaikų ligų gydytojų etatų santykis yra didesnis arba lygus 2,4, bet mažesnis nei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ec046c73811efa5ddd96c482819f5">
                            <w:r w:rsidRPr="00532B9F">
                              <w:rPr>
                                <w:rFonts w:ascii="Times New Roman" w:eastAsia="MS Mincho" w:hAnsi="Times New Roman"/>
                                <w:sz w:val="20"/>
                                <w:i/>
                                <w:iCs/>
                                <w:color w:val="0000FF" w:themeColor="hyperlink"/>
                                <w:u w:val="single"/>
                              </w:rPr>
                              <w:t>V-1380</w:t>
                            </w:r>
                          </w:fldSimple>
                          <w:r>
                            <w:rPr>
                              <w:rFonts w:ascii="Times New Roman" w:eastAsia="MS Mincho" w:hAnsi="Times New Roman"/>
                              <w:sz w:val="20"/>
                              <w:i/>
                              <w:iCs/>
                            </w:rPr>
                            <w:t>,
2024-12-31,
paskelbta TAR 2024-12-31, i. k. 2024-23553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27.1.4 pp."/>
                        <w:tag w:val="part_c583c2449a0b42d69c17399cc0e87497"/>
                        <w:lock w:val="sdtLocked"/>
                        <w:richText/>
                      </w:sdtPr>
                      <w:sdtContent>
                        <w:p>
                          <w:pPr>
                            <w:ind w:firstLine="851"/>
                            <w:jc w:val="both"/>
                            <w:rPr>
                              <w:rFonts w:eastAsia="Calibri"/>
                              <w:color w:val="000000"/>
                              <w:szCs w:val="24"/>
                              <w:lang w:eastAsia="lt-LT"/>
                            </w:rPr>
                          </w:pPr>
                          <w:sdt>
                            <w:sdtPr>
                              <w:alias w:val="Numeris"/>
                              <w:tag w:val="nr_c583c2449a0b42d69c17399cc0e87497"/>
                              <w:lock w:val="sdtLocked"/>
                              <w:richText/>
                            </w:sdtPr>
                            <w:sdtContent>
                              <w:r>
                                <w:rPr>
                                  <w:color w:val="000000"/>
                                  <w:szCs w:val="24"/>
                                </w:rPr>
                                <w:t>27.1.4</w:t>
                              </w:r>
                            </w:sdtContent>
                          </w:sdt>
                          <w:r>
                            <w:rPr>
                              <w:color w:val="000000"/>
                              <w:szCs w:val="24"/>
                            </w:rPr>
                            <w:t xml:space="preserve">. kai šeimos gydytojo arba vaikų ligų gydytojo, arba vidaus ligų gydytojo komandos narių (ne gydytojų) ir šeimos gydytojų ir (ar) PAASP paslaugas teikiančių vidaus ligų gydytojų bei vaikų ligų gydytojų etatų santykis yra lygus 2,6 arba didesnis;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27.2 pp."/>
                    <w:tag w:val="part_2cdd53275fa545daba3592f1b48ab611"/>
                    <w:lock w:val="sdtLocked"/>
                    <w:richText/>
                  </w:sdtPr>
                  <w:sdtContent>
                    <w:p>
                      <w:pPr>
                        <w:tabs>
                          <w:tab w:val="left" w:pos="1134"/>
                        </w:tabs>
                        <w:ind w:firstLine="851"/>
                        <w:jc w:val="both"/>
                        <w:rPr>
                          <w:rFonts w:eastAsia="Calibri"/>
                          <w:color w:val="FF0000"/>
                          <w:szCs w:val="24"/>
                          <w:lang w:eastAsia="lt-LT"/>
                        </w:rPr>
                      </w:pPr>
                      <w:sdt>
                        <w:sdtPr>
                          <w:alias w:val="Numeris"/>
                          <w:tag w:val="nr_2cdd53275fa545daba3592f1b48ab611"/>
                          <w:lock w:val="sdtLocked"/>
                          <w:richText/>
                        </w:sdtPr>
                        <w:sdtContent>
                          <w:r>
                            <w:rPr>
                              <w:rFonts w:eastAsia="Calibri"/>
                              <w:color w:val="000000"/>
                              <w:szCs w:val="24"/>
                              <w:lang w:eastAsia="lt-LT"/>
                            </w:rPr>
                            <w:t>27.2</w:t>
                          </w:r>
                        </w:sdtContent>
                      </w:sdt>
                      <w:r>
                        <w:rPr>
                          <w:rFonts w:eastAsia="Calibri"/>
                          <w:color w:val="000000"/>
                          <w:szCs w:val="24"/>
                          <w:lang w:eastAsia="lt-LT"/>
                        </w:rPr>
                        <w:t>. PAASP paslaugos, teikiamos laisvės atėmimo vietose:</w:t>
                      </w:r>
                    </w:p>
                    <w:sdt>
                      <w:sdtPr>
                        <w:alias w:val="27.2.1 pp."/>
                        <w:tag w:val="part_59456f1f827c4f56813eecea959d64b2"/>
                        <w:lock w:val="sdtLocked"/>
                        <w:richText/>
                      </w:sdtPr>
                      <w:sdtContent>
                        <w:p>
                          <w:pPr>
                            <w:tabs>
                              <w:tab w:val="left" w:pos="1134"/>
                            </w:tabs>
                            <w:ind w:firstLine="851"/>
                            <w:jc w:val="both"/>
                            <w:rPr>
                              <w:rFonts w:eastAsia="Calibri"/>
                              <w:color w:val="000000"/>
                              <w:szCs w:val="24"/>
                              <w:lang w:eastAsia="lt-LT"/>
                            </w:rPr>
                          </w:pPr>
                          <w:sdt>
                            <w:sdtPr>
                              <w:alias w:val="Numeris"/>
                              <w:tag w:val="nr_59456f1f827c4f56813eecea959d64b2"/>
                              <w:lock w:val="sdtLocked"/>
                              <w:richText/>
                            </w:sdtPr>
                            <w:sdtContent>
                              <w:r>
                                <w:rPr>
                                  <w:rFonts w:eastAsia="Calibri"/>
                                  <w:color w:val="000000"/>
                                  <w:szCs w:val="24"/>
                                  <w:lang w:eastAsia="lt-LT"/>
                                </w:rPr>
                                <w:t>27.2.1</w:t>
                              </w:r>
                            </w:sdtContent>
                          </w:sdt>
                          <w:r>
                            <w:rPr>
                              <w:rFonts w:eastAsia="Calibri"/>
                              <w:color w:val="000000"/>
                              <w:szCs w:val="24"/>
                              <w:lang w:eastAsia="lt-LT"/>
                            </w:rPr>
                            <w:t>. vidaus ligų gydytojo, gydytojo akušerio ginekologo ir gydytojo chirurgo teikiamos paslaugos pagal amžiaus grupes (18–34 m., 35–49 m., 50–65 m., &gt; 65 m.);</w:t>
                          </w:r>
                        </w:p>
                      </w:sdtContent>
                    </w:sdt>
                    <w:sdt>
                      <w:sdtPr>
                        <w:alias w:val="27.2.2 pp."/>
                        <w:tag w:val="part_0cde5466d63741058206270d01ab67d0"/>
                        <w:lock w:val="sdtLocked"/>
                        <w:richText/>
                      </w:sdtPr>
                      <w:sdtContent>
                        <w:p>
                          <w:pPr>
                            <w:tabs>
                              <w:tab w:val="left" w:pos="1134"/>
                            </w:tabs>
                            <w:ind w:firstLine="851"/>
                            <w:jc w:val="both"/>
                            <w:rPr>
                              <w:rFonts w:eastAsia="Calibri"/>
                              <w:color w:val="000000"/>
                              <w:szCs w:val="24"/>
                              <w:lang w:eastAsia="lt-LT"/>
                            </w:rPr>
                          </w:pPr>
                          <w:sdt>
                            <w:sdtPr>
                              <w:alias w:val="Numeris"/>
                              <w:tag w:val="nr_0cde5466d63741058206270d01ab67d0"/>
                              <w:lock w:val="sdtLocked"/>
                              <w:richText/>
                            </w:sdtPr>
                            <w:sdtContent>
                              <w:r>
                                <w:rPr>
                                  <w:rFonts w:eastAsia="Calibri"/>
                                  <w:color w:val="000000"/>
                                  <w:szCs w:val="24"/>
                                  <w:lang w:eastAsia="lt-LT"/>
                                </w:rPr>
                                <w:t>27.2.2</w:t>
                              </w:r>
                            </w:sdtContent>
                          </w:sdt>
                          <w:r>
                            <w:rPr>
                              <w:rFonts w:eastAsia="Calibri"/>
                              <w:color w:val="000000"/>
                              <w:szCs w:val="24"/>
                              <w:lang w:eastAsia="lt-LT"/>
                            </w:rPr>
                            <w:t>. vidaus ligų gydytojo ir gydytojo chirurgo teikiamos paslaugos pagal amžiaus grupes (18–34 m., 35–49 m., 50–65 m., &gt; 65 m.).;</w:t>
                          </w:r>
                        </w:p>
                      </w:sdtContent>
                    </w:sdt>
                  </w:sdtContent>
                </w:sdt>
                <w:sdt>
                  <w:sdtPr>
                    <w:alias w:val="27.3 pp."/>
                    <w:tag w:val="part_962333618c7d4b2990d3eef21dea9ae0"/>
                    <w:lock w:val="sdtLocked"/>
                    <w:richText/>
                  </w:sdtPr>
                  <w:sdtContent>
                    <w:p>
                      <w:pPr>
                        <w:ind w:firstLine="709"/>
                        <w:jc w:val="both"/>
                        <w:rPr>
                          <w:color w:val="000000"/>
                          <w:szCs w:val="24"/>
                          <w:lang w:eastAsia="lt-LT"/>
                        </w:rPr>
                      </w:pPr>
                      <w:r>
                        <w:rPr>
                          <w:color w:val="000000"/>
                          <w:szCs w:val="24"/>
                          <w:lang w:eastAsia="lt-LT"/>
                        </w:rPr>
                        <w:t>27.3. pirminės ambulatorinės odontologinės asmens sveikatos priežiūros paslaugos pagal amžiaus grupes (&lt; 18 m. ir ≥ 18 m.):</w:t>
                      </w:r>
                    </w:p>
                    <w:sdt>
                      <w:sdtPr>
                        <w:alias w:val="27.3.1 pp."/>
                        <w:tag w:val="part_18ed653032ec4bb2aa6399b5177e7912"/>
                        <w:lock w:val="sdtLocked"/>
                        <w:richText/>
                      </w:sdtPr>
                      <w:sdtContent>
                        <w:p>
                          <w:pPr>
                            <w:ind w:firstLine="709"/>
                            <w:jc w:val="both"/>
                            <w:rPr>
                              <w:color w:val="000000"/>
                              <w:szCs w:val="24"/>
                              <w:lang w:eastAsia="lt-LT"/>
                            </w:rPr>
                          </w:pPr>
                          <w:sdt>
                            <w:sdtPr>
                              <w:alias w:val="Numeris"/>
                              <w:tag w:val="nr_18ed653032ec4bb2aa6399b5177e7912"/>
                              <w:lock w:val="sdtLocked"/>
                              <w:richText/>
                            </w:sdtPr>
                            <w:sdtContent>
                              <w:r>
                                <w:rPr>
                                  <w:color w:val="000000"/>
                                  <w:szCs w:val="24"/>
                                  <w:lang w:eastAsia="lt-LT"/>
                                </w:rPr>
                                <w:t>27.3.1</w:t>
                              </w:r>
                            </w:sdtContent>
                          </w:sdt>
                          <w:r>
                            <w:rPr>
                              <w:color w:val="000000"/>
                              <w:szCs w:val="24"/>
                              <w:lang w:eastAsia="lt-LT"/>
                            </w:rPr>
                            <w:t>. pirminės ambulatorinės odontologinės sveikatos priežiūros paslaugų kompleksas (be burnos higienisto paslaugų);</w:t>
                          </w:r>
                        </w:p>
                      </w:sdtContent>
                    </w:sdt>
                    <w:sdt>
                      <w:sdtPr>
                        <w:alias w:val="27.3.2 pp."/>
                        <w:tag w:val="part_5cbf51aab28649ff9334ceab50eb09ca"/>
                        <w:lock w:val="sdtLocked"/>
                        <w:richText/>
                      </w:sdtPr>
                      <w:sdtContent>
                        <w:p>
                          <w:pPr>
                            <w:ind w:firstLine="709"/>
                            <w:jc w:val="both"/>
                            <w:rPr>
                              <w:color w:val="000000"/>
                              <w:szCs w:val="24"/>
                              <w:lang w:eastAsia="lt-LT"/>
                            </w:rPr>
                          </w:pPr>
                          <w:sdt>
                            <w:sdtPr>
                              <w:alias w:val="Numeris"/>
                              <w:tag w:val="nr_5cbf51aab28649ff9334ceab50eb09ca"/>
                              <w:lock w:val="sdtLocked"/>
                              <w:richText/>
                            </w:sdtPr>
                            <w:sdtContent>
                              <w:r>
                                <w:rPr>
                                  <w:color w:val="000000"/>
                                  <w:szCs w:val="24"/>
                                  <w:lang w:eastAsia="lt-LT"/>
                                </w:rPr>
                                <w:t>27.3.2</w:t>
                              </w:r>
                            </w:sdtContent>
                          </w:sdt>
                          <w:r>
                            <w:rPr>
                              <w:color w:val="000000"/>
                              <w:szCs w:val="24"/>
                              <w:lang w:eastAsia="lt-LT"/>
                            </w:rPr>
                            <w:t>. pirminės ambulatorinės odontologinės sveikatos priežiūros paslaugų kompleksas, į kurį įeina burnos higienisto paslaugos (normatyvas taikomas vienam burnos higienisto etatui):</w:t>
                          </w:r>
                        </w:p>
                        <w:sdt>
                          <w:sdtPr>
                            <w:alias w:val="27.3.2.1 pp."/>
                            <w:tag w:val="part_2a809f9f388e46bc82738be895e09c8f"/>
                            <w:lock w:val="sdtLocked"/>
                            <w:richText/>
                          </w:sdtPr>
                          <w:sdtContent>
                            <w:p>
                              <w:pPr>
                                <w:ind w:firstLine="709"/>
                                <w:jc w:val="both"/>
                                <w:rPr>
                                  <w:color w:val="000000"/>
                                  <w:szCs w:val="24"/>
                                  <w:lang w:eastAsia="lt-LT"/>
                                </w:rPr>
                              </w:pPr>
                              <w:sdt>
                                <w:sdtPr>
                                  <w:alias w:val="Numeris"/>
                                  <w:tag w:val="nr_2a809f9f388e46bc82738be895e09c8f"/>
                                  <w:lock w:val="sdtLocked"/>
                                  <w:richText/>
                                </w:sdtPr>
                                <w:sdtContent>
                                  <w:r>
                                    <w:rPr>
                                      <w:color w:val="000000"/>
                                      <w:szCs w:val="24"/>
                                      <w:lang w:eastAsia="lt-LT"/>
                                    </w:rPr>
                                    <w:t>27.3.2.1</w:t>
                                  </w:r>
                                </w:sdtContent>
                              </w:sdt>
                              <w:r>
                                <w:rPr>
                                  <w:color w:val="000000"/>
                                  <w:szCs w:val="24"/>
                                  <w:lang w:eastAsia="lt-LT"/>
                                </w:rPr>
                                <w:t>. kai burnos higienisto aptarnaujamų gyventojų skaičius neviršija 7 000 arba lygus 7  000;</w:t>
                              </w:r>
                            </w:p>
                          </w:sdtContent>
                        </w:sdt>
                        <w:sdt>
                          <w:sdtPr>
                            <w:alias w:val="27.3.2.2 pp."/>
                            <w:tag w:val="part_2d337fe60af84d4a85f48eb7ff49063c"/>
                            <w:lock w:val="sdtLocked"/>
                            <w:richText/>
                          </w:sdtPr>
                          <w:sdtContent>
                            <w:p>
                              <w:pPr>
                                <w:ind w:firstLine="709"/>
                                <w:jc w:val="both"/>
                                <w:rPr>
                                  <w:color w:val="000000"/>
                                  <w:szCs w:val="24"/>
                                  <w:lang w:eastAsia="lt-LT"/>
                                </w:rPr>
                              </w:pPr>
                              <w:sdt>
                                <w:sdtPr>
                                  <w:alias w:val="Numeris"/>
                                  <w:tag w:val="nr_2d337fe60af84d4a85f48eb7ff49063c"/>
                                  <w:lock w:val="sdtLocked"/>
                                  <w:richText/>
                                </w:sdtPr>
                                <w:sdtContent>
                                  <w:r>
                                    <w:rPr>
                                      <w:color w:val="000000"/>
                                      <w:szCs w:val="24"/>
                                      <w:lang w:eastAsia="lt-LT"/>
                                    </w:rPr>
                                    <w:t>27.3.2.2</w:t>
                                  </w:r>
                                </w:sdtContent>
                              </w:sdt>
                              <w:r>
                                <w:rPr>
                                  <w:color w:val="000000"/>
                                  <w:szCs w:val="24"/>
                                  <w:lang w:eastAsia="lt-LT"/>
                                </w:rPr>
                                <w:t>. kai burnos higienisto aptarnaujamų gyventojų skaičius viršija 7 000, bet neviršija 10  000, arba lygus 10 000;</w:t>
                              </w:r>
                            </w:p>
                          </w:sdtContent>
                        </w:sdt>
                        <w:sdt>
                          <w:sdtPr>
                            <w:alias w:val="27.3.2.3 pp."/>
                            <w:tag w:val="part_cb6f3c4b7fa147f288aa7330b8499c0c"/>
                            <w:lock w:val="sdtLocked"/>
                            <w:richText/>
                          </w:sdtPr>
                          <w:sdtContent>
                            <w:p>
                              <w:pPr>
                                <w:ind w:firstLine="709"/>
                                <w:jc w:val="both"/>
                              </w:pPr>
                              <w:sdt>
                                <w:sdtPr>
                                  <w:alias w:val="Numeris"/>
                                  <w:tag w:val="nr_cb6f3c4b7fa147f288aa7330b8499c0c"/>
                                  <w:lock w:val="sdtLocked"/>
                                  <w:richText/>
                                </w:sdtPr>
                                <w:sdtContent>
                                  <w:r>
                                    <w:rPr>
                                      <w:color w:val="000000"/>
                                      <w:szCs w:val="24"/>
                                      <w:lang w:eastAsia="lt-LT"/>
                                    </w:rPr>
                                    <w:t>27.3.2.3</w:t>
                                  </w:r>
                                </w:sdtContent>
                              </w:sdt>
                              <w:r>
                                <w:rPr>
                                  <w:color w:val="000000"/>
                                  <w:szCs w:val="24"/>
                                  <w:lang w:eastAsia="lt-LT"/>
                                </w:rPr>
                                <w:t>. kai burnos higienisto aptarnaujamų gyventojų skaičius didesnis nei 10 000</w:t>
                              </w:r>
                              <w:r>
                                <w:rPr>
                                  <w:szCs w:val="24"/>
                                  <w:lang w:eastAsia="lt-LT"/>
                                </w:rPr>
                                <w:t>, bet neviršija 14 500;</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615d90c90411efa5ddd96c482819f5">
                        <w:r w:rsidRPr="00532B9F">
                          <w:rPr>
                            <w:rFonts w:ascii="Times New Roman" w:eastAsia="MS Mincho" w:hAnsi="Times New Roman"/>
                            <w:sz w:val="20"/>
                            <w:i/>
                            <w:iCs/>
                            <w:color w:val="0000FF" w:themeColor="hyperlink"/>
                            <w:u w:val="single"/>
                          </w:rPr>
                          <w:t>V-3</w:t>
                        </w:r>
                      </w:fldSimple>
                      <w:r>
                        <w:rPr>
                          <w:rFonts w:ascii="Times New Roman" w:eastAsia="MS Mincho" w:hAnsi="Times New Roman"/>
                          <w:sz w:val="20"/>
                          <w:i/>
                          <w:iCs/>
                        </w:rPr>
                        <w:t>,
2025-01-02,
paskelbta TAR 2025-01-02, i. k. 2025-00030            </w:t>
                      </w:r>
                    </w:p>
                    <w:p/>
                  </w:sdtContent>
                </w:sdt>
                <w:sdt>
                  <w:sdtPr>
                    <w:alias w:val="27.3-1 pp."/>
                    <w:tag w:val="part_b4a1a361d5ec42bd8a97c88d5455edc6"/>
                    <w:lock w:val="sdtLocked"/>
                    <w:richText/>
                  </w:sdtPr>
                  <w:sdtContent>
                    <w:p>
                      <w:pPr>
                        <w:ind w:firstLine="851"/>
                        <w:jc w:val="both"/>
                      </w:pPr>
                      <w:sdt>
                        <w:sdtPr>
                          <w:alias w:val="Numeris"/>
                          <w:tag w:val="nr_b4a1a361d5ec42bd8a97c88d5455edc6"/>
                          <w:lock w:val="sdtLocked"/>
                          <w:richText/>
                        </w:sdtPr>
                        <w:sdtContent>
                          <w:r>
                            <w:rPr>
                              <w:rFonts w:eastAsia="Calibri"/>
                              <w:color w:val="000000"/>
                              <w:szCs w:val="24"/>
                            </w:rPr>
                            <w:t>27.3</w:t>
                          </w:r>
                          <w:r>
                            <w:rPr>
                              <w:rFonts w:eastAsia="Calibri"/>
                              <w:color w:val="000000"/>
                              <w:szCs w:val="24"/>
                              <w:vertAlign w:val="superscript"/>
                            </w:rPr>
                            <w:t>1</w:t>
                          </w:r>
                        </w:sdtContent>
                      </w:sdt>
                      <w:r>
                        <w:rPr>
                          <w:rFonts w:eastAsia="Calibri"/>
                          <w:color w:val="000000"/>
                          <w:szCs w:val="24"/>
                        </w:rPr>
                        <w:t>. Jeigu burnos higienisto aptarnaujamų asmenų skaičius viršija 14 500 asmenų, už tą dalį pirminės odontologinės sveikatos priežiūros paslaugų, kuri teikiama viršijant nustatytą normatyvą, mokama pagal Aprašo 27.3.1 papunktyje numatytus reikalavimus.</w:t>
                      </w:r>
                      <w:r>
                        <w:t xml:space="preserve"> </w:t>
                      </w:r>
                    </w:p>
                    <w:p>
                      <w:pPr>
                        <w:jc w:val="both"/>
                        <w:rPr>
                          <w:rFonts w:eastAsia="Calibri"/>
                          <w:color w:val="000000"/>
                          <w:szCs w:val="24"/>
                          <w:lang w:eastAsia="lt-LT"/>
                        </w:rPr>
                      </w:pPr>
                      <w:r>
                        <w:rPr>
                          <w:b/>
                          <w:i/>
                          <w:sz w:val="20"/>
                        </w:rPr>
                        <w:t>TAR pastaba</w:t>
                      </w:r>
                      <w:r>
                        <w:rPr>
                          <w:i/>
                          <w:sz w:val="20"/>
                        </w:rPr>
                        <w:t xml:space="preserve">: </w:t>
                      </w:r>
                      <w:r>
                        <w:rPr>
                          <w:rFonts w:eastAsia="Calibri"/>
                          <w:i/>
                          <w:color w:val="000000"/>
                          <w:sz w:val="20"/>
                        </w:rPr>
                        <w:t>papunkčio nuostatos taikomos atsiskaitant už asmens sveikatos priežiūros paslaugas, suteiktas nuo 2024-01-01.</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27.4 pp."/>
                    <w:tag w:val="part_8b1337371fa845a49e9f26552d41b576"/>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color w:val="000000"/>
                          <w:lang w:eastAsia="lt-LT"/>
                        </w:rPr>
                      </w:pPr>
                      <w:r>
                        <w:rPr>
                          <w:color w:val="000000"/>
                          <w:lang w:eastAsia="lt-LT"/>
                        </w:rPr>
                        <w:t>27.4. pirminės ambulatorinės psichikos sveikatos priežiūros paslaugos suaugusiesiems (normatyvas taikomas vienam medicinos psichologo etatui):</w:t>
                      </w:r>
                    </w:p>
                    <w:sdt>
                      <w:sdtPr>
                        <w:alias w:val="27.4.1 pp."/>
                        <w:tag w:val="part_cd0d968a57b147758ea557180e30a226"/>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lang w:eastAsia="lt-LT"/>
                            </w:rPr>
                          </w:pPr>
                          <w:sdt>
                            <w:sdtPr>
                              <w:alias w:val="Numeris"/>
                              <w:tag w:val="nr_cd0d968a57b147758ea557180e30a226"/>
                              <w:lock w:val="sdtLocked"/>
                              <w:richText/>
                            </w:sdtPr>
                            <w:sdtContent>
                              <w:r>
                                <w:rPr>
                                  <w:color w:val="000000"/>
                                  <w:lang w:eastAsia="lt-LT"/>
                                </w:rPr>
                                <w:t>27.4.1</w:t>
                              </w:r>
                            </w:sdtContent>
                          </w:sdt>
                          <w:r>
                            <w:rPr>
                              <w:color w:val="000000"/>
                              <w:lang w:eastAsia="lt-LT"/>
                            </w:rPr>
                            <w:t xml:space="preserve">. pirminės psichikos sveikatos priežiūros paslauga, kai medicinos psichologo aptarnaujamų suaugusiųjų gyventojų skaičius lygus 10 000 arba mažesnis; </w:t>
                          </w:r>
                        </w:p>
                      </w:sdtContent>
                    </w:sdt>
                    <w:sdt>
                      <w:sdtPr>
                        <w:alias w:val="27.4.2 pp."/>
                        <w:tag w:val="part_63cb5c16db274593b678e6068546e0a0"/>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lang w:eastAsia="lt-LT"/>
                            </w:rPr>
                          </w:pPr>
                          <w:sdt>
                            <w:sdtPr>
                              <w:alias w:val="Numeris"/>
                              <w:tag w:val="nr_63cb5c16db274593b678e6068546e0a0"/>
                              <w:lock w:val="sdtLocked"/>
                              <w:richText/>
                            </w:sdtPr>
                            <w:sdtContent>
                              <w:r>
                                <w:rPr>
                                  <w:color w:val="000000"/>
                                  <w:lang w:eastAsia="lt-LT"/>
                                </w:rPr>
                                <w:t>27.4.2</w:t>
                              </w:r>
                            </w:sdtContent>
                          </w:sdt>
                          <w:r>
                            <w:rPr>
                              <w:color w:val="000000"/>
                              <w:lang w:eastAsia="lt-LT"/>
                            </w:rPr>
                            <w:t xml:space="preserve">. pirminės psichikos sveikatos priežiūros paslauga, kai medicinos psichologo aptarnaujamų suaugusiųjų gyventojų skaičius didesnis nei 10 000, bet mažesnis (arba lygus) nei 15 000; </w:t>
                          </w:r>
                        </w:p>
                      </w:sdtContent>
                    </w:sdt>
                    <w:sdt>
                      <w:sdtPr>
                        <w:alias w:val="27.4.3 pp."/>
                        <w:tag w:val="part_efb50459d0fc43f5ac3e4597f1c416d4"/>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efb50459d0fc43f5ac3e4597f1c416d4"/>
                              <w:lock w:val="sdtLocked"/>
                              <w:richText/>
                            </w:sdtPr>
                            <w:sdtContent>
                              <w:r>
                                <w:rPr>
                                  <w:color w:val="000000"/>
                                  <w:lang w:eastAsia="lt-LT"/>
                                </w:rPr>
                                <w:t>27.4.3</w:t>
                              </w:r>
                            </w:sdtContent>
                          </w:sdt>
                          <w:r>
                            <w:rPr>
                              <w:color w:val="000000"/>
                              <w:lang w:eastAsia="lt-LT"/>
                            </w:rPr>
                            <w:t xml:space="preserve">. pirminės psichikos sveikatos priežiūros paslauga, kai medicinos psichologo aptarnaujamų suaugusiųjų gyventojų skaičius didesnis nei 15 000;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cc5d1b78211ef88c08519262548c4">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2024-12-11,
paskelbta TAR 2024-12-11, i. k. 2024-21913            </w:t>
                      </w:r>
                    </w:p>
                    <w:p/>
                  </w:sdtContent>
                </w:sdt>
                <w:sdt>
                  <w:sdtPr>
                    <w:alias w:val="27.5 pp."/>
                    <w:tag w:val="part_7a13761defe74167955c047e2caab06b"/>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7a13761defe74167955c047e2caab06b"/>
                          <w:lock w:val="sdtLocked"/>
                          <w:richText/>
                        </w:sdtPr>
                        <w:sdtContent>
                          <w:r>
                            <w:rPr>
                              <w:bCs/>
                              <w:color w:val="000000"/>
                              <w:szCs w:val="24"/>
                              <w:lang w:eastAsia="lt-LT"/>
                            </w:rPr>
                            <w:t>27.5</w:t>
                          </w:r>
                        </w:sdtContent>
                      </w:sdt>
                      <w:r>
                        <w:rPr>
                          <w:bCs/>
                          <w:color w:val="000000"/>
                          <w:szCs w:val="24"/>
                          <w:lang w:eastAsia="lt-LT"/>
                        </w:rPr>
                        <w:t>. Pirminės psichikos sveikatos priežiūros paslauga vaikams:</w:t>
                      </w:r>
                    </w:p>
                    <w:sdt>
                      <w:sdtPr>
                        <w:alias w:val="27.5.1 pp."/>
                        <w:tag w:val="part_7657ca5f437d4200a020fc233a702922"/>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7657ca5f437d4200a020fc233a702922"/>
                              <w:lock w:val="sdtLocked"/>
                              <w:richText/>
                            </w:sdtPr>
                            <w:sdtContent>
                              <w:r>
                                <w:rPr>
                                  <w:bCs/>
                                  <w:color w:val="000000"/>
                                  <w:szCs w:val="24"/>
                                  <w:lang w:eastAsia="lt-LT"/>
                                </w:rPr>
                                <w:t>27.5.1</w:t>
                              </w:r>
                            </w:sdtContent>
                          </w:sdt>
                          <w:r>
                            <w:rPr>
                              <w:bCs/>
                              <w:color w:val="000000"/>
                              <w:szCs w:val="24"/>
                              <w:lang w:eastAsia="lt-LT"/>
                            </w:rPr>
                            <w:t>. psichikos sveikatos centrams, prie kurių prirašyta 6 000 ar daugiau vaikų ir paauglių:</w:t>
                          </w:r>
                        </w:p>
                        <w:sdt>
                          <w:sdtPr>
                            <w:alias w:val="27.5.1.1 pp."/>
                            <w:tag w:val="part_19b2ad38630848a0b113686760b2ee3f"/>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19b2ad38630848a0b113686760b2ee3f"/>
                                  <w:lock w:val="sdtLocked"/>
                                  <w:richText/>
                                </w:sdtPr>
                                <w:sdtContent>
                                  <w:r>
                                    <w:rPr>
                                      <w:bCs/>
                                      <w:color w:val="000000"/>
                                      <w:szCs w:val="24"/>
                                      <w:lang w:eastAsia="lt-LT"/>
                                    </w:rPr>
                                    <w:t>27.5.1.1</w:t>
                                  </w:r>
                                </w:sdtContent>
                              </w:sdt>
                              <w:r>
                                <w:rPr>
                                  <w:bCs/>
                                  <w:color w:val="000000"/>
                                  <w:szCs w:val="24"/>
                                  <w:lang w:eastAsia="lt-LT"/>
                                </w:rPr>
                                <w:t>. už šią paslaugą mokama, kai vaikų ir paauglių psichiatras, medicinos psichologas ir kitas komandos narys (psichikos sveikatos slaugytojas, socialinis darbuotojas ir (ar) medicinos psichologas) (toliau kartu – vaikų ir paauglių komandos nariai), dirbdamas psichikos sveikatos centre vienu etatu, aptarnauja ne daugiau kaip 8 000 vaikų (vaikų ir paauglių komandos nariai psichikos sveikatos centre turi dirbti ne mažiau kaip po 0,3 etato);</w:t>
                              </w:r>
                            </w:p>
                          </w:sdtContent>
                        </w:sdt>
                        <w:sdt>
                          <w:sdtPr>
                            <w:alias w:val="27.5.1.2 pp."/>
                            <w:tag w:val="part_7209b79ee03f4d17a05ac3fb57e17ed9"/>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7209b79ee03f4d17a05ac3fb57e17ed9"/>
                                  <w:lock w:val="sdtLocked"/>
                                  <w:richText/>
                                </w:sdtPr>
                                <w:sdtContent>
                                  <w:r>
                                    <w:rPr>
                                      <w:bCs/>
                                      <w:color w:val="000000"/>
                                      <w:szCs w:val="24"/>
                                      <w:lang w:eastAsia="lt-LT"/>
                                    </w:rPr>
                                    <w:t>27.5.1.2</w:t>
                                  </w:r>
                                </w:sdtContent>
                              </w:sdt>
                              <w:r>
                                <w:rPr>
                                  <w:bCs/>
                                  <w:color w:val="000000"/>
                                  <w:szCs w:val="24"/>
                                  <w:lang w:eastAsia="lt-LT"/>
                                </w:rPr>
                                <w:t>. jeigu vaikų ir paauglių komandos narių aptarnaujamų vaikų skaičius viršija 8 000 prirašytų prie psichikos sveikatos centro vaikų, už tą dalį pirminės psichikos sveikatos priežiūros paslaugų, kuri teikiama viršijant nustatytą normatyvą, nemokama;</w:t>
                              </w:r>
                            </w:p>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color w:val="000000"/>
                                  <w:szCs w:val="24"/>
                                  <w:lang w:eastAsia="lt-LT"/>
                                </w:rPr>
                              </w:pPr>
                              <w:r>
                                <w:rPr>
                                  <w:b/>
                                  <w:i/>
                                  <w:sz w:val="20"/>
                                </w:rPr>
                                <w:t>TAR pastaba</w:t>
                              </w:r>
                              <w:r>
                                <w:rPr>
                                  <w:i/>
                                  <w:sz w:val="20"/>
                                </w:rPr>
                                <w:t>. 27.5.1 3 papunktis taikomas atsiskaitant už asmens sveikatos priežiūros paslaugas, suteiktas nuo 2025 m. liepos 1 d.</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cbc6663b11f0a8bbd1e98310677d">
                            <w:r w:rsidRPr="00532B9F">
                              <w:rPr>
                                <w:rFonts w:ascii="Times New Roman" w:eastAsia="MS Mincho" w:hAnsi="Times New Roman"/>
                                <w:sz w:val="20"/>
                                <w:i/>
                                <w:iCs/>
                                <w:color w:val="0000FF" w:themeColor="hyperlink"/>
                                <w:u w:val="single"/>
                              </w:rPr>
                              <w:t>V-682</w:t>
                            </w:r>
                          </w:fldSimple>
                          <w:r>
                            <w:rPr>
                              <w:rFonts w:ascii="Times New Roman" w:eastAsia="MS Mincho" w:hAnsi="Times New Roman"/>
                              <w:sz w:val="20"/>
                              <w:i/>
                              <w:iCs/>
                            </w:rPr>
                            <w:t>,
2025-07-21,
paskelbta TAR 2025-07-21, i. k. 2025-13102            </w:t>
                          </w:r>
                        </w:p>
                        <w:p/>
                      </w:sdtContent>
                    </w:sdt>
                    <w:sdt>
                      <w:sdtPr>
                        <w:alias w:val="27.5.2 pp."/>
                        <w:tag w:val="part_b8c6483d2a274b8ca3a0198ea25f58e1"/>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b8c6483d2a274b8ca3a0198ea25f58e1"/>
                              <w:lock w:val="sdtLocked"/>
                              <w:richText/>
                            </w:sdtPr>
                            <w:sdtContent>
                              <w:r>
                                <w:rPr>
                                  <w:bCs/>
                                  <w:color w:val="000000"/>
                                  <w:szCs w:val="24"/>
                                  <w:lang w:eastAsia="lt-LT"/>
                                </w:rPr>
                                <w:t>27.5.2</w:t>
                              </w:r>
                            </w:sdtContent>
                          </w:sdt>
                          <w:r>
                            <w:rPr>
                              <w:bCs/>
                              <w:color w:val="000000"/>
                              <w:szCs w:val="24"/>
                              <w:lang w:eastAsia="lt-LT"/>
                            </w:rPr>
                            <w:t>. psichikos sveikatos centrams, prie kurių prirašyta mažiau kaip 6 000 vaikų ir paauglių:</w:t>
                          </w:r>
                        </w:p>
                        <w:sdt>
                          <w:sdtPr>
                            <w:alias w:val="27.5.2.1 pp."/>
                            <w:tag w:val="part_c4bd7aa23891498b95e367bd220727f3"/>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c4bd7aa23891498b95e367bd220727f3"/>
                                  <w:lock w:val="sdtLocked"/>
                                  <w:richText/>
                                </w:sdtPr>
                                <w:sdtContent>
                                  <w:r>
                                    <w:rPr>
                                      <w:bCs/>
                                      <w:color w:val="000000"/>
                                      <w:szCs w:val="24"/>
                                      <w:lang w:eastAsia="lt-LT"/>
                                    </w:rPr>
                                    <w:t>27.5.2.1</w:t>
                                  </w:r>
                                </w:sdtContent>
                              </w:sdt>
                              <w:r>
                                <w:rPr>
                                  <w:bCs/>
                                  <w:color w:val="000000"/>
                                  <w:szCs w:val="24"/>
                                  <w:lang w:eastAsia="lt-LT"/>
                                </w:rPr>
                                <w:t>. už šią paslaugą mokama, kai vaikų ir paauglių komandos narys, dirbdamas psichikos sveikatos centre vienu etatu, aptarnauja ne daugiau kaip 8 000 vaikų (vaikų ir paauglių komandos nariai psichikos sveikatos centre turi dirbti ne mažiau kaip po 0,3 etato) arba kai vaikų ir paauglių psichiatras, dirbdamas psichikos sveikatos centre vienu etatu, aptarnauja ne daugiau kaip 6 000 vaikų (vaikų ir paauglių psichiatras psichikos sveikatos centre turi dirbti ne mažiau kaip 0,25 etato);</w:t>
                              </w:r>
                            </w:p>
                          </w:sdtContent>
                        </w:sdt>
                        <w:sdt>
                          <w:sdtPr>
                            <w:alias w:val="27.5.2.2 pp."/>
                            <w:tag w:val="part_057a0c36be0c478b829f9ac2c11911cc"/>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0"/>
                                </w:rPr>
                              </w:pPr>
                              <w:sdt>
                                <w:sdtPr>
                                  <w:alias w:val="Numeris"/>
                                  <w:tag w:val="nr_057a0c36be0c478b829f9ac2c11911cc"/>
                                  <w:lock w:val="sdtLocked"/>
                                  <w:richText/>
                                </w:sdtPr>
                                <w:sdtContent>
                                  <w:r>
                                    <w:rPr>
                                      <w:bCs/>
                                      <w:color w:val="000000"/>
                                      <w:szCs w:val="24"/>
                                      <w:lang w:eastAsia="lt-LT"/>
                                    </w:rPr>
                                    <w:t>27.5.2.2</w:t>
                                  </w:r>
                                </w:sdtContent>
                              </w:sdt>
                              <w:r>
                                <w:rPr>
                                  <w:bCs/>
                                  <w:color w:val="000000"/>
                                  <w:szCs w:val="24"/>
                                  <w:lang w:eastAsia="lt-LT"/>
                                </w:rPr>
                                <w:t>. jeigu vaikų ir paauglių komandos narių aptarnaujamų vaikų skaičius viršija 8 000 prirašytų prie psichikos sveikatos centro vaikų, arba vaikų ir paauglių psichiatro aptarnaujamų vaikų skaičius viršija 6 000 prirašytų prie psichikos sveikatos centro vaikų, už tą dalį pirminės psichikos sveikatos priežiūros paslaugų, kuri teikiama viršijant nustatytą normatyvą, mokama pagal Aprašo 27.4 papunktyje numatytus reikalavimus.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cc5d1b78211ef88c08519262548c4">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2024-12-11,
paskelbta TAR 2024-12-11, i. k. 2024-21913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27-1 p."/>
                <w:tag w:val="part_1f91a3ffa3ba40c6a9bb43adb6db57aa"/>
                <w:lock w:val="sdtLocked"/>
                <w:richText/>
              </w:sdtPr>
              <w:sdtContent>
                <w:p>
                  <w:pPr>
                    <w:tabs>
                      <w:tab w:val="left" w:pos="1134"/>
                    </w:tabs>
                    <w:ind w:firstLine="851"/>
                    <w:jc w:val="both"/>
                    <w:rPr>
                      <w:sz w:val="20"/>
                    </w:rPr>
                  </w:pPr>
                  <w:sdt>
                    <w:sdtPr>
                      <w:alias w:val="Numeris"/>
                      <w:tag w:val="nr_1f91a3ffa3ba40c6a9bb43adb6db57aa"/>
                      <w:lock w:val="sdtLocked"/>
                      <w:richText/>
                    </w:sdtPr>
                    <w:sdtContent>
                      <w:r>
                        <w:rPr>
                          <w:rFonts w:eastAsia="Calibri"/>
                          <w:color w:val="000000"/>
                          <w:szCs w:val="24"/>
                          <w:lang w:eastAsia="lt-LT"/>
                        </w:rPr>
                        <w:t>27</w:t>
                      </w:r>
                      <w:r>
                        <w:rPr>
                          <w:rFonts w:eastAsia="Calibri"/>
                          <w:color w:val="000000"/>
                          <w:szCs w:val="24"/>
                          <w:vertAlign w:val="superscript"/>
                          <w:lang w:eastAsia="lt-LT"/>
                        </w:rPr>
                        <w:t>1</w:t>
                      </w:r>
                    </w:sdtContent>
                  </w:sdt>
                  <w:r>
                    <w:rPr>
                      <w:rFonts w:eastAsia="Calibri"/>
                      <w:color w:val="000000"/>
                      <w:szCs w:val="24"/>
                      <w:lang w:eastAsia="lt-LT"/>
                    </w:rPr>
                    <w:t>. Ne nuo metų pradžios PAASP paslaugas teikiančiai ar PAASP paslaugų teikimą einamaisiais metais nutraukusiai (nutraukusiai veiklą) įstaigai mokama suma apskaičiuojama pagal dienų, kurias PAASP paslaugos buvo teikiamos,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27-2 p."/>
                <w:tag w:val="part_7a39e086e1cd4ecd8cc5790e67f9d764"/>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2026-01-15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27-3 p."/>
                <w:tag w:val="part_b900f16eab474c878217f07a4c94a9a4"/>
                <w:lock w:val="sdtLocked"/>
                <w:richText/>
              </w:sdtPr>
              <w:sdtContent>
                <w:p>
                  <w:pPr>
                    <w:spacing w:line="259" w:lineRule="auto"/>
                    <w:ind w:firstLine="851"/>
                    <w:jc w:val="both"/>
                    <w:rPr>
                      <w:sz w:val="20"/>
                    </w:rPr>
                  </w:pPr>
                  <w:sdt>
                    <w:sdtPr>
                      <w:alias w:val="Numeris"/>
                      <w:tag w:val="nr_b900f16eab474c878217f07a4c94a9a4"/>
                      <w:lock w:val="sdtLocked"/>
                      <w:richText/>
                    </w:sdtPr>
                    <w:sdtContent>
                      <w:r>
                        <w:rPr>
                          <w:szCs w:val="24"/>
                        </w:rPr>
                        <w:t>27</w:t>
                      </w:r>
                      <w:r>
                        <w:rPr>
                          <w:szCs w:val="24"/>
                          <w:vertAlign w:val="superscript"/>
                        </w:rPr>
                        <w:t>3</w:t>
                      </w:r>
                    </w:sdtContent>
                  </w:sdt>
                  <w:r>
                    <w:rPr>
                      <w:szCs w:val="24"/>
                    </w:rPr>
                    <w:t>. Šeimos gydytojo komandos narių (ne gydytojų) ir šeimos gydytojų ir (ar) PAASP paslaugas teikiančių vidaus ligų gydytojų bei vaikų ligų gydytojų etatų santykis vertinamas pagal PAASP įstaigų bazinio mokėjimo už pirminės ambulatorinės asmens sveikatos priežiūros paslaugas ataskaitų (forma Nr. 01-PAASP, patvirtinta Valstybinės ligonių kasos prie Sveikatos apsaugos ministerijos direktoriaus 2007 m. birželio 1 d. įsakymu Nr. 1K-87 „Dėl Bazinio mokėjimo už pirminės ambulatorinės asmens sveikatos priežiūros paslaugas ataskaitos formos patvirtinimo“), pateiktų VLK, duomenis. Ataskaitose turi būti nurodyti etatai tik tų šeimos gydytojų komandos narių, kurie dirba kartu su šeimos gydytojais ir vykdo funkcijas, nurodytas Aprašo 2 priede. Skaičiuojant šeimos gydytojo komandos narių (ne gydytojų ir gydytojo) etatų santykį, vertinami kiekvieno šeimos gydytojo komandos nario (ne gydytojo) etatai, kurių skaičius neviršija Aprašo 4 punkte nustatytų šių specialistų etatų</w:t>
                  </w:r>
                  <w:r>
                    <w:rPr>
                      <w:bCs/>
                      <w:szCs w:val="24"/>
                    </w:rPr>
                    <w:t xml:space="preserve">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4d484858911efabdbb4a1fc8b0b63">
                    <w:r w:rsidRPr="00532B9F">
                      <w:rPr>
                        <w:rFonts w:ascii="Times New Roman" w:eastAsia="MS Mincho" w:hAnsi="Times New Roman"/>
                        <w:sz w:val="20"/>
                        <w:i/>
                        <w:iCs/>
                        <w:color w:val="0000FF" w:themeColor="hyperlink"/>
                        <w:u w:val="single"/>
                      </w:rPr>
                      <w:t>V-981</w:t>
                    </w:r>
                  </w:fldSimple>
                  <w:r>
                    <w:rPr>
                      <w:rFonts w:ascii="Times New Roman" w:eastAsia="MS Mincho" w:hAnsi="Times New Roman"/>
                      <w:sz w:val="20"/>
                      <w:i/>
                      <w:iCs/>
                    </w:rPr>
                    <w:t>,
2024-10-08,
paskelbta TAR 2024-10-08, i. k. 2024-17662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2967635fc11f08fdabd4950271e2c">
                    <w:r w:rsidRPr="00532B9F">
                      <w:rPr>
                        <w:rFonts w:ascii="Times New Roman" w:eastAsia="MS Mincho" w:hAnsi="Times New Roman"/>
                        <w:sz w:val="20"/>
                        <w:i/>
                        <w:iCs/>
                        <w:color w:val="0000FF" w:themeColor="hyperlink"/>
                        <w:u w:val="single"/>
                      </w:rPr>
                      <w:t>V-487</w:t>
                    </w:r>
                  </w:fldSimple>
                  <w:r>
                    <w:rPr>
                      <w:rFonts w:ascii="Times New Roman" w:eastAsia="MS Mincho" w:hAnsi="Times New Roman"/>
                      <w:sz w:val="20"/>
                      <w:i/>
                      <w:iCs/>
                    </w:rPr>
                    <w:t>,
2025-05-21,
paskelbta TAR 2025-05-21, i. k. 2025-08959            </w:t>
                  </w:r>
                </w:p>
                <w:p/>
              </w:sdtContent>
            </w:sdt>
            <w:sdt>
              <w:sdtPr>
                <w:alias w:val="28 p."/>
                <w:tag w:val="part_7cd2eb71ca6445e7a3ddee6b163d7940"/>
                <w:lock w:val="sdtLocked"/>
                <w:richText/>
              </w:sdtPr>
              <w:sdtContent>
                <w:p>
                  <w:pPr>
                    <w:ind w:firstLine="844"/>
                    <w:jc w:val="both"/>
                    <w:rPr>
                      <w:szCs w:val="24"/>
                    </w:rPr>
                  </w:pPr>
                  <w:sdt>
                    <w:sdtPr>
                      <w:alias w:val="Numeris"/>
                      <w:tag w:val="nr_7cd2eb71ca6445e7a3ddee6b163d7940"/>
                      <w:lock w:val="sdtLocked"/>
                      <w:richText/>
                    </w:sdtPr>
                    <w:sdtContent>
                      <w:r>
                        <w:rPr>
                          <w:szCs w:val="24"/>
                        </w:rPr>
                        <w:t>28</w:t>
                      </w:r>
                    </w:sdtContent>
                  </w:sdt>
                  <w:r>
                    <w:rPr>
                      <w:szCs w:val="24"/>
                    </w:rPr>
                    <w:t>.</w:t>
                  </w:r>
                  <w:r>
                    <w:rPr>
                      <w:b/>
                      <w:bCs/>
                      <w:color w:val="000000"/>
                      <w:szCs w:val="24"/>
                      <w:lang w:eastAsia="lt-LT"/>
                    </w:rPr>
                    <w:t xml:space="preserve"> </w:t>
                  </w:r>
                  <w:r>
                    <w:rPr>
                      <w:szCs w:val="24"/>
                    </w:rPr>
                    <w:t>Metinio bazinio mokėjimo už vieno šeimos gydytojo (arba vidaus ligų, arba vaikų ligų gydytojo) aptarnaujamam prirašytajam gyventojui tenkančias PAASP paslaugas suma didinama:</w:t>
                  </w:r>
                </w:p>
                <w:sdt>
                  <w:sdtPr>
                    <w:alias w:val="28.1 pp."/>
                    <w:tag w:val="part_5f0a4b8c068a4f4fab661f1419596749"/>
                    <w:lock w:val="sdtLocked"/>
                    <w:richText/>
                  </w:sdtPr>
                  <w:sdtContent>
                    <w:p>
                      <w:pPr>
                        <w:tabs>
                          <w:tab w:val="left" w:pos="1418"/>
                        </w:tabs>
                        <w:ind w:firstLine="906"/>
                        <w:jc w:val="both"/>
                        <w:rPr>
                          <w:szCs w:val="24"/>
                        </w:rPr>
                      </w:pPr>
                      <w:sdt>
                        <w:sdtPr>
                          <w:alias w:val="Numeris"/>
                          <w:tag w:val="nr_5f0a4b8c068a4f4fab661f1419596749"/>
                          <w:lock w:val="sdtLocked"/>
                          <w:richText/>
                        </w:sdtPr>
                        <w:sdtContent>
                          <w:r>
                            <w:rPr>
                              <w:szCs w:val="24"/>
                            </w:rPr>
                            <w:t>28.1</w:t>
                          </w:r>
                        </w:sdtContent>
                      </w:sdt>
                      <w:r>
                        <w:rPr>
                          <w:szCs w:val="24"/>
                        </w:rPr>
                        <w:t>. už kiekvieną aptarnaujamą kaimo gyvenamųjų vietovių ir miestų, kurių gyventojų skaičius neviršija 3 tūkstančių (toliau – kaimas), prirašytąjį gyventoją;</w:t>
                      </w:r>
                    </w:p>
                  </w:sdtContent>
                </w:sdt>
                <w:sdt>
                  <w:sdtPr>
                    <w:alias w:val="28.2 pp."/>
                    <w:tag w:val="part_badd1611aee740bc907e37a2d749b641"/>
                    <w:lock w:val="sdtLocked"/>
                    <w:richText/>
                  </w:sdtPr>
                  <w:sdtContent>
                    <w:p>
                      <w:pPr>
                        <w:ind w:firstLine="844"/>
                        <w:jc w:val="both"/>
                        <w:rPr>
                          <w:szCs w:val="24"/>
                        </w:rPr>
                      </w:pPr>
                      <w:sdt>
                        <w:sdtPr>
                          <w:alias w:val="Numeris"/>
                          <w:tag w:val="nr_badd1611aee740bc907e37a2d749b641"/>
                          <w:lock w:val="sdtLocked"/>
                          <w:richText/>
                        </w:sdtPr>
                        <w:sdtContent>
                          <w:r>
                            <w:rPr>
                              <w:szCs w:val="24"/>
                            </w:rPr>
                            <w:t>28.2</w:t>
                          </w:r>
                        </w:sdtContent>
                      </w:sdt>
                      <w:r>
                        <w:rPr>
                          <w:szCs w:val="24"/>
                        </w:rPr>
                        <w:t>. už kiekvieną prirašytą prie šeimos gydytojo gyventoją (ši nuostata netaikoma, jeigu paslaugas teikia vidaus ligų ar vaikų ligų gydytojas);</w:t>
                      </w:r>
                    </w:p>
                  </w:sdtContent>
                </w:sdt>
                <w:sdt>
                  <w:sdtPr>
                    <w:alias w:val="28.3 pp."/>
                    <w:tag w:val="part_89590d94d7274d19a840881a05307e1b"/>
                    <w:lock w:val="sdtLocked"/>
                    <w:richText/>
                  </w:sdtPr>
                  <w:sdtContent>
                    <w:p>
                      <w:pPr>
                        <w:ind w:firstLine="844"/>
                        <w:jc w:val="both"/>
                        <w:rPr>
                          <w:szCs w:val="24"/>
                        </w:rPr>
                      </w:pPr>
                      <w:sdt>
                        <w:sdtPr>
                          <w:alias w:val="Numeris"/>
                          <w:tag w:val="nr_89590d94d7274d19a840881a05307e1b"/>
                          <w:lock w:val="sdtLocked"/>
                          <w:richText/>
                        </w:sdtPr>
                        <w:sdtContent>
                          <w:r>
                            <w:rPr>
                              <w:szCs w:val="24"/>
                            </w:rPr>
                            <w:t>28.3</w:t>
                          </w:r>
                        </w:sdtContent>
                      </w:sdt>
                      <w:r>
                        <w:rPr>
                          <w:szCs w:val="24"/>
                        </w:rPr>
                        <w:t>. už kiekvieną prirašytą prie šeimos gydytojo (arba vidaus ligų, arba vaikų ligų gydytojo) gyventoją, turintį specialųjį nuolatinės slaugos poreikį;</w:t>
                      </w:r>
                    </w:p>
                  </w:sdtContent>
                </w:sdt>
                <w:sdt>
                  <w:sdtPr>
                    <w:alias w:val="28.4 pp."/>
                    <w:tag w:val="part_c8c5547e3541432ea26e5c2a77920e7a"/>
                    <w:lock w:val="sdtLocked"/>
                    <w:richText/>
                  </w:sdtPr>
                  <w:sdtContent>
                    <w:p>
                      <w:pPr>
                        <w:pStyle w:val="PlainText"/>
                        <w:ind w:firstLine="567"/>
                        <w:jc w:val="both"/>
                        <w:rPr>
                          <w:rFonts w:ascii="Times New Roman" w:hAnsi="Times New Roman"/>
                          <w:b/>
                          <w:bCs/>
                          <w:sz w:val="22"/>
                        </w:rPr>
                      </w:pPr>
                      <w:r>
                        <w:rPr>
                          <w:rFonts w:ascii="Times New Roman" w:hAnsi="Times New Roman"/>
                          <w:sz w:val="22"/>
                        </w:rPr>
                        <w:t>28.4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ec046c73811efa5ddd96c482819f5">
                        <w:r w:rsidRPr="00532B9F">
                          <w:rPr>
                            <w:rFonts w:ascii="Times New Roman" w:eastAsia="MS Mincho" w:hAnsi="Times New Roman"/>
                            <w:sz w:val="20"/>
                            <w:i/>
                            <w:iCs/>
                            <w:color w:val="0000FF" w:themeColor="hyperlink"/>
                            <w:u w:val="single"/>
                          </w:rPr>
                          <w:t>V-1380</w:t>
                        </w:r>
                      </w:fldSimple>
                      <w:r>
                        <w:rPr>
                          <w:rFonts w:ascii="Times New Roman" w:eastAsia="MS Mincho" w:hAnsi="Times New Roman"/>
                          <w:sz w:val="20"/>
                          <w:i/>
                          <w:iCs/>
                        </w:rPr>
                        <w:t>,
2024-12-31,
paskelbta TAR 2024-12-31, i. k. 2024-23553        </w:t>
                      </w:r>
                    </w:p>
                    <w:p/>
                  </w:sdtContent>
                </w:sdt>
                <w:sdt>
                  <w:sdtPr>
                    <w:alias w:val="28.5 pp."/>
                    <w:tag w:val="part_0d52214f7c56499699767640f4843623"/>
                    <w:lock w:val="sdtLocked"/>
                    <w:richText/>
                  </w:sdtPr>
                  <w:sdtContent>
                    <w:p>
                      <w:pPr>
                        <w:ind w:firstLine="868"/>
                        <w:jc w:val="both"/>
                        <w:rPr>
                          <w:szCs w:val="24"/>
                        </w:rPr>
                      </w:pPr>
                      <w:sdt>
                        <w:sdtPr>
                          <w:alias w:val="Numeris"/>
                          <w:tag w:val="nr_0d52214f7c56499699767640f4843623"/>
                          <w:lock w:val="sdtLocked"/>
                          <w:richText/>
                        </w:sdtPr>
                        <w:sdtContent>
                          <w:r>
                            <w:rPr>
                              <w:szCs w:val="24"/>
                            </w:rPr>
                            <w:t>28.5</w:t>
                          </w:r>
                        </w:sdtContent>
                      </w:sdt>
                      <w:r>
                        <w:rPr>
                          <w:szCs w:val="24"/>
                        </w:rPr>
                        <w:t>. už kiekvieną prirašytą prie PAASP įstaigos gyventoją, jeigu PAASP įstaiga akredituota teikti šeimos gydytojo paslaugą Akreditavimo sveikatos priežiūrai nuostatų, patvirtintų Lietuvos Respublikos sveikatos apsaugos ministro 1999 m. birželio 7 d. įsakymu Nr. 280 „Dėl Akreditavimo sveikatos priežiūrai nuostatų patvirtinimo“, nustatyta tvarka PAASP įstaigos akreditavimo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ec620447e11e8ad2f97b2a095557a">
                    <w:r w:rsidRPr="00532B9F">
                      <w:rPr>
                        <w:rFonts w:ascii="Times New Roman" w:eastAsia="MS Mincho" w:hAnsi="Times New Roman"/>
                        <w:sz w:val="20"/>
                        <w:i/>
                        <w:iCs/>
                        <w:color w:val="0000FF" w:themeColor="hyperlink"/>
                        <w:u w:val="single"/>
                      </w:rPr>
                      <w:t>V-468</w:t>
                    </w:r>
                  </w:fldSimple>
                  <w:r>
                    <w:rPr>
                      <w:rFonts w:ascii="Times New Roman" w:eastAsia="MS Mincho" w:hAnsi="Times New Roman"/>
                      <w:sz w:val="20"/>
                      <w:i/>
                      <w:iCs/>
                    </w:rPr>
                    <w:t>,
2018-04-19,
paskelbta TAR 2018-04-20, i. k. 2018-06353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e79540a9fa11e9964cdd77475976b0">
                    <w:r w:rsidRPr="00532B9F">
                      <w:rPr>
                        <w:rFonts w:ascii="Times New Roman" w:eastAsia="MS Mincho" w:hAnsi="Times New Roman"/>
                        <w:sz w:val="20"/>
                        <w:i/>
                        <w:iCs/>
                        <w:color w:val="0000FF" w:themeColor="hyperlink"/>
                        <w:u w:val="single"/>
                      </w:rPr>
                      <w:t>V-856</w:t>
                    </w:r>
                  </w:fldSimple>
                  <w:r>
                    <w:rPr>
                      <w:rFonts w:ascii="Times New Roman" w:eastAsia="MS Mincho" w:hAnsi="Times New Roman"/>
                      <w:sz w:val="20"/>
                      <w:i/>
                      <w:iCs/>
                    </w:rPr>
                    <w:t>,
2019-07-18,
paskelbta TAR 2019-07-19, i. k. 2019-11922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28-1 p."/>
                <w:tag w:val="part_36d4d9729edd45aa8baa844ccb3a372f"/>
                <w:lock w:val="sdtLocked"/>
                <w:richText/>
              </w:sdtPr>
              <w:sdtContent>
                <w:p>
                  <w:pPr>
                    <w:ind w:firstLine="851"/>
                    <w:jc w:val="both"/>
                    <w:textAlignment w:val="baseline"/>
                  </w:pPr>
                  <w:sdt>
                    <w:sdtPr>
                      <w:alias w:val="Numeris"/>
                      <w:tag w:val="nr_36d4d9729edd45aa8baa844ccb3a372f"/>
                      <w:lock w:val="sdtLocked"/>
                      <w:richText/>
                    </w:sdtPr>
                    <w:sdtContent>
                      <w:r>
                        <w:rPr>
                          <w:szCs w:val="24"/>
                          <w:lang w:eastAsia="lt-LT"/>
                        </w:rPr>
                        <w:t>28</w:t>
                      </w:r>
                      <w:r>
                        <w:rPr>
                          <w:szCs w:val="24"/>
                          <w:vertAlign w:val="superscript"/>
                          <w:lang w:eastAsia="lt-LT"/>
                        </w:rPr>
                        <w:t>1</w:t>
                      </w:r>
                    </w:sdtContent>
                  </w:sdt>
                  <w:r>
                    <w:rPr>
                      <w:szCs w:val="24"/>
                      <w:lang w:eastAsia="lt-LT"/>
                    </w:rPr>
                    <w:t>. Atitinkama bazinio mokėjimo suma skiriama asmens sveikatos priežiūros įstaigai, kurioje yra įsteigtas skubiosios medicinos pagalbos kabinetas, teikiantis paslaugas ne trumpiau kaip 6 val. poilsio ir švenčių dienomis ir šiomis dienomis aptarnaujantis per dieną ne mažiau kaip 15 asmenų. Skubiosios medicinos pagalbos kabinetas turi atitikti Specialiųjų reikalavimų asmens sveikatos priežiūros įstaigos skubiosios medicinos pagalbos skyriui ir skubiosios medicinos pagalbos kabinetui apraše, patvirtintame Lietuvos Respublikos sveikatos apsaugos ministro 2010 m. gruodžio 16 d. įsakymu Nr. V-1073 „Dėl Specialiųjų reikalavimų asmens sveikatos priežiūros įstaigos skubiosios medicinos pagalbos skyriui ir skubiosios medicinos pagalbos kabinetui aprašo patvirtinimo“, nustatytus reikalavimus.</w:t>
                  </w:r>
                  <w:r>
                    <w:t xml:space="preserve"> </w:t>
                  </w:r>
                </w:p>
                <w:p>
                  <w:pPr>
                    <w:jc w:val="both"/>
                    <w:textAlignment w:val="baseline"/>
                    <w:rPr>
                      <w:szCs w:val="24"/>
                    </w:rPr>
                  </w:pPr>
                  <w:r>
                    <w:rPr>
                      <w:b/>
                      <w:i/>
                      <w:sz w:val="20"/>
                    </w:rPr>
                    <w:t>TAR pastaba</w:t>
                  </w:r>
                  <w:r>
                    <w:rPr>
                      <w:i/>
                      <w:sz w:val="20"/>
                    </w:rPr>
                    <w:t xml:space="preserve">. Punkto nuostatos taikomos </w:t>
                  </w:r>
                  <w:r>
                    <w:rPr>
                      <w:i/>
                      <w:sz w:val="20"/>
                      <w:lang w:eastAsia="lt-LT"/>
                    </w:rPr>
                    <w:t>atsiskaitant už asmens sveikatos priežiūros paslaugas, suteiktas nuo</w:t>
                  </w:r>
                  <w:r>
                    <w:rPr>
                      <w:i/>
                      <w:sz w:val="20"/>
                    </w:rPr>
                    <w:t xml:space="preserve"> 2026 m. sausio 1 d.</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3321dc9f11f08918e1adc7c5b1ec">
                    <w:r w:rsidRPr="00532B9F">
                      <w:rPr>
                        <w:rFonts w:ascii="Times New Roman" w:eastAsia="MS Mincho" w:hAnsi="Times New Roman"/>
                        <w:sz w:val="20"/>
                        <w:i/>
                        <w:iCs/>
                        <w:color w:val="0000FF" w:themeColor="hyperlink"/>
                        <w:u w:val="single"/>
                      </w:rPr>
                      <w:t>V-1181</w:t>
                    </w:r>
                  </w:fldSimple>
                  <w:r>
                    <w:rPr>
                      <w:rFonts w:ascii="Times New Roman" w:eastAsia="MS Mincho" w:hAnsi="Times New Roman"/>
                      <w:sz w:val="20"/>
                      <w:i/>
                      <w:iCs/>
                    </w:rPr>
                    <w:t>,
2025-12-19,
paskelbta TAR 2025-12-19, i. k. 2025-21996        </w:t>
                  </w:r>
                </w:p>
                <w:p/>
              </w:sdtContent>
            </w:sdt>
            <w:sdt>
              <w:sdtPr>
                <w:alias w:val="29 p."/>
                <w:tag w:val="part_d2d020afcc844dac8e22e75a4fd1464f"/>
                <w:lock w:val="sdtLocked"/>
                <w:richText/>
              </w:sdtPr>
              <w:sdtContent>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d2d020afcc844dac8e22e75a4fd1464f"/>
                      <w:lock w:val="sdtLocked"/>
                      <w:richText/>
                    </w:sdtPr>
                    <w:sdtContent>
                      <w:r>
                        <w:rPr>
                          <w:rFonts w:eastAsia="Calibri"/>
                          <w:bCs/>
                          <w:kern w:val="3"/>
                          <w:szCs w:val="28"/>
                          <w:lang w:eastAsia="lt-LT"/>
                        </w:rPr>
                        <w:t>29</w:t>
                      </w:r>
                    </w:sdtContent>
                  </w:sdt>
                  <w:r>
                    <w:rPr>
                      <w:rFonts w:eastAsia="Calibri"/>
                      <w:bCs/>
                      <w:kern w:val="3"/>
                      <w:szCs w:val="28"/>
                      <w:lang w:eastAsia="lt-LT"/>
                    </w:rPr>
                    <w:t>. Kiekvieno gyventojo, kuriam teikdami pirminės ambulatorinės psichikos sveikatos priežiūros paslaugas PAASP įstaigos sveikatos priežiūros specialistai ir (ar) kiti specialistai viršija Aprašo 7 punkto lentelės 3–10 punktuose nustatytą maksimalų prirašytųjų gyventojų skaičių, pirminės ambulatorinės psichikos sveikatos paslaugų metinė bazinė kaina mažinama 20 proc. (ši nuostata taikoma kiekvienam sveikatos priežiūros specialistui ar kitam specialistui, kurio maksimalus aptarnaujamų prirašytųjų gyventojų skaičius, tenkantis vienam etatui, yra viršijamas).</w:t>
                  </w:r>
                  <w:r>
                    <w:t xml:space="preserve"> </w:t>
                  </w:r>
                </w:p>
                <w:p>
                  <w:pPr>
                    <w:tabs>
                      <w:tab w:val="left" w:pos="426"/>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b/>
                      <w:i/>
                      <w:sz w:val="20"/>
                    </w:rPr>
                    <w:t>TAR pastaba</w:t>
                  </w:r>
                  <w:r>
                    <w:rPr>
                      <w:i/>
                      <w:sz w:val="20"/>
                    </w:rPr>
                    <w:t>. 29 punktas taikomas atsiskaitant už asmens sveikatos priežiūros paslaugas, suteiktas nuo 2025 m. liepos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a370a93711e9964cdd77475976b0">
                    <w:r w:rsidRPr="00532B9F">
                      <w:rPr>
                        <w:rFonts w:ascii="Times New Roman" w:eastAsia="MS Mincho" w:hAnsi="Times New Roman"/>
                        <w:sz w:val="20"/>
                        <w:i/>
                        <w:iCs/>
                        <w:color w:val="0000FF" w:themeColor="hyperlink"/>
                        <w:u w:val="single"/>
                      </w:rPr>
                      <w:t>V-838</w:t>
                    </w:r>
                  </w:fldSimple>
                  <w:r>
                    <w:rPr>
                      <w:rFonts w:ascii="Times New Roman" w:eastAsia="MS Mincho" w:hAnsi="Times New Roman"/>
                      <w:sz w:val="20"/>
                      <w:i/>
                      <w:iCs/>
                    </w:rPr>
                    <w:t>,
2019-07-17,
paskelbta TAR 2019-07-18, i. k. 2019-11829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856f90f02b11eb9f09e7df20500045">
                    <w:r w:rsidRPr="00532B9F">
                      <w:rPr>
                        <w:rFonts w:ascii="Times New Roman" w:eastAsia="MS Mincho" w:hAnsi="Times New Roman"/>
                        <w:sz w:val="20"/>
                        <w:i/>
                        <w:iCs/>
                        <w:color w:val="0000FF" w:themeColor="hyperlink"/>
                        <w:u w:val="single"/>
                      </w:rPr>
                      <w:t>V-1754</w:t>
                    </w:r>
                  </w:fldSimple>
                  <w:r>
                    <w:rPr>
                      <w:rFonts w:ascii="Times New Roman" w:eastAsia="MS Mincho" w:hAnsi="Times New Roman"/>
                      <w:sz w:val="20"/>
                      <w:i/>
                      <w:iCs/>
                    </w:rPr>
                    <w:t>,
2021-07-29,
paskelbta TAR 2021-07-29, i. k. 2021-16690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38abd0122811ec9f09e7df20500045">
                    <w:r w:rsidRPr="00532B9F">
                      <w:rPr>
                        <w:rFonts w:ascii="Times New Roman" w:eastAsia="MS Mincho" w:hAnsi="Times New Roman"/>
                        <w:sz w:val="20"/>
                        <w:i/>
                        <w:iCs/>
                        <w:color w:val="0000FF" w:themeColor="hyperlink"/>
                        <w:u w:val="single"/>
                      </w:rPr>
                      <w:t>V-2054</w:t>
                    </w:r>
                  </w:fldSimple>
                  <w:r>
                    <w:rPr>
                      <w:rFonts w:ascii="Times New Roman" w:eastAsia="MS Mincho" w:hAnsi="Times New Roman"/>
                      <w:sz w:val="20"/>
                      <w:i/>
                      <w:iCs/>
                    </w:rPr>
                    <w:t>,
2021-09-10,
paskelbta TAR 2021-09-10, i. k. 2021-19158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cc5d1b78211ef88c08519262548c4">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2024-12-11,
paskelbta TAR 2024-12-11, i. k. 2024-21913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cbc6663b11f0a8bbd1e98310677d">
                    <w:r w:rsidRPr="00532B9F">
                      <w:rPr>
                        <w:rFonts w:ascii="Times New Roman" w:eastAsia="MS Mincho" w:hAnsi="Times New Roman"/>
                        <w:sz w:val="20"/>
                        <w:i/>
                        <w:iCs/>
                        <w:color w:val="0000FF" w:themeColor="hyperlink"/>
                        <w:u w:val="single"/>
                      </w:rPr>
                      <w:t>V-682</w:t>
                    </w:r>
                  </w:fldSimple>
                  <w:r>
                    <w:rPr>
                      <w:rFonts w:ascii="Times New Roman" w:eastAsia="MS Mincho" w:hAnsi="Times New Roman"/>
                      <w:sz w:val="20"/>
                      <w:i/>
                      <w:iCs/>
                    </w:rPr>
                    <w:t>,
2025-07-21,
paskelbta TAR 2025-07-21, i. k. 2025-13102            </w:t>
                  </w:r>
                </w:p>
                <w:p/>
              </w:sdtContent>
            </w:sdt>
            <w:sdt>
              <w:sdtPr>
                <w:alias w:val="30 p."/>
                <w:tag w:val="part_c68f4e6eb5b94e38b1ac6afcb2437157"/>
                <w:lock w:val="sdtLocked"/>
                <w:richText/>
              </w:sdtPr>
              <w:sdtContent>
                <w:p>
                  <w:pPr>
                    <w:pStyle w:val="PlainText"/>
                    <w:ind w:firstLine="567"/>
                    <w:jc w:val="both"/>
                    <w:rPr>
                      <w:rFonts w:ascii="Times New Roman" w:hAnsi="Times New Roman"/>
                      <w:b/>
                      <w:bCs/>
                      <w:sz w:val="22"/>
                    </w:rPr>
                  </w:pPr>
                  <w:r>
                    <w:rPr>
                      <w:rFonts w:ascii="Times New Roman" w:hAnsi="Times New Roman"/>
                      <w:sz w:val="22"/>
                    </w:rPr>
                    <w:t>30</w:t>
                  </w:r>
                  <w:r>
                    <w:rPr>
                      <w:rFonts w:ascii="Times New Roman" w:hAnsi="Times New Roman"/>
                      <w:sz w:val="22"/>
                    </w:rPr>
                    <w:t>.</w:t>
                  </w:r>
                  <w:r>
                    <w:rPr>
                      <w:rFonts w:ascii="Times New Roman" w:eastAsia="MS Mincho" w:hAnsi="Times New Roman"/>
                      <w:sz w:val="20"/>
                      <w:i/>
                      <w:iCs/>
                    </w:rPr>
                    <w:t xml:space="preserve"> Neteko galios nuo 2023-12-30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31 p."/>
                <w:tag w:val="part_1a15aaee8e824816a5f493a3518f1057"/>
                <w:lock w:val="sdtLocked"/>
                <w:richText/>
              </w:sdtPr>
              <w:sdtContent>
                <w:p>
                  <w:pPr>
                    <w:ind w:firstLine="709"/>
                    <w:jc w:val="both"/>
                  </w:pPr>
                  <w:sdt>
                    <w:sdtPr>
                      <w:alias w:val="Numeris"/>
                      <w:tag w:val="nr_1a15aaee8e824816a5f493a3518f1057"/>
                      <w:lock w:val="sdtLocked"/>
                      <w:richText/>
                    </w:sdtPr>
                    <w:sdtContent>
                      <w:r>
                        <w:rPr>
                          <w:szCs w:val="24"/>
                          <w:lang w:eastAsia="lt-LT"/>
                        </w:rPr>
                        <w:t>31</w:t>
                      </w:r>
                    </w:sdtContent>
                  </w:sdt>
                  <w:r>
                    <w:rPr>
                      <w:szCs w:val="24"/>
                      <w:lang w:eastAsia="lt-LT"/>
                    </w:rPr>
                    <w:t>. PAASP paslaugos apmokamos,</w:t>
                  </w:r>
                  <w:r>
                    <w:rPr>
                      <w:color w:val="000000"/>
                      <w:sz w:val="22"/>
                      <w:szCs w:val="22"/>
                      <w:lang w:eastAsia="lt-LT"/>
                    </w:rPr>
                    <w:t xml:space="preserve"> </w:t>
                  </w:r>
                  <w:r>
                    <w:rPr>
                      <w:szCs w:val="24"/>
                      <w:lang w:eastAsia="lt-LT"/>
                    </w:rPr>
                    <w:t>vadovaujantis Asmens sveikatos priežiūros paslaugų (išskyrus aktyviojo gydymo), apmokamų Privalomojo sveikatos draudimo fondo biudžeto lėšomis, ir jų bazinių kainų sąrašu bei Privalomojo sveikatos draudimo fondo biudžeto lėšomis mokamų priedų asmens sveikatos priežiūros įstaigų teikiamoms asmens sveikatos priežiūros paslaugoms užtikrinti ir priedų prie metinio bazinio mokėjimo už pirminės ambulatorinės asmens sveikatos priežiūros paslaugas bei gerus darbo rezultatus sąrašu, patvirtintais Lietuvos Respublikos sveikatos apsaugos ministro 2022 m. lapkričio 3 d. įsakymu Nr. V</w:t>
                    <w:noBreakHyphen/>
                    <w:t>1630 „Dėl asmens sveikatos priežiūros paslaugų ir jų bazinių kainų sąrašo bei su šiomis paslaugomis susijusių priedų, mokamų Privalomojo sveikatos draudimo fondo biudžeto lėšomis, sąrašų patvirtinimo“, metinio bazinio mokėjimo lėšomis (už prirašytą gyventoją), skatinamaisiais priedais, papildomomis lėšomis, skiriamomis už gerus PAASP rezultatus, papildomomis lėšomis, skiriamomis Aprašo 28 punkte nurodytais atvejais, taip pat lėšomis, skiriamomis už Europos Sąjungos apdraustųjų valstybiniu sveikatos draudimu, asmens sveikatos priežiūros įstaigai pateikusių S2 arba E112 formas, apsilankymus pas šeimos gydytoją dėl PAASP paslaugų, lėšomis, skiriamomis už prevencinėse programose numatytas PAASP paslaugas, bei bazinio mokėjimo lėšomis, skiriamomis įstaigai, kurioje yra įsteigtas skubiosios medicinos pagalbos kabinetas.</w:t>
                  </w:r>
                  <w:r>
                    <w:t xml:space="preserve"> </w:t>
                  </w:r>
                </w:p>
                <w:p>
                  <w:pPr>
                    <w:jc w:val="both"/>
                    <w:rPr>
                      <w:szCs w:val="24"/>
                    </w:rPr>
                  </w:pPr>
                  <w:r>
                    <w:rPr>
                      <w:b/>
                      <w:i/>
                      <w:sz w:val="20"/>
                    </w:rPr>
                    <w:t>TAR pastaba</w:t>
                  </w:r>
                  <w:r>
                    <w:rPr>
                      <w:i/>
                      <w:sz w:val="20"/>
                    </w:rPr>
                    <w:t xml:space="preserve">. Punkto nuostatos taikomos </w:t>
                  </w:r>
                  <w:r>
                    <w:rPr>
                      <w:i/>
                      <w:sz w:val="20"/>
                      <w:lang w:eastAsia="lt-LT"/>
                    </w:rPr>
                    <w:t>atsiskaitant už asmens sveikatos priežiūros paslaugas, suteiktas nuo</w:t>
                  </w:r>
                  <w:r>
                    <w:rPr>
                      <w:i/>
                      <w:sz w:val="20"/>
                    </w:rPr>
                    <w:t xml:space="preserve"> 2026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ec620447e11e8ad2f97b2a095557a">
                    <w:r w:rsidRPr="00532B9F">
                      <w:rPr>
                        <w:rFonts w:ascii="Times New Roman" w:eastAsia="MS Mincho" w:hAnsi="Times New Roman"/>
                        <w:sz w:val="20"/>
                        <w:i/>
                        <w:iCs/>
                        <w:color w:val="0000FF" w:themeColor="hyperlink"/>
                        <w:u w:val="single"/>
                      </w:rPr>
                      <w:t>V-468</w:t>
                    </w:r>
                  </w:fldSimple>
                  <w:r>
                    <w:rPr>
                      <w:rFonts w:ascii="Times New Roman" w:eastAsia="MS Mincho" w:hAnsi="Times New Roman"/>
                      <w:sz w:val="20"/>
                      <w:i/>
                      <w:iCs/>
                    </w:rPr>
                    <w:t>,
2018-04-19,
paskelbta TAR 2018-04-20, i. k. 2018-06353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e79540a9fa11e9964cdd77475976b0">
                    <w:r w:rsidRPr="00532B9F">
                      <w:rPr>
                        <w:rFonts w:ascii="Times New Roman" w:eastAsia="MS Mincho" w:hAnsi="Times New Roman"/>
                        <w:sz w:val="20"/>
                        <w:i/>
                        <w:iCs/>
                        <w:color w:val="0000FF" w:themeColor="hyperlink"/>
                        <w:u w:val="single"/>
                      </w:rPr>
                      <w:t>V-856</w:t>
                    </w:r>
                  </w:fldSimple>
                  <w:r>
                    <w:rPr>
                      <w:rFonts w:ascii="Times New Roman" w:eastAsia="MS Mincho" w:hAnsi="Times New Roman"/>
                      <w:sz w:val="20"/>
                      <w:i/>
                      <w:iCs/>
                    </w:rPr>
                    <w:t>,
2019-07-18,
paskelbta TAR 2019-07-19, i. k. 2019-11922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3321dc9f11f08918e1adc7c5b1ec">
                    <w:r w:rsidRPr="00532B9F">
                      <w:rPr>
                        <w:rFonts w:ascii="Times New Roman" w:eastAsia="MS Mincho" w:hAnsi="Times New Roman"/>
                        <w:sz w:val="20"/>
                        <w:i/>
                        <w:iCs/>
                        <w:color w:val="0000FF" w:themeColor="hyperlink"/>
                        <w:u w:val="single"/>
                      </w:rPr>
                      <w:t>V-1181</w:t>
                    </w:r>
                  </w:fldSimple>
                  <w:r>
                    <w:rPr>
                      <w:rFonts w:ascii="Times New Roman" w:eastAsia="MS Mincho" w:hAnsi="Times New Roman"/>
                      <w:sz w:val="20"/>
                      <w:i/>
                      <w:iCs/>
                    </w:rPr>
                    <w:t>,
2025-12-19,
paskelbta TAR 2025-12-19, i. k. 2025-21996            </w:t>
                  </w:r>
                </w:p>
                <w:p/>
              </w:sdtContent>
            </w:sdt>
            <w:sdt>
              <w:sdtPr>
                <w:alias w:val="32 p."/>
                <w:tag w:val="part_7b384c02bb8649569fc013e1614574e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631d08ab111eab005936df725feed">
                    <w:r w:rsidRPr="00532B9F">
                      <w:rPr>
                        <w:rFonts w:ascii="Times New Roman" w:eastAsia="MS Mincho" w:hAnsi="Times New Roman"/>
                        <w:sz w:val="20"/>
                        <w:i/>
                        <w:iCs/>
                        <w:color w:val="0000FF" w:themeColor="hyperlink"/>
                        <w:u w:val="single"/>
                      </w:rPr>
                      <w:t>V-1015</w:t>
                    </w:r>
                  </w:fldSimple>
                  <w:r>
                    <w:rPr>
                      <w:rFonts w:ascii="Times New Roman" w:eastAsia="MS Mincho" w:hAnsi="Times New Roman"/>
                      <w:sz w:val="20"/>
                      <w:i/>
                      <w:iCs/>
                    </w:rPr>
                    <w:t>,
2020-04-29,
paskelbta TAR 2020-04-30, i. k. 2020-09150        </w:t>
                  </w:r>
                </w:p>
                <w:p/>
              </w:sdtContent>
            </w:sdt>
            <w:sdt>
              <w:sdtPr>
                <w:alias w:val="33 p."/>
                <w:tag w:val="part_33b361844bd24b26ba8cbf33b84953c1"/>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2023-01-07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1ec620447e11e8ad2f97b2a095557a">
                    <w:r w:rsidRPr="00532B9F">
                      <w:rPr>
                        <w:rFonts w:ascii="Times New Roman" w:eastAsia="MS Mincho" w:hAnsi="Times New Roman"/>
                        <w:sz w:val="20"/>
                        <w:i/>
                        <w:iCs/>
                        <w:color w:val="0000FF" w:themeColor="hyperlink"/>
                        <w:u w:val="single"/>
                      </w:rPr>
                      <w:t>V-468</w:t>
                    </w:r>
                  </w:fldSimple>
                  <w:r>
                    <w:rPr>
                      <w:rFonts w:ascii="Times New Roman" w:eastAsia="MS Mincho" w:hAnsi="Times New Roman"/>
                      <w:sz w:val="20"/>
                      <w:i/>
                      <w:iCs/>
                    </w:rPr>
                    <w:t>,
2018-04-19,
paskelbta TAR 2018-04-20, i. k. 2018-06353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e79540a9fa11e9964cdd77475976b0">
                    <w:r w:rsidRPr="00532B9F">
                      <w:rPr>
                        <w:rFonts w:ascii="Times New Roman" w:eastAsia="MS Mincho" w:hAnsi="Times New Roman"/>
                        <w:sz w:val="20"/>
                        <w:i/>
                        <w:iCs/>
                        <w:color w:val="0000FF" w:themeColor="hyperlink"/>
                        <w:u w:val="single"/>
                      </w:rPr>
                      <w:t>V-856</w:t>
                    </w:r>
                  </w:fldSimple>
                  <w:r>
                    <w:rPr>
                      <w:rFonts w:ascii="Times New Roman" w:eastAsia="MS Mincho" w:hAnsi="Times New Roman"/>
                      <w:sz w:val="20"/>
                      <w:i/>
                      <w:iCs/>
                    </w:rPr>
                    <w:t>,
2019-07-18,
paskelbta TAR 2019-07-19, i. k. 2019-11922            </w:t>
                  </w:r>
                </w:p>
                <w:p/>
              </w:sdtContent>
            </w:sdt>
            <w:sdt>
              <w:sdtPr>
                <w:alias w:val="34 p."/>
                <w:tag w:val="part_759ba2d4b6894073a8d00830970db6fd"/>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2023-01-07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34-1 p."/>
                <w:tag w:val="part_774cbe8e033341cc8eeded4e70b7a6b5"/>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2024-10-09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4d484858911efabdbb4a1fc8b0b63">
                    <w:r w:rsidRPr="00532B9F">
                      <w:rPr>
                        <w:rFonts w:ascii="Times New Roman" w:eastAsia="MS Mincho" w:hAnsi="Times New Roman"/>
                        <w:sz w:val="20"/>
                        <w:i/>
                        <w:iCs/>
                        <w:color w:val="0000FF" w:themeColor="hyperlink"/>
                        <w:u w:val="single"/>
                      </w:rPr>
                      <w:t>V-981</w:t>
                    </w:r>
                  </w:fldSimple>
                  <w:r>
                    <w:rPr>
                      <w:rFonts w:ascii="Times New Roman" w:eastAsia="MS Mincho" w:hAnsi="Times New Roman"/>
                      <w:sz w:val="20"/>
                      <w:i/>
                      <w:iCs/>
                    </w:rPr>
                    <w:t>,
2024-10-08,
paskelbta TAR 2024-10-08, i. k. 2024-17662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204c60ed6c11eca1d4e3c2a811665d">
                    <w:r w:rsidRPr="00532B9F">
                      <w:rPr>
                        <w:rFonts w:ascii="Times New Roman" w:eastAsia="MS Mincho" w:hAnsi="Times New Roman"/>
                        <w:sz w:val="20"/>
                        <w:i/>
                        <w:iCs/>
                        <w:color w:val="0000FF" w:themeColor="hyperlink"/>
                        <w:u w:val="single"/>
                      </w:rPr>
                      <w:t>V-1075</w:t>
                    </w:r>
                  </w:fldSimple>
                  <w:r>
                    <w:rPr>
                      <w:rFonts w:ascii="Times New Roman" w:eastAsia="MS Mincho" w:hAnsi="Times New Roman"/>
                      <w:sz w:val="20"/>
                      <w:i/>
                      <w:iCs/>
                    </w:rPr>
                    <w:t>,
2022-06-16,
paskelbta TAR 2022-06-16, i. k. 2022-12916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317508db711ed8df094f359a60216">
                    <w:r w:rsidRPr="00532B9F">
                      <w:rPr>
                        <w:rFonts w:ascii="Times New Roman" w:eastAsia="MS Mincho" w:hAnsi="Times New Roman"/>
                        <w:sz w:val="20"/>
                        <w:i/>
                        <w:iCs/>
                        <w:color w:val="0000FF" w:themeColor="hyperlink"/>
                        <w:u w:val="single"/>
                      </w:rPr>
                      <w:t>V-17</w:t>
                    </w:r>
                  </w:fldSimple>
                  <w:r>
                    <w:rPr>
                      <w:rFonts w:ascii="Times New Roman" w:eastAsia="MS Mincho" w:hAnsi="Times New Roman"/>
                      <w:sz w:val="20"/>
                      <w:i/>
                      <w:iCs/>
                    </w:rPr>
                    <w:t>,
2023-01-05,
paskelbta TAR 2023-01-06, i. k. 2023-00375            </w:t>
                  </w:r>
                </w:p>
                <w:p/>
              </w:sdtContent>
            </w:sdt>
            <w:sdt>
              <w:sdtPr>
                <w:alias w:val="34-2 p."/>
                <w:tag w:val="part_392c79a6c6d04f2f8124c5db4b9a82a9"/>
                <w:lock w:val="sdtLocked"/>
                <w:richText/>
              </w:sdtPr>
              <w:sdtContent>
                <w:p>
                  <w:pPr>
                    <w:ind w:firstLine="851"/>
                    <w:jc w:val="both"/>
                  </w:pPr>
                  <w:sdt>
                    <w:sdtPr>
                      <w:alias w:val="Numeris"/>
                      <w:tag w:val="nr_392c79a6c6d04f2f8124c5db4b9a82a9"/>
                      <w:lock w:val="sdtLocked"/>
                      <w:richText/>
                    </w:sdtPr>
                    <w:sdtContent>
                      <w:r>
                        <w:rPr>
                          <w:rFonts w:eastAsia="Calibri"/>
                          <w:color w:val="000000"/>
                          <w:szCs w:val="24"/>
                        </w:rPr>
                        <w:t>34</w:t>
                      </w:r>
                      <w:r>
                        <w:rPr>
                          <w:rFonts w:eastAsia="Calibri"/>
                          <w:color w:val="000000"/>
                          <w:szCs w:val="24"/>
                          <w:vertAlign w:val="superscript"/>
                        </w:rPr>
                        <w:t>2</w:t>
                      </w:r>
                    </w:sdtContent>
                  </w:sdt>
                  <w:r>
                    <w:rPr>
                      <w:rFonts w:eastAsia="Calibri"/>
                      <w:color w:val="000000"/>
                      <w:szCs w:val="24"/>
                    </w:rPr>
                    <w:t xml:space="preserve">. </w:t>
                  </w:r>
                  <w:r>
                    <w:rPr>
                      <w:color w:val="000000"/>
                      <w:szCs w:val="24"/>
                    </w:rPr>
                    <w:t>Skatinamasis priedas nuo 2024 m. gegužės 1 d. iki 2025 m. balandžio 30 d. mokamas tik toms PAASP įstaigoms, kuriose buvo vykdomas Šeimų lankymo, teikiant ankstyvosios intervencijos paslaugas, modelio įdiegimo bandomasis projektas, finansuojamas 2014–2021 m. Europos ekonominės erdvės finansinio mechanizmo programos „Sveikata“ lėšomis (toliau – Šeimų lankymo, teikiant ankstyvosios intervencijos paslaugas, projektas). PSDF biudžeto lėšomis mokama už ambulatorinės slaugos ir akušerijos ankstyvosios intervencijos paslaugų šeimoms teikimą, siekiant užtikrinti Šeimų lankymo, teikiant ankstyvosios intervencijos paslaugas, projekto įgyvendinimo tęstinumą tokia apimtimi ir sąlygomis, kokiomis buvo vykdomas šis projektas.</w:t>
                  </w:r>
                  <w:r>
                    <w:t xml:space="preserve"> </w:t>
                  </w:r>
                </w:p>
                <w:p>
                  <w:pPr>
                    <w:jc w:val="both"/>
                    <w:rPr>
                      <w:szCs w:val="24"/>
                    </w:rPr>
                  </w:pPr>
                  <w:r>
                    <w:rPr>
                      <w:b/>
                      <w:i/>
                      <w:sz w:val="20"/>
                    </w:rPr>
                    <w:t>TAR pastaba</w:t>
                  </w:r>
                  <w:r>
                    <w:rPr>
                      <w:i/>
                      <w:sz w:val="20"/>
                    </w:rPr>
                    <w:t xml:space="preserve">: </w:t>
                  </w:r>
                  <w:r>
                    <w:rPr>
                      <w:rFonts w:eastAsia="Calibri"/>
                      <w:i/>
                      <w:color w:val="000000"/>
                      <w:sz w:val="20"/>
                    </w:rPr>
                    <w:t xml:space="preserve">punkto nuostatos taikomas atsiskaitant už </w:t>
                  </w:r>
                  <w:r>
                    <w:rPr>
                      <w:i/>
                      <w:color w:val="000000"/>
                      <w:sz w:val="20"/>
                    </w:rPr>
                    <w:t>ambulatorinės slaugos ir akušerijos ankstyvosios intervencijos paslaugas šeimoms</w:t>
                  </w:r>
                  <w:r>
                    <w:rPr>
                      <w:rFonts w:eastAsia="Calibri"/>
                      <w:i/>
                      <w:color w:val="000000"/>
                      <w:sz w:val="20"/>
                    </w:rPr>
                    <w:t>, suteiktas nuo 2024 m. gegužės 1 d</w:t>
                  </w:r>
                  <w:r>
                    <w:rPr>
                      <w:rFonts w:eastAsia="Calibri"/>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3da4a0218e11efbdaea558de59136c">
                    <w:r w:rsidRPr="00532B9F">
                      <w:rPr>
                        <w:rFonts w:ascii="Times New Roman" w:eastAsia="MS Mincho" w:hAnsi="Times New Roman"/>
                        <w:sz w:val="20"/>
                        <w:i/>
                        <w:iCs/>
                        <w:color w:val="0000FF" w:themeColor="hyperlink"/>
                        <w:u w:val="single"/>
                      </w:rPr>
                      <w:t>V-606</w:t>
                    </w:r>
                  </w:fldSimple>
                  <w:r>
                    <w:rPr>
                      <w:rFonts w:ascii="Times New Roman" w:eastAsia="MS Mincho" w:hAnsi="Times New Roman"/>
                      <w:sz w:val="20"/>
                      <w:i/>
                      <w:iCs/>
                    </w:rPr>
                    <w:t>,
2024-06-03,
paskelbta TAR 2024-06-03, i. k. 2024-10082        </w:t>
                  </w:r>
                </w:p>
                <w:p/>
              </w:sdtContent>
            </w:sdt>
          </w:sdtContent>
        </w:sdt>
        <w:sdt>
          <w:sdtPr>
            <w:alias w:val="skyrius"/>
            <w:tag w:val="part_de940932db58403fab3c2ad1fa4f8e7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e940932db58403fab3c2ad1fa4f8e76"/>
                  <w:lock w:val="sdtLocked"/>
                  <w:richText/>
                </w:sdtPr>
                <w:sdtContent>
                  <w:r>
                    <w:rPr>
                      <w:b/>
                      <w:szCs w:val="24"/>
                      <w:lang w:eastAsia="lt-LT"/>
                    </w:rPr>
                    <w:t>IV</w:t>
                  </w:r>
                </w:sdtContent>
              </w:sdt>
              <w:r>
                <w:rPr>
                  <w:b/>
                  <w:szCs w:val="24"/>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e940932db58403fab3c2ad1fa4f8e76"/>
                  <w:lock w:val="sdtLocked"/>
                  <w:richText/>
                </w:sdtPr>
                <w:sdtContent>
                  <w:r>
                    <w:rPr>
                      <w:b/>
                      <w:szCs w:val="24"/>
                      <w:lang w:eastAsia="lt-LT"/>
                    </w:rPr>
                    <w:t>PAASP PASLAUGOS, UŽ KURIAS MOKAMAS SKATINAMASIS PRIEDAS, IR ŠIŲ PASLAUGŲ TEIKIMO BEI APMOKĖJIMO PSDF BIUDŽETO LĖŠOMIS SĄLYGOS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b/>
                  <w:szCs w:val="24"/>
                  <w:lang w:eastAsia="lt-LT"/>
                </w:rPr>
              </w:pPr>
            </w:p>
            <w:sdt>
              <w:sdtPr>
                <w:alias w:val="35 p."/>
                <w:tag w:val="part_07af9f51c033423ea41e7aced4b4aaf5"/>
                <w:lock w:val="sdtLocked"/>
                <w:richText/>
              </w:sdtPr>
              <w:sdtContent>
                <w:p>
                  <w:pPr>
                    <w:tabs>
                      <w:tab w:val="left" w:pos="567"/>
                      <w:tab w:val="left" w:pos="709"/>
                      <w:tab w:val="left" w:pos="916"/>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ind w:firstLine="720"/>
                    <w:jc w:val="both"/>
                    <w:textAlignment w:val="baseline"/>
                    <w:rPr>
                      <w:color w:val="000000"/>
                      <w:szCs w:val="24"/>
                      <w:lang w:eastAsia="lt-LT"/>
                    </w:rPr>
                  </w:pPr>
                  <w:sdt>
                    <w:sdtPr>
                      <w:alias w:val="Numeris"/>
                      <w:tag w:val="nr_07af9f51c033423ea41e7aced4b4aaf5"/>
                      <w:lock w:val="sdtLocked"/>
                      <w:richText/>
                    </w:sdtPr>
                    <w:sdtContent>
                      <w:r>
                        <w:rPr>
                          <w:color w:val="000000"/>
                          <w:szCs w:val="24"/>
                          <w:lang w:eastAsia="lt-LT"/>
                        </w:rPr>
                        <w:t>35</w:t>
                      </w:r>
                    </w:sdtContent>
                  </w:sdt>
                  <w:r>
                    <w:rPr>
                      <w:color w:val="000000"/>
                      <w:szCs w:val="24"/>
                      <w:lang w:eastAsia="lt-LT"/>
                    </w:rPr>
                    <w:t>. PAASP paslaugų, už kurias mokamas skatinamasis priedas, teikimo ir apmokėjimo PSDF biudžeto lėšomis sąlygos:</w:t>
                  </w:r>
                </w:p>
                <w:tbl>
                  <w:tblPr>
                    <w:tblW w:w="4998" w:type="pct"/>
                    <w:tblCellMar>
                      <w:left w:w="10" w:type="dxa"/>
                      <w:right w:w="10" w:type="dxa"/>
                    </w:tblCellMar>
                    <w:tblLook w:val="0000" w:firstRow="0" w:lastRow="0" w:firstColumn="0" w:lastColumn="0" w:noHBand="0" w:noVBand="0"/>
                  </w:tblPr>
                  <w:tblGrid>
                    <w:gridCol w:w="10"/>
                    <w:gridCol w:w="988"/>
                    <w:gridCol w:w="2375"/>
                    <w:gridCol w:w="34"/>
                    <w:gridCol w:w="1702"/>
                    <w:gridCol w:w="74"/>
                    <w:gridCol w:w="4450"/>
                    <w:gridCol w:w="152"/>
                  </w:tblGrid>
                  <w:tr>
                    <w:trPr>
                      <w:trHeight w:val="1846"/>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b/>
                            <w:bCs/>
                            <w:szCs w:val="24"/>
                          </w:rPr>
                        </w:pPr>
                        <w:r>
                          <w:rPr>
                            <w:b/>
                            <w:bCs/>
                            <w:szCs w:val="24"/>
                          </w:rPr>
                          <w:t>Eil.</w:t>
                        </w:r>
                      </w:p>
                      <w:p>
                        <w:pPr>
                          <w:tabs>
                            <w:tab w:val="left" w:pos="9781"/>
                          </w:tabs>
                          <w:suppressAutoHyphens/>
                          <w:jc w:val="center"/>
                          <w:textAlignment w:val="baseline"/>
                          <w:rPr>
                            <w:b/>
                            <w:bCs/>
                            <w:szCs w:val="24"/>
                          </w:rPr>
                        </w:pPr>
                        <w:r>
                          <w:rPr>
                            <w:b/>
                            <w:bCs/>
                            <w:szCs w:val="24"/>
                          </w:rPr>
                          <w:t>Nr.</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b/>
                            <w:bCs/>
                            <w:szCs w:val="24"/>
                          </w:rPr>
                        </w:pPr>
                        <w:r>
                          <w:rPr>
                            <w:b/>
                            <w:bCs/>
                            <w:szCs w:val="24"/>
                          </w:rPr>
                          <w:t>PAASP paslaugos, už kurias mokamas skatinamasis</w:t>
                        </w:r>
                      </w:p>
                      <w:p>
                        <w:pPr>
                          <w:tabs>
                            <w:tab w:val="left" w:pos="9781"/>
                          </w:tabs>
                          <w:suppressAutoHyphens/>
                          <w:jc w:val="center"/>
                          <w:textAlignment w:val="baseline"/>
                          <w:rPr>
                            <w:b/>
                            <w:bCs/>
                            <w:szCs w:val="24"/>
                          </w:rPr>
                        </w:pPr>
                        <w:r>
                          <w:rPr>
                            <w:b/>
                            <w:bCs/>
                            <w:szCs w:val="24"/>
                          </w:rPr>
                          <w:t>priedas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b/>
                            <w:bCs/>
                            <w:szCs w:val="24"/>
                          </w:rPr>
                        </w:pPr>
                        <w:r>
                          <w:rPr>
                            <w:b/>
                            <w:bCs/>
                            <w:szCs w:val="24"/>
                          </w:rPr>
                          <w:t>PAASP paslaugų, už kurias mokamas skatinamasis priedas, skaičius per kalendorinius metus (ne daugiau nei)</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b/>
                            <w:bCs/>
                            <w:szCs w:val="24"/>
                          </w:rPr>
                        </w:pPr>
                        <w:r>
                          <w:rPr>
                            <w:b/>
                            <w:bCs/>
                            <w:szCs w:val="24"/>
                          </w:rPr>
                          <w:t>PAASP paslaugų, už kurias mokamas skatinamasis priedas, teikimo sąlygos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1.</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color w:val="000000"/>
                            <w:szCs w:val="24"/>
                          </w:rPr>
                        </w:pPr>
                        <w:r>
                          <w:rPr>
                            <w:color w:val="000000"/>
                            <w:szCs w:val="24"/>
                          </w:rPr>
                          <w:t>TYRIMAI</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Kraujo krešumo sistemos būklės ištyrimo ir įvertinimo paslauga (įskaitant tyrimo medžiagos paėmimą)</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rPr>
                          <w:t>Skiriama, kai pacientui taikomas gydymas geriamaisiais netiesioginio veikimo antikoaguliantais (</w:t>
                        </w:r>
                        <w:r>
                          <w:rPr>
                            <w:i/>
                            <w:szCs w:val="24"/>
                          </w:rPr>
                          <w:t>Warfarinum</w:t>
                        </w:r>
                        <w:r>
                          <w:rPr>
                            <w:szCs w:val="24"/>
                          </w:rPr>
                          <w:t xml:space="preserve">, </w:t>
                        </w:r>
                        <w:r>
                          <w:rPr>
                            <w:i/>
                            <w:szCs w:val="24"/>
                          </w:rPr>
                          <w:t>Acenocoumarolum</w:t>
                        </w:r>
                        <w:r>
                          <w:rPr>
                            <w:szCs w:val="24"/>
                          </w:rPr>
                          <w:t>).</w:t>
                        </w:r>
                        <w:r>
                          <w:rPr>
                            <w:b/>
                            <w:bCs/>
                            <w:szCs w:val="24"/>
                          </w:rPr>
                          <w:t xml:space="preserve"> </w:t>
                        </w:r>
                        <w:r>
                          <w:rPr>
                            <w:szCs w:val="24"/>
                          </w:rPr>
                          <w:t>Skiria ir tyrimo rezultatus įvertina šeimos medicinos paslaugas teikiantis gydytojas,</w:t>
                        </w:r>
                        <w:r>
                          <w:t xml:space="preserve"> slaugytojas </w:t>
                        </w:r>
                        <w:r>
                          <w:rPr>
                            <w:szCs w:val="24"/>
                          </w:rPr>
                          <w:t>arba išplėstinės praktikos slaugytojas.</w:t>
                        </w:r>
                        <w:r>
                          <w:rPr>
                            <w:b/>
                            <w:bCs/>
                            <w:szCs w:val="24"/>
                          </w:rPr>
                          <w:t xml:space="preserve"> </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lang w:eastAsia="lt-LT"/>
                          </w:rPr>
                          <w:t>Glikozilinto hemoglobino (toliau – HbA1c) nustatymas</w:t>
                        </w:r>
                        <w:r>
                          <w:rPr>
                            <w:szCs w:val="24"/>
                          </w:rPr>
                          <w:t>:</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shd w:val="clear" w:color="auto" w:fill="FFFFFF"/>
                          </w:rPr>
                          <w:t>HbA1c nustatymas, kai atlikto tyrimo rezultato reikšmė atitinka individualizuotą tikslinę HbA1c reikšmę</w:t>
                        </w:r>
                      </w:p>
                    </w:tc>
                    <w:tc>
                      <w:tcPr>
                        <w:tcW w:w="1776"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4</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Skiriama, kai pacientui taikomas nemedikamentinis ar medikamentinis cukrinio diabeto gydymas, vadovaujantis Cukrinio diabeto ir tarpinės hiperglikemijos diagnostikos ir gydymo vaistais, kurių įsigijimo išlaidos apmokamos Privalomojo sveikatos draudimo fondo biudžeto lėšomis, tvarkos aprašu, patvirtintu Lietuvos Respublikos sveikatos apsaugos ministro 2012 m. vasario 28 d. įsakymu Nr. V-159 „Dėl Cukrinio diabeto ir tarpinės hiperglikemijos diagnostikos ir gydymo vaistais, kurių įsigijimo išlaidos apmokamos Privalomojo sveikatos draudimo fondo biudžeto lėšomis, tvarkos aprašo patvirtinimo“. </w:t>
                        </w:r>
                      </w:p>
                      <w:p>
                        <w:pPr>
                          <w:tabs>
                            <w:tab w:val="left" w:pos="9781"/>
                          </w:tabs>
                          <w:suppressAutoHyphens/>
                          <w:textAlignment w:val="baseline"/>
                        </w:pPr>
                        <w:r>
                          <w:rPr>
                            <w:szCs w:val="24"/>
                          </w:rPr>
                          <w:t xml:space="preserve">Pakartotinai šis tyrimas skiriamas ne anksčiau kaip po 3 mėnesių nuo ankstesnio </w:t>
                        </w:r>
                        <w:r>
                          <w:rPr>
                            <w:szCs w:val="24"/>
                            <w:shd w:val="clear" w:color="auto" w:fill="FFFFFF"/>
                          </w:rPr>
                          <w:t>HbA1c</w:t>
                        </w:r>
                        <w:r>
                          <w:rPr>
                            <w:szCs w:val="24"/>
                          </w:rPr>
                          <w:t xml:space="preserve"> nustatymo tyrimo atlikimo. Skiria ir tyrimo rezultatus įvertina šeimos medicinos paslaugas teikiantis gydytojas, slaugytojas arba išplėstinės praktikos slaugytojas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shd w:val="clear" w:color="auto" w:fill="FFFFFF"/>
                          </w:rPr>
                          <w:t>HbA1c nustatymas, kai atlikto tyrimo rezultato reikšmė neatitinka individualizuotos tikslinės HbA1c reikšmės</w:t>
                        </w:r>
                      </w:p>
                    </w:tc>
                    <w:tc>
                      <w:tcPr>
                        <w:tcW w:w="1776"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Nėščiosioms atliekami tyrimai: </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nėščiosios kraujo grupės </w:t>
                        </w:r>
                      </w:p>
                      <w:p>
                        <w:pPr>
                          <w:tabs>
                            <w:tab w:val="left" w:pos="9781"/>
                          </w:tabs>
                          <w:suppressAutoHyphens/>
                          <w:textAlignment w:val="baseline"/>
                        </w:pPr>
                        <w:r>
                          <w:rPr>
                            <w:szCs w:val="24"/>
                          </w:rPr>
                          <w:t>pagal ABO antigenus ir rezus Rh (D) priklausomybės faktoriaus nustatymas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c>
                      <w:tcPr>
                        <w:tcW w:w="4602" w:type="dxa"/>
                        <w:gridSpan w:val="2"/>
                        <w:vMerge w:val="restart"/>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569"/>
                            <w:tab w:val="left" w:pos="9781"/>
                          </w:tabs>
                          <w:suppressAutoHyphens/>
                          <w:textAlignment w:val="baseline"/>
                        </w:pPr>
                        <w:r>
                          <w:rPr>
                            <w:szCs w:val="24"/>
                          </w:rPr>
                          <w:t>Teikiama namuose arba PAASP įstaigose, vadovaujantis Nėščiųjų, gimdyvių ir naujagimių sveikatos priežiūros tvarkos aprašu, patvirtintu Lietuvos Respublikos sveikatos apsaugos ministro 2013 m. rugsėjo 23 d. įsakymu Nr. V-900 „Dėl Nėščiųjų, gimdyvių ir naujagimių sveikatos priežiūros tvarkos aprašo patvirtinimo“.</w:t>
                        </w:r>
                        <w:r>
                          <w:rPr>
                            <w:kern w:val="2"/>
                            <w:sz w:val="22"/>
                            <w:szCs w:val="22"/>
                          </w:rPr>
                          <w:t xml:space="preserve"> </w:t>
                        </w:r>
                        <w:r>
                          <w:rPr>
                            <w:szCs w:val="24"/>
                          </w:rPr>
                          <w:t>Jei nustatoma besimptomė bakteriurija, tyrimas tęsiamas – atliekama antibiotikograma. Šis tyrimas atliekamas prieš siunčiant nėščiąją pas gydytoją akušerį ginekologą dėl konsultacijos.</w:t>
                        </w:r>
                      </w:p>
                      <w:p>
                        <w:pPr>
                          <w:tabs>
                            <w:tab w:val="left" w:pos="286"/>
                            <w:tab w:val="left" w:pos="9781"/>
                          </w:tabs>
                          <w:suppressAutoHyphens/>
                          <w:textAlignment w:val="baseline"/>
                          <w:rPr>
                            <w:szCs w:val="24"/>
                          </w:rPr>
                        </w:pPr>
                        <w:r>
                          <w:rPr>
                            <w:szCs w:val="24"/>
                          </w:rPr>
                          <w:t xml:space="preserve">Šlapimo pasėlio tyrimai kartojami laikantis reikalavimų, nurodytų metodiniame dokumente „Nėščiųjų besimptomės bakteriurijos diagnostikos ir gydymo metodika“, skelbiamame Sveikatos apsaugos ministerijos interneto svetainėje. </w:t>
                        </w:r>
                      </w:p>
                      <w:p>
                        <w:pPr>
                          <w:tabs>
                            <w:tab w:val="left" w:pos="286"/>
                            <w:tab w:val="left" w:pos="9781"/>
                          </w:tabs>
                          <w:suppressAutoHyphens/>
                          <w:textAlignment w:val="baseline"/>
                          <w:rPr>
                            <w:b/>
                            <w:bCs/>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nėščiosios Rh antikūnų nustatymas netiesioginiu Kumbso metodu, kai moters </w:t>
                        </w:r>
                      </w:p>
                      <w:p>
                        <w:pPr>
                          <w:tabs>
                            <w:tab w:val="left" w:pos="9781"/>
                          </w:tabs>
                          <w:suppressAutoHyphens/>
                          <w:textAlignment w:val="baseline"/>
                        </w:pPr>
                        <w:r>
                          <w:rPr>
                            <w:szCs w:val="24"/>
                          </w:rPr>
                          <w:t>Rh neigiama, o vyro Rh teigiama kraujo grupė</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tabs>
                            <w:tab w:val="left" w:pos="286"/>
                            <w:tab w:val="left" w:pos="978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nėščiosios kraujo tyrimas dėl sifilio (RPR)</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tabs>
                            <w:tab w:val="left" w:pos="286"/>
                            <w:tab w:val="left" w:pos="978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nėščiosios kraujo tyrimas dėl žmogaus imunodeficito viruso (toliau – ŽIV) antikūnų</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tabs>
                            <w:tab w:val="left" w:pos="286"/>
                            <w:tab w:val="left" w:pos="978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1.3.5</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gliukozės tolerancijos mėginio atlikimas nėščiajai</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tabs>
                            <w:tab w:val="left" w:pos="286"/>
                            <w:tab w:val="left" w:pos="978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1.3.6</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nėščiosios kraujo tyrimas dėl hepatito B (HBsAg)</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tabs>
                            <w:tab w:val="left" w:pos="286"/>
                            <w:tab w:val="left" w:pos="978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1.3.7</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nėščiosios šlapimo pasėlio tyrimas besimptomei bakteriurijai nustatyti</w:t>
                        </w:r>
                      </w:p>
                    </w:tc>
                    <w:tc>
                      <w:tcPr>
                        <w:tcW w:w="1776"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tabs>
                            <w:tab w:val="left" w:pos="286"/>
                            <w:tab w:val="left" w:pos="978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ind w:firstLine="124"/>
                          <w:textAlignment w:val="baseline"/>
                          <w:rPr>
                            <w:szCs w:val="24"/>
                          </w:rPr>
                        </w:pPr>
                        <w:r>
                          <w:rPr>
                            <w:szCs w:val="24"/>
                          </w:rPr>
                          <w:t>1.3.8</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nėščiosios šlapimo pasėlio tyrimas besimptomei bakteriurijai nustatyti ir antibiotikogramos atlikimas</w:t>
                        </w:r>
                      </w:p>
                    </w:tc>
                    <w:tc>
                      <w:tcPr>
                        <w:tcW w:w="1776"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c>
                      <w:tcPr>
                        <w:tcW w:w="4602" w:type="dxa"/>
                        <w:gridSpan w:val="2"/>
                        <w:vMerge/>
                        <w:tcBorders>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rPr>
                      <w:trHeight w:val="577"/>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widowControl w:val="0"/>
                          <w:tabs>
                            <w:tab w:val="left" w:pos="9781"/>
                          </w:tabs>
                          <w:suppressAutoHyphens/>
                          <w:jc w:val="center"/>
                          <w:textAlignment w:val="baseline"/>
                          <w:rPr>
                            <w:szCs w:val="24"/>
                          </w:rPr>
                        </w:pPr>
                        <w:r>
                          <w:rPr>
                            <w:szCs w:val="24"/>
                          </w:rPr>
                          <w:t>1.4.</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widowControl w:val="0"/>
                          <w:tabs>
                            <w:tab w:val="left" w:pos="9781"/>
                          </w:tabs>
                          <w:suppressAutoHyphens/>
                          <w:jc w:val="both"/>
                          <w:textAlignment w:val="baseline"/>
                          <w:rPr>
                            <w:szCs w:val="24"/>
                          </w:rPr>
                        </w:pPr>
                        <w:r>
                          <w:rPr>
                            <w:szCs w:val="24"/>
                          </w:rPr>
                          <w:t>Asmenų, kuriems taikomas pakaitinis palaikomasis gydymas metadonu ar buprenorfinu, kraujo tyrimai:</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widowControl w:val="0"/>
                          <w:tabs>
                            <w:tab w:val="left" w:pos="9781"/>
                          </w:tabs>
                          <w:suppressAutoHyphens/>
                          <w:jc w:val="center"/>
                          <w:textAlignment w:val="baseline"/>
                          <w:rPr>
                            <w:szCs w:val="24"/>
                          </w:rPr>
                        </w:pPr>
                        <w:r>
                          <w:rPr>
                            <w:szCs w:val="24"/>
                          </w:rPr>
                          <w:t>1.4.1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widowControl w:val="0"/>
                          <w:tabs>
                            <w:tab w:val="left" w:pos="9781"/>
                          </w:tabs>
                          <w:suppressAutoHyphens/>
                          <w:textAlignment w:val="baseline"/>
                          <w:rPr>
                            <w:szCs w:val="24"/>
                          </w:rPr>
                        </w:pPr>
                        <w:r>
                          <w:rPr>
                            <w:szCs w:val="24"/>
                          </w:rPr>
                          <w:t>serologinio sifilio atrankos testo (toliau – RPR) atlikimas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widowControl w:val="0"/>
                          <w:tabs>
                            <w:tab w:val="left" w:pos="9781"/>
                          </w:tabs>
                          <w:suppressAutoHyphens/>
                          <w:jc w:val="center"/>
                          <w:textAlignment w:val="baseline"/>
                          <w:rPr>
                            <w:szCs w:val="24"/>
                          </w:rPr>
                        </w:pPr>
                        <w:r>
                          <w:rPr>
                            <w:szCs w:val="24"/>
                          </w:rPr>
                          <w:t>1</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widowControl w:val="0"/>
                          <w:tabs>
                            <w:tab w:val="left" w:pos="9781"/>
                          </w:tabs>
                          <w:suppressAutoHyphens/>
                          <w:textAlignment w:val="baseline"/>
                        </w:pPr>
                        <w:r>
                          <w:rPr>
                            <w:szCs w:val="24"/>
                          </w:rPr>
                          <w:t xml:space="preserve">Skiria </w:t>
                        </w:r>
                        <w:r>
                          <w:rPr>
                            <w:bCs/>
                            <w:szCs w:val="24"/>
                          </w:rPr>
                          <w:t>ir tyrimo rezultatus įvertina šeimos medicinos paslaugas teikiantis</w:t>
                        </w:r>
                        <w:r>
                          <w:rPr>
                            <w:b/>
                            <w:bCs/>
                            <w:szCs w:val="24"/>
                          </w:rPr>
                          <w:t xml:space="preserve"> </w:t>
                        </w:r>
                        <w:r>
                          <w:rPr>
                            <w:szCs w:val="24"/>
                          </w:rPr>
                          <w:t>gydytojas arba gydytojas, teikiantis pirminės ambulatorinės psichikos sveikatos priežiūros paslaugas.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1.4.2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3"/>
                            <w:tab w:val="left" w:pos="366"/>
                            <w:tab w:val="left" w:pos="9781"/>
                          </w:tabs>
                          <w:suppressAutoHyphens/>
                          <w:textAlignment w:val="baseline"/>
                        </w:pPr>
                        <w:r>
                          <w:rPr>
                            <w:i/>
                            <w:szCs w:val="24"/>
                          </w:rPr>
                          <w:t>T. pallidum</w:t>
                        </w:r>
                        <w:r>
                          <w:rPr>
                            <w:szCs w:val="24"/>
                          </w:rPr>
                          <w:t xml:space="preserve"> </w:t>
                        </w:r>
                      </w:p>
                      <w:p>
                        <w:pPr>
                          <w:tabs>
                            <w:tab w:val="left" w:pos="83"/>
                            <w:tab w:val="left" w:pos="366"/>
                            <w:tab w:val="left" w:pos="9781"/>
                          </w:tabs>
                          <w:suppressAutoHyphens/>
                          <w:textAlignment w:val="baseline"/>
                          <w:rPr>
                            <w:szCs w:val="24"/>
                          </w:rPr>
                        </w:pPr>
                        <w:r>
                          <w:rPr>
                            <w:szCs w:val="24"/>
                          </w:rPr>
                          <w:t>hemagliutinacijos testo atlikimas (jei RPR testo rezultatas buvo teigiamas)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1.4.3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ŽIV serologinio </w:t>
                        </w:r>
                      </w:p>
                      <w:p>
                        <w:pPr>
                          <w:tabs>
                            <w:tab w:val="left" w:pos="9781"/>
                          </w:tabs>
                          <w:suppressAutoHyphens/>
                          <w:textAlignment w:val="baseline"/>
                          <w:rPr>
                            <w:szCs w:val="24"/>
                          </w:rPr>
                        </w:pPr>
                        <w:r>
                          <w:rPr>
                            <w:szCs w:val="24"/>
                          </w:rPr>
                          <w:t>testo atlikimas (testas neatliekamas, jei pacientui buvo diagnozuota ŽIV liga)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1.5.</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pPr>
                        <w:r>
                          <w:rPr>
                            <w:szCs w:val="24"/>
                          </w:rPr>
                          <w:t xml:space="preserve">Kraujo tyrimai, atliekami prieš planinę </w:t>
                        </w:r>
                        <w:r>
                          <w:rPr>
                            <w:color w:val="000000"/>
                            <w:szCs w:val="24"/>
                          </w:rPr>
                          <w:t>invazinę ir (ar) intervencinę procedūrą</w:t>
                        </w:r>
                        <w:r>
                          <w:rPr>
                            <w:szCs w:val="24"/>
                          </w:rPr>
                          <w:t>:</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1.5.1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protrombino laiko (PL) ir tarptautinio normalizacijos santykio (TNS) nustatymas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color w:val="000000"/>
                            <w:szCs w:val="24"/>
                          </w:rPr>
                          <w:t>Mokama tuo atveju, jei šeimos medicinos paslaugas teikiantis</w:t>
                        </w:r>
                        <w:r>
                          <w:rPr>
                            <w:b/>
                            <w:bCs/>
                            <w:color w:val="000000"/>
                            <w:szCs w:val="24"/>
                          </w:rPr>
                          <w:t xml:space="preserve"> </w:t>
                        </w:r>
                        <w:r>
                          <w:rPr>
                            <w:color w:val="000000"/>
                            <w:szCs w:val="24"/>
                          </w:rPr>
                          <w:t>gydytojas šiuos tyrimus skiria pacientui, kuriam numatyta planinė invazinė ir (ar) intervencinė procedūra.</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1.5.2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aktyvinto dalinio tromboplastino laiko (ADTL) nustatymas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rFonts w:eastAsia="Calibri"/>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1.5.3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kraujo grupės pagal ABO antigenus ir rezus Rh (D) priklausomybės faktoriaus nustatymas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rFonts w:eastAsia="Calibri"/>
                            <w:szCs w:val="24"/>
                          </w:rPr>
                        </w:pPr>
                      </w:p>
                    </w:tc>
                  </w:tr>
                  <w:tr>
                    <w:trPr>
                      <w:trHeight w:val="2174"/>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1.6.</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rPr>
                          <w:t>Tuberkulino mėginio (Mantu mėginio) atlikimas 6–7 metų vaikams ir rizikos grupių vaikams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rPr>
                          <w:t>Atliekama vadovaujantis Lietuvos Respublikos sveikatos apsaugos ministro 2002 m. rugpjūčio 6 d. įsakymu Nr. 399 „Dėl tuberkulino mėginių atlikimo ir statistinės ataskaitos formos Nr. 9 „Tuberkulino mėginių atlikimo statistinė ataskaita“ patvirtinimo“.</w:t>
                        </w:r>
                        <w:r>
                          <w:t xml:space="preserve"> </w:t>
                        </w:r>
                        <w:r>
                          <w:rPr>
                            <w:szCs w:val="24"/>
                          </w:rPr>
                          <w:t>Skiria ir tyrimo rezultatus įvertina šeimos medicinos paslaugas teikiantis gydytojas.</w:t>
                        </w:r>
                        <w:r>
                          <w:rPr>
                            <w:b/>
                            <w:bCs/>
                            <w:szCs w:val="24"/>
                          </w:rPr>
                          <w:t xml:space="preserve"> </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165"/>
                            <w:tab w:val="left" w:pos="9781"/>
                          </w:tabs>
                          <w:suppressAutoHyphens/>
                          <w:jc w:val="center"/>
                          <w:textAlignment w:val="baseline"/>
                          <w:rPr>
                            <w:szCs w:val="24"/>
                          </w:rPr>
                        </w:pPr>
                        <w:r>
                          <w:rPr>
                            <w:szCs w:val="24"/>
                          </w:rPr>
                          <w:t>1.7.</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shd w:val="clear" w:color="auto" w:fill="FFFFFF"/>
                          </w:rPr>
                        </w:pPr>
                        <w:r>
                          <w:rPr>
                            <w:szCs w:val="24"/>
                            <w:shd w:val="clear" w:color="auto" w:fill="FFFFFF"/>
                          </w:rPr>
                          <w:t>A grupės beta hemolizinio streptokoko antigeno nustatymas atliekant greitąjį testą pacientams, susirgusiems viršutinėmis kvėpavimo takų infekcinėmis ligomis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shd w:val="clear" w:color="auto" w:fill="FFFFFF"/>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shd w:val="clear" w:color="auto" w:fill="FFFFFF"/>
                          </w:rPr>
                        </w:pPr>
                        <w:r>
                          <w:rPr>
                            <w:szCs w:val="24"/>
                          </w:rPr>
                          <w:t>Mokama tuo atveju, jei šis tyrimas atliekamas asmeniui, susirgusiam ūmine viršutinių kvėpavimo takų infekcine liga (tonzilitu, faringitu). Šis tyrimas atliekamas, kai turi būti priimamas sprendimas dėl antibakterinio gydymo skyrimo tikslingumo.</w:t>
                        </w:r>
                        <w:r>
                          <w:rPr>
                            <w:b/>
                            <w:bCs/>
                            <w:szCs w:val="24"/>
                          </w:rPr>
                          <w:t xml:space="preserve"> </w:t>
                        </w:r>
                      </w:p>
                      <w:p>
                        <w:pPr>
                          <w:tabs>
                            <w:tab w:val="left" w:pos="9781"/>
                          </w:tabs>
                          <w:suppressAutoHyphens/>
                          <w:textAlignment w:val="baseline"/>
                          <w:rPr>
                            <w:szCs w:val="24"/>
                            <w:shd w:val="clear" w:color="auto" w:fill="FFFFFF"/>
                          </w:rPr>
                        </w:pPr>
                      </w:p>
                      <w:p>
                        <w:pPr>
                          <w:tabs>
                            <w:tab w:val="left" w:pos="9781"/>
                          </w:tabs>
                          <w:suppressAutoHyphens/>
                          <w:textAlignment w:val="baseline"/>
                          <w:rPr>
                            <w:szCs w:val="24"/>
                            <w:shd w:val="clear" w:color="auto" w:fill="FFFFFF"/>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r>
                          <w:rPr>
                            <w:iCs/>
                            <w:szCs w:val="24"/>
                          </w:rPr>
                          <w:t>1.8.</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color w:val="000000"/>
                            <w:szCs w:val="24"/>
                          </w:rPr>
                          <w:t>Patikra dėl hepatito C viruso infekcijos (tyrimas atliekamas iš kraujo serumo):</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rFonts w:eastAsia="Calibri"/>
                            <w:szCs w:val="24"/>
                          </w:rPr>
                          <w:t>1.8.1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color w:val="000000"/>
                            <w:szCs w:val="24"/>
                          </w:rPr>
                          <w:t>anti-HCV testo atlikimas asmenims, gimusiems 1945–1994 m. ir nepriskiriamiems rizikos grupei</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bCs/>
                            <w:szCs w:val="24"/>
                          </w:rPr>
                          <w:t>Skiria ir tyrimo rezultatus įvertina šeimos</w:t>
                        </w:r>
                        <w:r>
                          <w:rPr>
                            <w:bCs/>
                            <w:kern w:val="2"/>
                            <w:sz w:val="22"/>
                            <w:szCs w:val="22"/>
                          </w:rPr>
                          <w:t xml:space="preserve"> </w:t>
                        </w:r>
                        <w:r>
                          <w:rPr>
                            <w:bCs/>
                            <w:szCs w:val="24"/>
                          </w:rPr>
                          <w:t>medicinos paslaugas teikiantis</w:t>
                        </w:r>
                        <w:r>
                          <w:rPr>
                            <w:b/>
                            <w:bCs/>
                            <w:szCs w:val="24"/>
                          </w:rPr>
                          <w:t xml:space="preserve"> </w:t>
                        </w:r>
                        <w:r>
                          <w:rPr>
                            <w:szCs w:val="24"/>
                          </w:rPr>
                          <w:t>gydytojas.</w:t>
                        </w: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rPr>
                            <w:szCs w:val="24"/>
                          </w:rPr>
                        </w:pPr>
                        <w:r>
                          <w:rPr>
                            <w:szCs w:val="24"/>
                          </w:rPr>
                          <w:t>Ši paslauga teikiama asmenims, gimusiems 1945–1994 m. ir n</w:t>
                        </w:r>
                        <w:r>
                          <w:rPr>
                            <w:color w:val="000000"/>
                            <w:szCs w:val="24"/>
                          </w:rPr>
                          <w:t>epriskiriamiems rizikos grupei. Apm</w:t>
                        </w:r>
                        <w:r>
                          <w:rPr>
                            <w:szCs w:val="24"/>
                          </w:rPr>
                          <w:t xml:space="preserve">okama vienam asmeniui suteikta viena paslauga. </w:t>
                        </w: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pPr>
                        <w:r>
                          <w:rPr>
                            <w:color w:val="000000"/>
                            <w:szCs w:val="24"/>
                          </w:rPr>
                          <w:t xml:space="preserve">Anti-HCV </w:t>
                        </w:r>
                        <w:r>
                          <w:rPr>
                            <w:szCs w:val="24"/>
                          </w:rPr>
                          <w:t>testas neatliekamas, jei pacientui jau buvo nustatytas teigiamas šio testo rezultatas.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rFonts w:eastAsia="Calibri"/>
                            <w:szCs w:val="24"/>
                          </w:rPr>
                          <w:t>1.8.2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color w:val="000000"/>
                            <w:szCs w:val="24"/>
                          </w:rPr>
                          <w:t xml:space="preserve">anti-HCV testo atlikimas asmenims, priskiriamiems </w:t>
                        </w:r>
                        <w:r>
                          <w:rPr>
                            <w:szCs w:val="24"/>
                          </w:rPr>
                          <w:t>rizikos grupei</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rFonts w:eastAsia="Calibri"/>
                            <w:szCs w:val="24"/>
                          </w:rPr>
                          <w:t>1</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pPr>
                        <w:r>
                          <w:rPr>
                            <w:bCs/>
                            <w:color w:val="000000"/>
                            <w:szCs w:val="24"/>
                          </w:rPr>
                          <w:t xml:space="preserve">Skiria </w:t>
                        </w:r>
                        <w:r>
                          <w:rPr>
                            <w:bCs/>
                            <w:szCs w:val="24"/>
                          </w:rPr>
                          <w:t>ir tyrimo rezultatus įvertina</w:t>
                        </w:r>
                        <w:r>
                          <w:rPr>
                            <w:bCs/>
                            <w:color w:val="000000"/>
                            <w:szCs w:val="24"/>
                          </w:rPr>
                          <w:t xml:space="preserve"> šeimos </w:t>
                        </w:r>
                        <w:r>
                          <w:rPr>
                            <w:bCs/>
                            <w:szCs w:val="24"/>
                          </w:rPr>
                          <w:t>medicinos paslaugas teikiantis</w:t>
                        </w:r>
                        <w:r>
                          <w:rPr>
                            <w:b/>
                            <w:bCs/>
                            <w:szCs w:val="24"/>
                          </w:rPr>
                          <w:t xml:space="preserve"> </w:t>
                        </w:r>
                        <w:r>
                          <w:rPr>
                            <w:color w:val="000000"/>
                            <w:szCs w:val="24"/>
                          </w:rPr>
                          <w:t>gydytojas arba gydytojas, teikiantis pirminės ambulatorinės psichikos sveikatos priežiūros paslaugas. Ši paslauga teikiama</w:t>
                        </w:r>
                        <w:r>
                          <w:rPr>
                            <w:szCs w:val="24"/>
                          </w:rPr>
                          <w:t xml:space="preserve"> rizikos grupės asmenims – asmenims, kurių šeimos nariui diagnozuotas hepatitas C, asmenims, kurie aktyviai vartoja švirkščiamuosius narkotikus, yra užsikrėtę ŽIV infekcija, ir asmenims, gydomiems priklausomybės ligų klinikose, neatsižvelgiant į amžių ir lytį.</w:t>
                        </w:r>
                        <w:r>
                          <w:rPr>
                            <w:b/>
                            <w:bCs/>
                            <w:szCs w:val="24"/>
                          </w:rPr>
                          <w:t xml:space="preserve">  </w:t>
                        </w:r>
                      </w:p>
                      <w:p>
                        <w:pPr>
                          <w:suppressAutoHyphens/>
                          <w:textAlignment w:val="baseline"/>
                        </w:pPr>
                      </w:p>
                      <w:p>
                        <w:pPr>
                          <w:suppressAutoHyphens/>
                          <w:textAlignment w:val="baseline"/>
                        </w:pPr>
                        <w:r>
                          <w:rPr>
                            <w:color w:val="000000"/>
                            <w:szCs w:val="24"/>
                          </w:rPr>
                          <w:t xml:space="preserve">Anti-HCV </w:t>
                        </w:r>
                        <w:r>
                          <w:rPr>
                            <w:szCs w:val="24"/>
                          </w:rPr>
                          <w:t>testas neatliekamas, jei pacientui jau buvo nustatytas teigiamas šio testo rezultatas.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1.9.</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rPr>
                            <w:bCs/>
                            <w:color w:val="000000"/>
                            <w:szCs w:val="24"/>
                          </w:rPr>
                        </w:pPr>
                        <w:r>
                          <w:t>Natriuretinio peptido tyrimo atlikimas:</w:t>
                        </w:r>
                      </w:p>
                    </w:tc>
                  </w:tr>
                  <w:tr>
                    <w:tc>
                      <w:tcPr>
                        <w:tcW w:w="998" w:type="dxa"/>
                        <w:gridSpan w:val="2"/>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t>1.9.1</w:t>
                        </w:r>
                      </w:p>
                    </w:tc>
                    <w:tc>
                      <w:tcPr>
                        <w:tcW w:w="2409" w:type="dxa"/>
                        <w:gridSpan w:val="2"/>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t>Natriuretinio peptido tyrimo atlikimas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t>1</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bCs/>
                            <w:szCs w:val="24"/>
                          </w:rPr>
                        </w:pPr>
                        <w:r>
                          <w:rPr>
                            <w:bCs/>
                            <w:szCs w:val="24"/>
                          </w:rPr>
                          <w:t>Skiria ir tyrimo rezultatus įvertina šeimos medicinos paslaugas teikiantis gydytojas, kai:</w:t>
                        </w:r>
                      </w:p>
                      <w:p>
                        <w:pPr>
                          <w:suppressAutoHyphens/>
                          <w:textAlignment w:val="baseline"/>
                          <w:rPr>
                            <w:bCs/>
                            <w:szCs w:val="24"/>
                          </w:rPr>
                        </w:pPr>
                        <w:r>
                          <w:rPr>
                            <w:bCs/>
                            <w:szCs w:val="24"/>
                          </w:rPr>
                          <w:t>1. reikia atlikti dusulio diferencinę diagnostiką;</w:t>
                        </w:r>
                      </w:p>
                      <w:p>
                        <w:pPr>
                          <w:suppressAutoHyphens/>
                          <w:textAlignment w:val="baseline"/>
                          <w:rPr>
                            <w:szCs w:val="24"/>
                          </w:rPr>
                        </w:pPr>
                        <w:r>
                          <w:rPr>
                            <w:bCs/>
                            <w:szCs w:val="24"/>
                          </w:rPr>
                          <w:t>2. kai nustatytas širdies nepakankamumas, esant stabiliai būklei</w:t>
                        </w:r>
                        <w:r>
                          <w:rPr>
                            <w:szCs w:val="24"/>
                          </w:rPr>
                          <w:t>.</w:t>
                        </w:r>
                      </w:p>
                    </w:tc>
                  </w:tr>
                  <w:tr>
                    <w:tc>
                      <w:tcPr>
                        <w:tcW w:w="998" w:type="dxa"/>
                        <w:gridSpan w:val="2"/>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t>1.9.2</w:t>
                        </w:r>
                      </w:p>
                    </w:tc>
                    <w:tc>
                      <w:tcPr>
                        <w:tcW w:w="2409" w:type="dxa"/>
                        <w:gridSpan w:val="2"/>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t>Natriuretinio peptido tyrimo atlikimas, kai nustatytas širdies nepakankamumas</w:t>
                        </w:r>
                      </w:p>
                    </w:tc>
                    <w:tc>
                      <w:tcPr>
                        <w:tcW w:w="1776" w:type="dxa"/>
                        <w:gridSpan w:val="2"/>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trike/>
                            <w:color w:val="000000"/>
                          </w:rPr>
                        </w:pPr>
                        <w:r>
                          <w:rPr>
                            <w:color w:val="000000"/>
                            <w:szCs w:val="24"/>
                          </w:rPr>
                          <w:t>Pagal paslaugos teikimo sąlygas, nurodytas Aprašo 35 punkto 1.9.2 papunkčio skiltyje „PAASP paslaugų, už kurias mokamas skatinamasis priedas, teikimo sąlygos“, bet iš viso vienam asmeniui ne daugiau kaip 3 kartus per metus (</w:t>
                        </w:r>
                        <w:r>
                          <w:rPr>
                            <w:color w:val="000000"/>
                          </w:rPr>
                          <w:t>jei tyrimas buvo atliktas pagal 1.9.1 papunktyje nurodytas sąlygas, tai iš viso vienam asmeniui pagal 1.9.2 papunktyje nurodytas sąlygas tyrimas atliekamas ne daugiau kaip 2 kartus per metus)</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bCs/>
                            <w:szCs w:val="24"/>
                          </w:rPr>
                        </w:pPr>
                        <w:r>
                          <w:rPr>
                            <w:bCs/>
                            <w:szCs w:val="24"/>
                          </w:rPr>
                          <w:t xml:space="preserve">Skiria ir tyrimo rezultatus įvertina šeimos medicinos paslaugas teikiantis gydytojas, jei yra klinikinių dusulio ar kojų tinimo simptomų. Tyrimas atliekamas prieš skiriant ar koreguojant gydymą. </w:t>
                        </w:r>
                      </w:p>
                      <w:p>
                        <w:pPr>
                          <w:suppressAutoHyphens/>
                          <w:textAlignment w:val="baseline"/>
                          <w:rPr>
                            <w:bCs/>
                            <w:szCs w:val="24"/>
                          </w:rPr>
                        </w:pPr>
                      </w:p>
                      <w:p>
                        <w:pPr>
                          <w:suppressAutoHyphens/>
                          <w:textAlignment w:val="baseline"/>
                          <w:rPr>
                            <w:bCs/>
                            <w:szCs w:val="24"/>
                          </w:rPr>
                        </w:pPr>
                        <w:r>
                          <w:rPr>
                            <w:bCs/>
                            <w:szCs w:val="24"/>
                          </w:rPr>
                          <w:t>Jei paciento būklė stabili, tyrimas gali būti atliekamas ne daugiau kaip 1 kartą per metus.</w:t>
                        </w:r>
                      </w:p>
                    </w:tc>
                  </w:tr>
                  <w:tr>
                    <w:tc>
                      <w:tcPr>
                        <w:tcW w:w="998"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1.10.</w:t>
                        </w:r>
                      </w:p>
                    </w:tc>
                    <w:tc>
                      <w:tcPr>
                        <w:tcW w:w="2409"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textAlignment w:val="baseline"/>
                          <w:rPr>
                            <w:szCs w:val="24"/>
                          </w:rPr>
                        </w:pPr>
                        <w:r>
                          <w:rPr>
                            <w:szCs w:val="24"/>
                          </w:rPr>
                          <w:t>Greitojo SARS-CoV-2 antigeno ir gripo testo atlikimas ar greitojo SARS-CoV-2 antigeno, gripo ir respiracinio sincitinio viruso (RSV) testo atlikimas</w:t>
                        </w:r>
                      </w:p>
                    </w:tc>
                    <w:tc>
                      <w:tcPr>
                        <w:tcW w:w="1776"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slaugytojas arba išplėstinės praktikos slaugytojas, kai reikia atlikti COVID-19 (koronaviruso infekcijos) ligos ir gripo diferencinę diagnostiką ar COVID-19 (koronaviruso infekcijos) ligos, gripo ir respiracinio sincitinio viruso (RSV) diferencinę diagnostiką.</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num" w:pos="720"/>
                          </w:tabs>
                          <w:jc w:val="both"/>
                          <w:textAlignment w:val="baseline"/>
                          <w:rPr>
                            <w:szCs w:val="24"/>
                            <w:lang w:eastAsia="lt-LT"/>
                          </w:rPr>
                        </w:pPr>
                        <w:r>
                          <w:rPr>
                            <w:color w:val="000000"/>
                            <w:szCs w:val="24"/>
                          </w:rPr>
                          <w:t>1.11.</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num" w:pos="720"/>
                          </w:tabs>
                          <w:textAlignment w:val="baseline"/>
                          <w:rPr>
                            <w:szCs w:val="24"/>
                            <w:lang w:eastAsia="lt-LT"/>
                          </w:rPr>
                        </w:pPr>
                        <w:r>
                          <w:rPr>
                            <w:color w:val="000000"/>
                            <w:szCs w:val="24"/>
                          </w:rPr>
                          <w:t>Feritino tyrimo atlikimas</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num" w:pos="720"/>
                          </w:tabs>
                          <w:jc w:val="center"/>
                          <w:textAlignment w:val="baseline"/>
                          <w:rPr>
                            <w:szCs w:val="24"/>
                            <w:lang w:eastAsia="lt-LT"/>
                          </w:rPr>
                        </w:pPr>
                        <w:r>
                          <w:rPr>
                            <w:color w:val="000000"/>
                            <w:szCs w:val="24"/>
                          </w:rPr>
                          <w:t>2</w:t>
                        </w: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num" w:pos="720"/>
                          </w:tabs>
                          <w:jc w:val="both"/>
                          <w:textAlignment w:val="baseline"/>
                          <w:rPr>
                            <w:color w:val="000000"/>
                            <w:szCs w:val="24"/>
                          </w:rPr>
                        </w:pPr>
                        <w:r>
                          <w:rPr>
                            <w:color w:val="000000"/>
                            <w:szCs w:val="24"/>
                          </w:rPr>
                          <w:t>Skiria asmenims, kuriems įtariama ar nustatyta geležies stoka ar anemija (kodas D50 arba kodas E61.1 pagal TLK-10-AM), ir tyrimo rezultatus įvertina šeimos medicinos paslaugas teikiantis gydytojas.</w:t>
                        </w:r>
                      </w:p>
                    </w:tc>
                  </w:tr>
                  <w:tr>
                    <w:tc>
                      <w:tcPr>
                        <w:tcW w:w="998"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1.12</w:t>
                        </w:r>
                      </w:p>
                    </w:tc>
                    <w:tc>
                      <w:tcPr>
                        <w:tcW w:w="8787" w:type="dxa"/>
                        <w:gridSpan w:val="6"/>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Pasėlių tyrimų atlikimas: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1.12.1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Šlapimo pasėlio tyrimas, kai neatliekama antibiotikograma </w:t>
                        </w:r>
                      </w:p>
                      <w:p>
                        <w:pPr>
                          <w:suppressAutoHyphens/>
                          <w:ind w:firstLine="62"/>
                          <w:textAlignment w:val="baseline"/>
                          <w:rPr>
                            <w:szCs w:val="24"/>
                          </w:rPr>
                        </w:pPr>
                      </w:p>
                    </w:tc>
                    <w:tc>
                      <w:tcPr>
                        <w:tcW w:w="1776" w:type="dxa"/>
                        <w:gridSpan w:val="2"/>
                        <w:vMerge w:val="restart"/>
                        <w:tcBorders>
                          <w:top w:val="single" w:sz="4" w:space="0" w:color="000000"/>
                          <w:left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val="restart"/>
                        <w:tcBorders>
                          <w:top w:val="single" w:sz="4" w:space="0" w:color="000000"/>
                          <w:left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Skiriama asmenims, kuriems įtariama ar diagnozuota šlapimo takų infekcija ir turi būti priimamas sprendimas dėl antibakterinio gydymo taikymo (kodai N10, N11, N30, N34 ir N39 pagal TLK-10-AM). Tyrimo rezultatus įvertina šeimos medicinos paslaugas teikiantis gydytojas. </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1.12.2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Šlapimo pasėlio tyrimas, kai atliekama antibiotikograma</w:t>
                        </w:r>
                      </w:p>
                    </w:tc>
                    <w:tc>
                      <w:tcPr>
                        <w:tcW w:w="1776" w:type="dxa"/>
                        <w:gridSpan w:val="2"/>
                        <w:vMerge/>
                        <w:tcBorders>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b/>
                            <w:bCs/>
                            <w:szCs w:val="24"/>
                          </w:rPr>
                        </w:pPr>
                      </w:p>
                    </w:tc>
                    <w:tc>
                      <w:tcPr>
                        <w:tcW w:w="4602" w:type="dxa"/>
                        <w:gridSpan w:val="2"/>
                        <w:vMerge/>
                        <w:tcBorders>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b/>
                            <w:bCs/>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EE0000"/>
                            <w:szCs w:val="24"/>
                          </w:rPr>
                        </w:pPr>
                        <w:r>
                          <w:rPr>
                            <w:szCs w:val="24"/>
                          </w:rPr>
                          <w:t>1.12.3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Išmatų pasėlio tyrimas, kai neatliekama antibiotikograma</w:t>
                        </w:r>
                      </w:p>
                    </w:tc>
                    <w:tc>
                      <w:tcPr>
                        <w:tcW w:w="1776" w:type="dxa"/>
                        <w:gridSpan w:val="2"/>
                        <w:vMerge w:val="restart"/>
                        <w:tcBorders>
                          <w:left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val="restart"/>
                        <w:tcBorders>
                          <w:left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Skiriama asmenims, kuriems įtariamas bakterinės kilmės viduriavimas ir turi būti priimamas sprendimas dėl antibakterinio gydymo taikymo.</w:t>
                        </w:r>
                      </w:p>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EE0000"/>
                            <w:szCs w:val="24"/>
                          </w:rPr>
                        </w:pPr>
                        <w:r>
                          <w:rPr>
                            <w:szCs w:val="24"/>
                          </w:rPr>
                          <w:t>1.12.4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Išmatų pasėlio tyrimas, kai atliekama antibiotikograma</w:t>
                        </w:r>
                      </w:p>
                    </w:tc>
                    <w:tc>
                      <w:tcPr>
                        <w:tcW w:w="1776" w:type="dxa"/>
                        <w:gridSpan w:val="2"/>
                        <w:vMerge/>
                        <w:tcBorders>
                          <w:left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left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szCs w:val="24"/>
                          </w:rPr>
                        </w:pPr>
                        <w:r>
                          <w:rPr>
                            <w:szCs w:val="24"/>
                          </w:rPr>
                          <w:t>1.12.5</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Žaizdų pasėlio tyrimas, kai neatliekama antibiotikograma</w:t>
                        </w:r>
                      </w:p>
                    </w:tc>
                    <w:tc>
                      <w:tcPr>
                        <w:tcW w:w="1776" w:type="dxa"/>
                        <w:gridSpan w:val="2"/>
                        <w:vMerge w:val="restart"/>
                        <w:tcBorders>
                          <w:top w:val="single" w:sz="4" w:space="0" w:color="auto"/>
                          <w:left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val="restart"/>
                        <w:tcBorders>
                          <w:top w:val="single" w:sz="4" w:space="0" w:color="auto"/>
                          <w:left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kai reikia priimti sprendimą dėl antibakterinio gydymo taikymo.</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szCs w:val="24"/>
                          </w:rPr>
                        </w:pPr>
                        <w:r>
                          <w:rPr>
                            <w:szCs w:val="24"/>
                          </w:rPr>
                          <w:t>1.12.6</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Žaizdų pasėlio tyrimas, kai atliekama antibiotikograma</w:t>
                        </w:r>
                      </w:p>
                    </w:tc>
                    <w:tc>
                      <w:tcPr>
                        <w:tcW w:w="1776" w:type="dxa"/>
                        <w:gridSpan w:val="2"/>
                        <w:vMerge/>
                        <w:tcBorders>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szCs w:val="24"/>
                          </w:rPr>
                        </w:pPr>
                        <w:r>
                          <w:rPr>
                            <w:szCs w:val="24"/>
                          </w:rPr>
                          <w:t>1.12.7</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Ausies išskyrų pasėlio tyrimas, kai neatliekama antibiotikograma</w:t>
                        </w:r>
                      </w:p>
                    </w:tc>
                    <w:tc>
                      <w:tcPr>
                        <w:tcW w:w="1776" w:type="dxa"/>
                        <w:gridSpan w:val="2"/>
                        <w:vMerge w:val="restart"/>
                        <w:tcBorders>
                          <w:top w:val="single" w:sz="4" w:space="0" w:color="auto"/>
                          <w:left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val="restart"/>
                        <w:tcBorders>
                          <w:top w:val="single" w:sz="4" w:space="0" w:color="auto"/>
                          <w:left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jei yra bent viena iš šių sąlygų:</w:t>
                        </w:r>
                      </w:p>
                      <w:p>
                        <w:pPr>
                          <w:suppressAutoHyphens/>
                          <w:textAlignment w:val="baseline"/>
                          <w:rPr>
                            <w:szCs w:val="24"/>
                          </w:rPr>
                        </w:pPr>
                        <w:r>
                          <w:rPr>
                            <w:szCs w:val="24"/>
                          </w:rPr>
                          <w:t>1) ūminis vidurinės ausies uždegimas ir būgnelio perforacija;</w:t>
                        </w:r>
                      </w:p>
                      <w:p>
                        <w:pPr>
                          <w:suppressAutoHyphens/>
                          <w:textAlignment w:val="baseline"/>
                          <w:rPr>
                            <w:szCs w:val="24"/>
                          </w:rPr>
                        </w:pPr>
                        <w:r>
                          <w:rPr>
                            <w:szCs w:val="24"/>
                          </w:rPr>
                          <w:t>2) pasikartojantys pūlingi otitai.</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szCs w:val="24"/>
                          </w:rPr>
                        </w:pPr>
                        <w:r>
                          <w:rPr>
                            <w:szCs w:val="24"/>
                          </w:rPr>
                          <w:t>1.12.8</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Ausies išskyrų pasėlio tyrimas, kai atliekama antibiotikograma</w:t>
                        </w:r>
                      </w:p>
                    </w:tc>
                    <w:tc>
                      <w:tcPr>
                        <w:tcW w:w="1776" w:type="dxa"/>
                        <w:gridSpan w:val="2"/>
                        <w:vMerge/>
                        <w:tcBorders>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tcBorders>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szCs w:val="24"/>
                          </w:rPr>
                        </w:pPr>
                        <w:r>
                          <w:rPr>
                            <w:szCs w:val="24"/>
                          </w:rPr>
                          <w:t>1.12.9</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Pasėlio iš nosiaryklės ir gerklės tyrimas, kai neatliekama antibiotikograma</w:t>
                        </w:r>
                      </w:p>
                    </w:tc>
                    <w:tc>
                      <w:tcPr>
                        <w:tcW w:w="1776" w:type="dxa"/>
                        <w:gridSpan w:val="2"/>
                        <w:vMerge w:val="restart"/>
                        <w:tcBorders>
                          <w:top w:val="single" w:sz="4" w:space="0" w:color="auto"/>
                          <w:left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vMerge w:val="restart"/>
                        <w:tcBorders>
                          <w:top w:val="single" w:sz="4" w:space="0" w:color="auto"/>
                          <w:left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įtardamas viršutinių kvėpavimo takų bakterinės kilmės infekciją, jeigu A grupės beta hemolizinio streptokoko antigeno testas yra neigiamas.</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szCs w:val="24"/>
                          </w:rPr>
                        </w:pPr>
                        <w:r>
                          <w:rPr>
                            <w:szCs w:val="24"/>
                          </w:rPr>
                          <w:t>1.12.10</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Pasėlio iš nosiaryklės ir gerklės tyrimas, kai atliekama antibiotikograma</w:t>
                        </w:r>
                      </w:p>
                    </w:tc>
                    <w:tc>
                      <w:tcPr>
                        <w:tcW w:w="1776" w:type="dxa"/>
                        <w:gridSpan w:val="2"/>
                        <w:vMerge/>
                        <w:tcBorders>
                          <w:left w:val="single" w:sz="4" w:space="0" w:color="auto"/>
                          <w:bottom w:val="single" w:sz="4" w:space="0" w:color="000000"/>
                          <w:right w:val="single" w:sz="4" w:space="0" w:color="auto"/>
                        </w:tcBorders>
                        <w:tcMar>
                          <w:top w:w="0" w:type="dxa"/>
                          <w:left w:w="0" w:type="dxa"/>
                          <w:bottom w:w="0" w:type="dxa"/>
                          <w:right w:w="0" w:type="dxa"/>
                        </w:tcMar>
                      </w:tcPr>
                      <w:p>
                        <w:pPr>
                          <w:tabs>
                            <w:tab w:val="left" w:pos="9781"/>
                          </w:tabs>
                          <w:suppressAutoHyphens/>
                          <w:jc w:val="center"/>
                          <w:textAlignment w:val="baseline"/>
                          <w:rPr>
                            <w:b/>
                            <w:bCs/>
                            <w:szCs w:val="24"/>
                          </w:rPr>
                        </w:pPr>
                      </w:p>
                    </w:tc>
                    <w:tc>
                      <w:tcPr>
                        <w:tcW w:w="4602" w:type="dxa"/>
                        <w:gridSpan w:val="2"/>
                        <w:vMerge/>
                        <w:tcBorders>
                          <w:left w:val="single" w:sz="4" w:space="0" w:color="auto"/>
                          <w:bottom w:val="single" w:sz="4" w:space="0" w:color="000000"/>
                          <w:right w:val="single" w:sz="4" w:space="0" w:color="auto"/>
                        </w:tcBorders>
                        <w:tcMar>
                          <w:top w:w="0" w:type="dxa"/>
                          <w:left w:w="0" w:type="dxa"/>
                          <w:bottom w:w="0" w:type="dxa"/>
                          <w:right w:w="0" w:type="dxa"/>
                        </w:tcMar>
                      </w:tcPr>
                      <w:p>
                        <w:pPr>
                          <w:suppressAutoHyphens/>
                          <w:textAlignment w:val="baseline"/>
                          <w:rPr>
                            <w:b/>
                            <w:bCs/>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Greitojo rota ir adeno viruso ar greitojo rota, adeno ir noro viruso antigeno testo atlikimas (išmatų</w:t>
                        </w:r>
                        <w:r>
                          <w:t xml:space="preserve"> </w:t>
                        </w:r>
                        <w:r>
                          <w:rPr>
                            <w:szCs w:val="24"/>
                          </w:rPr>
                          <w:t>mėginys)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Tyrimą atlieka šeimos medicinos paslaugas teikiantis gydytojas, kai įtariamas virusinės kilmės viduriavimas.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1.14.</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i/>
                            <w:iCs/>
                            <w:szCs w:val="24"/>
                          </w:rPr>
                          <w:t>Helicobacter pylori</w:t>
                        </w:r>
                        <w:r>
                          <w:rPr>
                            <w:szCs w:val="24"/>
                          </w:rPr>
                          <w:t xml:space="preserve"> antigeno testo atlikimas (išmatų mėginys)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1.14.1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i/>
                            <w:iCs/>
                            <w:szCs w:val="24"/>
                          </w:rPr>
                        </w:pPr>
                        <w:r>
                          <w:rPr>
                            <w:i/>
                            <w:iCs/>
                            <w:szCs w:val="24"/>
                          </w:rPr>
                          <w:t>Helicobacter pylori</w:t>
                        </w:r>
                        <w:r>
                          <w:rPr>
                            <w:szCs w:val="24"/>
                          </w:rPr>
                          <w:t xml:space="preserve"> antigeno testo atlikimas esant </w:t>
                        </w:r>
                        <w:r>
                          <w:rPr>
                            <w:i/>
                            <w:iCs/>
                            <w:szCs w:val="24"/>
                          </w:rPr>
                          <w:t>Helicobacter pylori</w:t>
                        </w:r>
                        <w:r>
                          <w:rPr>
                            <w:szCs w:val="24"/>
                          </w:rPr>
                          <w:t xml:space="preserve"> infekcijai būdingų simptomų</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rPr>
                            <w:bCs/>
                            <w:color w:val="000000"/>
                            <w:szCs w:val="24"/>
                          </w:rPr>
                        </w:pPr>
                        <w:r>
                          <w:rPr>
                            <w:bCs/>
                            <w:color w:val="000000"/>
                            <w:szCs w:val="24"/>
                          </w:rPr>
                          <w:t>Skiria ir tyrimo rezultatus įvertina šeimos medicinos paslaugas teikiantis gydytojas, jei yra bent viena iš</w:t>
                        </w:r>
                        <w:r>
                          <w:rPr>
                            <w:bCs/>
                            <w:i/>
                            <w:color w:val="000000"/>
                            <w:szCs w:val="24"/>
                          </w:rPr>
                          <w:t xml:space="preserve"> Helicobacter pylori</w:t>
                        </w:r>
                        <w:r>
                          <w:rPr>
                            <w:bCs/>
                            <w:color w:val="000000"/>
                            <w:szCs w:val="24"/>
                          </w:rPr>
                          <w:t xml:space="preserve"> infekcijai būdingų sąlygų:</w:t>
                        </w:r>
                      </w:p>
                      <w:p>
                        <w:pPr>
                          <w:suppressAutoHyphens/>
                          <w:textAlignment w:val="baseline"/>
                          <w:rPr>
                            <w:bCs/>
                            <w:color w:val="000000"/>
                            <w:szCs w:val="24"/>
                          </w:rPr>
                        </w:pPr>
                        <w:r>
                          <w:rPr>
                            <w:bCs/>
                            <w:color w:val="000000"/>
                            <w:szCs w:val="24"/>
                          </w:rPr>
                          <w:t xml:space="preserve">1) neaiškios kilmės dispepsija; </w:t>
                        </w:r>
                      </w:p>
                      <w:p>
                        <w:pPr>
                          <w:suppressAutoHyphens/>
                          <w:textAlignment w:val="baseline"/>
                          <w:rPr>
                            <w:bCs/>
                            <w:color w:val="000000"/>
                            <w:szCs w:val="24"/>
                          </w:rPr>
                        </w:pPr>
                        <w:r>
                          <w:rPr>
                            <w:bCs/>
                            <w:color w:val="000000"/>
                            <w:szCs w:val="24"/>
                          </w:rPr>
                          <w:t>2) po skrandžio rezekcijos;</w:t>
                        </w:r>
                      </w:p>
                      <w:p>
                        <w:pPr>
                          <w:suppressAutoHyphens/>
                          <w:textAlignment w:val="baseline"/>
                          <w:rPr>
                            <w:bCs/>
                            <w:color w:val="000000"/>
                            <w:szCs w:val="24"/>
                          </w:rPr>
                        </w:pPr>
                        <w:r>
                          <w:rPr>
                            <w:bCs/>
                            <w:color w:val="000000"/>
                            <w:szCs w:val="24"/>
                          </w:rPr>
                          <w:t xml:space="preserve">3) jei įtariama ar diagnozuota skrandžio opa, erozija ir jei </w:t>
                        </w:r>
                        <w:r>
                          <w:rPr>
                            <w:bCs/>
                            <w:i/>
                            <w:color w:val="000000"/>
                            <w:szCs w:val="24"/>
                          </w:rPr>
                          <w:t>Helicobacter pylori</w:t>
                        </w:r>
                        <w:r>
                          <w:rPr>
                            <w:bCs/>
                            <w:color w:val="000000"/>
                            <w:szCs w:val="24"/>
                          </w:rPr>
                          <w:t xml:space="preserve"> testas nebuvo atliekamas.</w:t>
                        </w:r>
                      </w:p>
                      <w:p>
                        <w:pPr>
                          <w:suppressAutoHyphens/>
                          <w:textAlignment w:val="baseline"/>
                          <w:rPr>
                            <w:bCs/>
                            <w:color w:val="000000"/>
                            <w:szCs w:val="24"/>
                          </w:rPr>
                        </w:pPr>
                      </w:p>
                      <w:p>
                        <w:pPr>
                          <w:suppressAutoHyphens/>
                          <w:textAlignment w:val="baseline"/>
                          <w:rPr>
                            <w:b/>
                            <w:bCs/>
                            <w:szCs w:val="24"/>
                          </w:rPr>
                        </w:pPr>
                        <w:r>
                          <w:rPr>
                            <w:bCs/>
                            <w:color w:val="000000"/>
                            <w:szCs w:val="24"/>
                          </w:rPr>
                          <w:t>Jei pacientui nebuvo diagnozuota</w:t>
                        </w:r>
                        <w:r>
                          <w:rPr>
                            <w:bCs/>
                            <w:i/>
                            <w:iCs/>
                            <w:color w:val="000000"/>
                            <w:szCs w:val="24"/>
                          </w:rPr>
                          <w:t xml:space="preserve"> Helicobacter pylori</w:t>
                        </w:r>
                        <w:r>
                          <w:rPr>
                            <w:bCs/>
                            <w:color w:val="000000"/>
                            <w:szCs w:val="24"/>
                          </w:rPr>
                          <w:t xml:space="preserve"> infekcija ir nebuvo taikytas gydymas, tačiau jo būklė atitinka pirmiau nurodytas sąlygas, šis tyrimas jam atliekamas ir apmokamas PSDF biudžeto lėšomis vieną kartą per kalendorinius metus.</w:t>
                        </w:r>
                        <w:r>
                          <w:rPr>
                            <w:b/>
                            <w:color w:val="000000"/>
                            <w:szCs w:val="24"/>
                          </w:rPr>
                          <w:t xml:space="preserve"> </w:t>
                        </w:r>
                      </w:p>
                    </w:tc>
                  </w:tr>
                  <w:tr>
                    <w:tc>
                      <w:tcPr>
                        <w:tcW w:w="998"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1.14.2</w:t>
                        </w:r>
                      </w:p>
                    </w:tc>
                    <w:tc>
                      <w:tcPr>
                        <w:tcW w:w="2409"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textAlignment w:val="baseline"/>
                          <w:rPr>
                            <w:i/>
                            <w:iCs/>
                            <w:szCs w:val="24"/>
                          </w:rPr>
                        </w:pPr>
                        <w:r>
                          <w:rPr>
                            <w:i/>
                            <w:iCs/>
                            <w:szCs w:val="24"/>
                          </w:rPr>
                          <w:t>Helicobacter pylori</w:t>
                        </w:r>
                        <w:r>
                          <w:rPr>
                            <w:szCs w:val="24"/>
                          </w:rPr>
                          <w:t xml:space="preserve"> antigeno testo atlikimas po taikyto </w:t>
                        </w:r>
                        <w:r>
                          <w:rPr>
                            <w:i/>
                            <w:iCs/>
                            <w:szCs w:val="24"/>
                          </w:rPr>
                          <w:t>Helicobacter pylori</w:t>
                        </w:r>
                        <w:r>
                          <w:rPr>
                            <w:szCs w:val="24"/>
                          </w:rPr>
                          <w:t xml:space="preserve"> infekcijos gydymo</w:t>
                        </w:r>
                      </w:p>
                    </w:tc>
                    <w:tc>
                      <w:tcPr>
                        <w:tcW w:w="1776"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Užbaigus </w:t>
                        </w:r>
                        <w:r>
                          <w:rPr>
                            <w:i/>
                            <w:iCs/>
                            <w:szCs w:val="24"/>
                          </w:rPr>
                          <w:t>Helicobacter pylori</w:t>
                        </w:r>
                        <w:r>
                          <w:rPr>
                            <w:szCs w:val="24"/>
                          </w:rPr>
                          <w:t xml:space="preserve"> infekcijos gydymą, tyrimas kartojamas ne anksčiau kaip po 4 sav.</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jc w:val="center"/>
                          <w:textAlignment w:val="baseline"/>
                          <w:rPr>
                            <w:szCs w:val="24"/>
                            <w:lang w:eastAsia="lt-LT"/>
                          </w:rPr>
                        </w:pPr>
                        <w:r>
                          <w:rPr>
                            <w:szCs w:val="24"/>
                            <w:lang w:eastAsia="lt-LT"/>
                          </w:rPr>
                          <w:t>1.15.</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rPr>
                            <w:szCs w:val="24"/>
                            <w:lang w:eastAsia="lt-LT"/>
                          </w:rPr>
                        </w:pPr>
                        <w:r>
                          <w:rPr>
                            <w:szCs w:val="24"/>
                            <w:lang w:eastAsia="lt-LT"/>
                          </w:rPr>
                          <w:t>Asmenų, vartojančių klozapiną, gydymo stebėsena (atliekamas kraujo tyrimas)</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ind w:firstLine="62"/>
                          <w:jc w:val="center"/>
                          <w:textAlignment w:val="baseline"/>
                          <w:rPr>
                            <w:szCs w:val="24"/>
                            <w:lang w:eastAsia="lt-LT"/>
                          </w:rPr>
                        </w:pP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extAlignment w:val="baseline"/>
                          <w:rPr>
                            <w:lang w:eastAsia="lt-LT"/>
                          </w:rPr>
                        </w:pPr>
                        <w:r>
                          <w:rPr>
                            <w:lang w:eastAsia="lt-LT"/>
                          </w:rPr>
                          <w:t xml:space="preserve">Stebėseną atlieka ir tyrimo rezultatus vertina gydytojas psichiatras, atsižvelgdamas į </w:t>
                        </w:r>
                        <w:r>
                          <w:t xml:space="preserve">vaistinių preparatų registruotojų pateiktas hematologinės kontrolės gydant klozapinu rekomendacijas, skelbiamas Valstybinės vaistų kontrolės tarnybos </w:t>
                        </w:r>
                        <w:r>
                          <w:rPr>
                            <w:color w:val="000000"/>
                            <w:szCs w:val="24"/>
                          </w:rPr>
                          <w:t>prie Lietuvos Respublikos sveikatos apsaugos ministerijos</w:t>
                        </w:r>
                        <w:r>
                          <w:t xml:space="preserve"> Vaistinių preparatų informacinėje sistemoje</w:t>
                        </w:r>
                        <w:r>
                          <w:rPr>
                            <w:lang w:eastAsia="lt-LT"/>
                          </w:rPr>
                          <w:t>.</w:t>
                        </w:r>
                      </w:p>
                    </w:tc>
                  </w:tr>
                  <w:tr>
                    <w:tc>
                      <w:tcPr>
                        <w:tcW w:w="998"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1.16.</w:t>
                        </w:r>
                      </w:p>
                    </w:tc>
                    <w:tc>
                      <w:tcPr>
                        <w:tcW w:w="2409"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Vitamino B12 (kobalamino) tyrimo atlikimas </w:t>
                        </w:r>
                      </w:p>
                    </w:tc>
                    <w:tc>
                      <w:tcPr>
                        <w:tcW w:w="1776"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w:t>
                        </w:r>
                      </w:p>
                    </w:tc>
                    <w:tc>
                      <w:tcPr>
                        <w:tcW w:w="4602"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Skiria ir tyrimo rezultatus įvertina šeimos medicinos paslaugas teikiantis gydytojas. Skiriama asmenims, kuriems nustatyta makrocitinė anemija (tyrimas atliekamas, kai vidutinis eritrocitų tūris kraujyje (MCV) viršija normą) arba nustatyta skrandžio patologija (pvz., po skrandžio rezekcijos ar mažinimo operacijos). Paskyrus gydymą, tyrimas kartojamas vieną kartą – ne anksčiau kaip po 2 mėnesių nuo gydymo pradžios. </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1.17.</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Vitamino B9 (folinės rūgšties) tyrimo atlikimas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Skiriama asmenims, kuriems nustatyta makrocitinė anemija. Paskyrus gydymą, tyrimas kartojamas vieną kartą – ne anksčiau kaip po 2 mėnesių nuo gydymo pradžios.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1.18.</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Vitamino D (25-OH) tyrimo atlikimas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Pagal paslaugos teikimo sąlygas, nurodytas Aprašo 35 punkto 1.18 papunkčio skiltyje </w:t>
                        </w:r>
                        <w:r>
                          <w:t>„PAASP paslaugų, už kurias mokamas skatinamasis priedas, teikimo sąlygos“</w:t>
                        </w:r>
                        <w:r>
                          <w:rPr>
                            <w:szCs w:val="24"/>
                          </w:rPr>
                          <w:t>, bet ne daugiau kaip 2 kartus per metus</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Skiria ir tyrimo rezultatus įvertina šeimos medicinos paslaugas teikiantis gydytojas: </w:t>
                        </w:r>
                      </w:p>
                      <w:p>
                        <w:pPr>
                          <w:suppressAutoHyphens/>
                          <w:textAlignment w:val="baseline"/>
                          <w:rPr>
                            <w:szCs w:val="24"/>
                          </w:rPr>
                        </w:pPr>
                        <w:r>
                          <w:rPr>
                            <w:szCs w:val="24"/>
                          </w:rPr>
                          <w:t xml:space="preserve">1) prieš pradedant osteoporozės gydymą vaistiniais preparatais, įrašytais į Ligų ir kompensuojamųjų vaistų joms gydyti sąrašą (A sąrašą), patvirtintą Lietuvos Respublikos sveikatos apsaugos ministro 2000 m. sausio 28 d. įsakymu Nr. 49 „Dėl kompensuojamųjų vaistų sąrašų patvirtinimo“ (toliau – A sąrašas). Jeigu nustatomas vitamino D (25-OH) trūkumas, tyrimas kartojamas vieną kartą – ne anksčiau kaip po 2 mėnesių nuo gydymo pradžios; </w:t>
                        </w:r>
                      </w:p>
                      <w:p>
                        <w:pPr>
                          <w:suppressAutoHyphens/>
                          <w:textAlignment w:val="baseline"/>
                          <w:rPr>
                            <w:szCs w:val="24"/>
                          </w:rPr>
                        </w:pPr>
                        <w:r>
                          <w:rPr>
                            <w:szCs w:val="24"/>
                          </w:rPr>
                          <w:t>2) tęsiant osteoporozės gydymą vaistiniais preparatais, įrašytais į A sąrašą, tyrimas atliekamas 1 kartą per metus.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1.19.</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Laisvo tiroksino (LT4) tyrimo atlikimas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Skiria ir tyrimo rezultatus įvertina šeimos medicinos paslaugas teikiantis gydytojas, įtardamas tirotoksikozę, kai tirotropinio hormono (TTH) tyrimo rezultatas yra mažesnis nei norma ir atsiranda klinikinių tirotoksikozės (hipertirozės) simptomų.</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1.20.</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Skydliaukės peroksidazės antikūnų (ATPO) tyrimo atlikimas</w:t>
                        </w:r>
                      </w:p>
                      <w:p>
                        <w:pPr>
                          <w:suppressAutoHyphens/>
                          <w:textAlignment w:val="baseline"/>
                          <w:rPr>
                            <w:color w:val="000000"/>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rPr>
                            <w:b/>
                            <w:bCs/>
                            <w:color w:val="EE0000"/>
                            <w:szCs w:val="24"/>
                          </w:rPr>
                        </w:pPr>
                        <w:r>
                          <w:rPr>
                            <w:bCs/>
                            <w:color w:val="000000"/>
                            <w:szCs w:val="24"/>
                          </w:rPr>
                          <w:t>Skiria ir tyrimo rezultatus įvertina šeimos medicinos paslaugas teikiantis gydytojas, kai TTH tyrimo rezultatas yra didesnis nei norma ir yra hipotirozės požymių</w:t>
                        </w:r>
                        <w:r>
                          <w:rPr>
                            <w:color w:val="000000"/>
                            <w:szCs w:val="24"/>
                          </w:rPr>
                          <w:t>.</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s>
                          <w:suppressAutoHyphens/>
                          <w:textAlignment w:val="baseline"/>
                          <w:rPr>
                            <w:szCs w:val="24"/>
                          </w:rPr>
                        </w:pPr>
                        <w:r>
                          <w:rPr>
                            <w:szCs w:val="24"/>
                          </w:rPr>
                          <w:t>PASLAUGOS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2.1.</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s>
                          <w:suppressAutoHyphens/>
                          <w:textAlignment w:val="baseline"/>
                          <w:rPr>
                            <w:szCs w:val="24"/>
                          </w:rPr>
                        </w:pPr>
                        <w:r>
                          <w:rPr>
                            <w:szCs w:val="24"/>
                          </w:rPr>
                          <w:t>Fiziologinio nėštumo priežiūra:</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2.1.1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0"/>
                          </w:tabs>
                          <w:suppressAutoHyphens/>
                          <w:textAlignment w:val="baseline"/>
                          <w:rPr>
                            <w:szCs w:val="24"/>
                          </w:rPr>
                        </w:pPr>
                        <w:r>
                          <w:rPr>
                            <w:szCs w:val="24"/>
                          </w:rPr>
                          <w:t xml:space="preserve">gydytojo vizitai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s>
                          <w:suppressAutoHyphens/>
                          <w:jc w:val="center"/>
                          <w:textAlignment w:val="baseline"/>
                        </w:pPr>
                        <w:r>
                          <w:rPr>
                            <w:szCs w:val="24"/>
                          </w:rPr>
                          <w:t>7</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569"/>
                            <w:tab w:val="left" w:pos="9781"/>
                          </w:tabs>
                          <w:suppressAutoHyphens/>
                          <w:textAlignment w:val="baseline"/>
                          <w:rPr>
                            <w:szCs w:val="24"/>
                          </w:rPr>
                        </w:pPr>
                        <w:r>
                          <w:rPr>
                            <w:szCs w:val="24"/>
                          </w:rPr>
                          <w:t xml:space="preserve">Teikiama namuose arba PAASP įstaigose, vadovaujantis Nėščiųjų, gimdyvių ir naujagimių sveikatos priežiūros tvarkos aprašu, patvirtintu Lietuvos Respublikos sveikatos apsaugos ministro </w:t>
                        </w:r>
                      </w:p>
                      <w:p>
                        <w:pPr>
                          <w:tabs>
                            <w:tab w:val="left" w:pos="569"/>
                            <w:tab w:val="left" w:pos="9781"/>
                          </w:tabs>
                          <w:suppressAutoHyphens/>
                          <w:textAlignment w:val="baseline"/>
                          <w:rPr>
                            <w:szCs w:val="24"/>
                          </w:rPr>
                        </w:pPr>
                        <w:r>
                          <w:rPr>
                            <w:szCs w:val="24"/>
                          </w:rPr>
                          <w:t xml:space="preserve">2013 m. rugsėjo 23 d. </w:t>
                        </w:r>
                      </w:p>
                      <w:p>
                        <w:pPr>
                          <w:tabs>
                            <w:tab w:val="left" w:pos="569"/>
                            <w:tab w:val="left" w:pos="9781"/>
                          </w:tabs>
                          <w:suppressAutoHyphens/>
                          <w:textAlignment w:val="baseline"/>
                          <w:rPr>
                            <w:szCs w:val="24"/>
                          </w:rPr>
                        </w:pPr>
                        <w:r>
                          <w:rPr>
                            <w:szCs w:val="24"/>
                          </w:rPr>
                          <w:t>įsakymu Nr. V-900 „Dėl Nėščiųjų, gimdyvių ir naujagimių sveikatos priežiūros tvarkos aprašo patvirtinimo“.</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2.1.2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0"/>
                          </w:tabs>
                          <w:suppressAutoHyphens/>
                          <w:textAlignment w:val="baseline"/>
                          <w:rPr>
                            <w:szCs w:val="24"/>
                          </w:rPr>
                        </w:pPr>
                        <w:r>
                          <w:rPr>
                            <w:szCs w:val="24"/>
                          </w:rPr>
                          <w:t xml:space="preserve">akušerio vizitai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s>
                          <w:suppressAutoHyphens/>
                          <w:jc w:val="center"/>
                          <w:textAlignment w:val="baseline"/>
                        </w:pPr>
                        <w:r>
                          <w:rPr>
                            <w:szCs w:val="24"/>
                          </w:rPr>
                          <w:t>7</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Vaikų iki 1 metų sveikatos priežiūra:</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gydytojo vizitai pas naujagimį mieste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 w:val="8"/>
                            <w:szCs w:val="8"/>
                          </w:rPr>
                        </w:pPr>
                      </w:p>
                      <w:p>
                        <w:pPr>
                          <w:suppressAutoHyphens/>
                          <w:textAlignment w:val="baseline"/>
                        </w:pPr>
                        <w:r>
                          <w:rPr>
                            <w:szCs w:val="24"/>
                            <w:lang w:eastAsia="lt-LT"/>
                          </w:rPr>
                          <w:t>Mokama už kiekvieną vizitą į namus pas naujagimį arba vaiką ir (ar) kiekvieną naujagimio arba vaiko apsilankymą pas gydytoją ir (ar) slaugytoją ar akušerį. Teikiama vadovaujantis Vaikų ir pilnamečių mokinių, ugdomų pagal bendrojo ugdymo programas, tikrinimo tvarkos aprašo, patvirtinto Lietuvos Respublikos sveikatos apsaugos ministro 2000 m. gegužės 31 d. įsakymu Nr. 301 „Dėl profilaktinių sveikatos tikrinimų sveikatos priežiūros įstaigose“, 1 priedu.</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gydytojo vizitai pas naujagimį kaime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slaugytojo ar akušerio vizitai pas naujagimį mieste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4</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slaugytojo ar akušerio vizitai pas naujagimį kaime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4</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2.2.5</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1–12 mėn. vaikų priežiūra (gydytojo vizitai)</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8</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2.2.6</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1–12 mėn. vaikų priežiūra (slaugytojo vizitai)</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8</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szCs w:val="24"/>
                          </w:rPr>
                          <w:t>2.3.</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color w:val="000000"/>
                            <w:szCs w:val="24"/>
                          </w:rPr>
                          <w:t>Asmenų su negalia sveikatos priežiūra namuose:</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2.3.1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color w:val="000000"/>
                            <w:szCs w:val="24"/>
                          </w:rPr>
                        </w:pPr>
                        <w:r>
                          <w:rPr>
                            <w:color w:val="000000"/>
                            <w:szCs w:val="24"/>
                          </w:rPr>
                          <w:t>gydytojo vizitas mieste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12</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371"/>
                            <w:tab w:val="left" w:pos="1165"/>
                            <w:tab w:val="left" w:pos="9781"/>
                          </w:tabs>
                          <w:suppressAutoHyphens/>
                          <w:textAlignment w:val="baseline"/>
                        </w:pPr>
                        <w:r>
                          <w:rPr>
                            <w:color w:val="000000"/>
                            <w:szCs w:val="24"/>
                          </w:rPr>
                          <w:t>Teikiama negalią turintiems prirašytiesiems gyventojams, kuriems pirmo ar antro lygio individualios pagalbos teikimo išlaidų kompensacijos poreikis arba 0–25 proc.</w:t>
                        </w:r>
                        <w:r>
                          <w:rPr>
                            <w:strike/>
                            <w:color w:val="000000"/>
                            <w:szCs w:val="24"/>
                          </w:rPr>
                          <w:t xml:space="preserve"> </w:t>
                        </w:r>
                        <w:r>
                          <w:rPr>
                            <w:color w:val="000000"/>
                            <w:szCs w:val="24"/>
                          </w:rPr>
                          <w:t>dalyvumo lygis.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2.3.2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color w:val="000000"/>
                            <w:szCs w:val="24"/>
                          </w:rPr>
                        </w:pPr>
                        <w:r>
                          <w:rPr>
                            <w:color w:val="000000"/>
                            <w:szCs w:val="24"/>
                          </w:rPr>
                          <w:t>gydytojo vizitas kaime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12</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2.3.3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color w:val="000000"/>
                            <w:szCs w:val="24"/>
                          </w:rPr>
                        </w:pPr>
                        <w:r>
                          <w:rPr>
                            <w:color w:val="000000"/>
                            <w:szCs w:val="24"/>
                          </w:rPr>
                          <w:t>gydytojo psichiatro vizitas mieste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12</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tabs>
                            <w:tab w:val="left" w:pos="993"/>
                            <w:tab w:val="left" w:pos="1134"/>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pPr>
                        <w:r>
                          <w:rPr>
                            <w:color w:val="000000"/>
                            <w:szCs w:val="24"/>
                          </w:rPr>
                          <w:t>Teikiama negalią turintiems</w:t>
                        </w:r>
                        <w:r>
                          <w:rPr>
                            <w:b/>
                            <w:bCs/>
                            <w:color w:val="000000"/>
                            <w:szCs w:val="24"/>
                          </w:rPr>
                          <w:t xml:space="preserve"> </w:t>
                        </w:r>
                        <w:r>
                          <w:rPr>
                            <w:color w:val="000000"/>
                            <w:szCs w:val="24"/>
                          </w:rPr>
                          <w:t>prirašytiesiems gyventojams, kuriems dėl psichikos ir elgesio sutrikimų yra nustatytas pirmo ar antro lygio individualios pagalbos teikimo išlaidų kompensacijos poreikis.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2.3.4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color w:val="000000"/>
                            <w:szCs w:val="24"/>
                          </w:rPr>
                        </w:pPr>
                        <w:r>
                          <w:rPr>
                            <w:color w:val="000000"/>
                            <w:szCs w:val="24"/>
                          </w:rPr>
                          <w:t>gydytojo psichiatro vizitas kaime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12</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suppressAutoHyphens/>
                          <w:textAlignment w:val="baseline"/>
                          <w:rPr>
                            <w:color w:val="000000"/>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2.4</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Slaugos personalo procedūros namuose:</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2.4.1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kraujo paėmimas tirti (mieste)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Į paslaugos kainą įskaičiuojama vienkartinių priemonių kaina (išskyrus vaistų ir infuzinių tirpalų kainą). Paslauga neteikiama, jeigu asmeniui teikiamos ambulatorinės slaugos paslaugos namuose.</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2.4.2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kraujo paėmimas tirti (kaime)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2.4.3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lašelinė infuzija (mieste)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2.4.4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lašelinė infuzija (kaime)</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rPr>
                      <w:trHeight w:val="443"/>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lang w:eastAsia="lt-LT"/>
                          </w:rPr>
                        </w:pPr>
                        <w:r>
                          <w:rPr>
                            <w:szCs w:val="24"/>
                            <w:lang w:eastAsia="lt-LT"/>
                          </w:rPr>
                          <w:t>2.5.</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lang w:eastAsia="lt-LT"/>
                          </w:rPr>
                        </w:pPr>
                        <w:r>
                          <w:rPr>
                            <w:szCs w:val="24"/>
                            <w:shd w:val="clear" w:color="auto" w:fill="FFFFFF"/>
                            <w:lang w:eastAsia="lt-LT"/>
                          </w:rPr>
                          <w:t>Vaiko paruošimas ikimokyklinio ugdymo įstaigai, priešmokyklinio ugdymo įstaigai arba moksleivio paruošimas mokyklai:</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lang w:eastAsia="lt-LT"/>
                          </w:rPr>
                        </w:pPr>
                        <w:r>
                          <w:rPr>
                            <w:szCs w:val="24"/>
                            <w:lang w:eastAsia="lt-LT"/>
                          </w:rPr>
                          <w:t>2.5.1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lang w:eastAsia="lt-LT"/>
                          </w:rPr>
                        </w:pPr>
                        <w:r>
                          <w:rPr>
                            <w:szCs w:val="24"/>
                            <w:lang w:eastAsia="lt-LT"/>
                          </w:rPr>
                          <w:t>gydytojo paslauga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lang w:eastAsia="lt-LT"/>
                          </w:rPr>
                        </w:pPr>
                        <w:r>
                          <w:rPr>
                            <w:szCs w:val="24"/>
                            <w:lang w:eastAsia="lt-LT"/>
                          </w:rPr>
                          <w:t>1</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lang w:eastAsia="lt-LT"/>
                          </w:rPr>
                        </w:pPr>
                        <w:r>
                          <w:rPr>
                            <w:szCs w:val="24"/>
                            <w:lang w:eastAsia="lt-LT"/>
                          </w:rPr>
                          <w:t>Teikiama vadovaujantis Vaikų ir pilnamečių mokinių, ugdomų pagal bendrojo ugdymo programas, sveikatos tikrinimo tvarkos aprašu, patvirtintu Lietuvos Respublikos sveikatos apsaugos ministro 2000 m. gegužės 31 d. įsakymu Nr. 301 „Dėl profilaktinių sveikatos tikrinimų sveikatos priežiūros įstaigose“. Teikiant šias paslaugas turi būti Elektroninės sveikatos paslaugų ir bendradarbiavimo infrastruktūros informacinėje sistemoje (toliau – ESPBI IS) užpildoma elektroninės statistinės apskaitos formos Nr. E027-1 „Mokinio sveikatos pažymėjimas“, patvirtintos Lietuvos Respublikos sveikatos apsaugos ministro 2004 m. gruodžio 24 d. įsakymu Nr. V-951 „Dėl elektroninės statistinės apskaitos formos Nr. E027-1 „Mokinio sveikatos pažymėjimas“ patvirtinimo“, I dalis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2.5.2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slaugytojo paslauga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lang w:eastAsia="lt-LT"/>
                          </w:rPr>
                        </w:pPr>
                        <w:r>
                          <w:rPr>
                            <w:szCs w:val="24"/>
                            <w:lang w:eastAsia="lt-LT"/>
                          </w:rPr>
                          <w:t>2.5</w:t>
                        </w:r>
                        <w:r>
                          <w:rPr>
                            <w:szCs w:val="24"/>
                            <w:vertAlign w:val="superscript"/>
                            <w:lang w:eastAsia="lt-LT"/>
                          </w:rPr>
                          <w:t>1</w:t>
                        </w:r>
                        <w:r>
                          <w:rPr>
                            <w:szCs w:val="24"/>
                            <w:lang w:eastAsia="lt-LT"/>
                          </w:rPr>
                          <w:t>.</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lang w:eastAsia="lt-LT"/>
                          </w:rPr>
                        </w:pPr>
                        <w:r>
                          <w:rPr>
                            <w:szCs w:val="24"/>
                            <w:shd w:val="clear" w:color="auto" w:fill="FFFFFF"/>
                            <w:lang w:eastAsia="lt-LT"/>
                          </w:rPr>
                          <w:t>Vaiko dantų ėduonies profilaktika ir paruošimas ikimokyklinio ugdymo įstaigai, priešmokyklinio ugdymo įstaigai arba moksleivio paruošimas mokyklai:</w:t>
                        </w:r>
                      </w:p>
                    </w:tc>
                  </w:tr>
                  <w:tr>
                    <w:trPr>
                      <w:trHeight w:val="849"/>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lang w:eastAsia="lt-LT"/>
                          </w:rPr>
                        </w:pPr>
                        <w:r>
                          <w:rPr>
                            <w:iCs/>
                            <w:szCs w:val="24"/>
                            <w:lang w:eastAsia="lt-LT"/>
                          </w:rPr>
                          <w:t>2.5</w:t>
                        </w:r>
                        <w:r>
                          <w:rPr>
                            <w:iCs/>
                            <w:szCs w:val="24"/>
                            <w:vertAlign w:val="superscript"/>
                            <w:lang w:eastAsia="lt-LT"/>
                          </w:rPr>
                          <w:t>1</w:t>
                        </w:r>
                        <w:r>
                          <w:rPr>
                            <w:iCs/>
                            <w:szCs w:val="24"/>
                            <w:lang w:eastAsia="lt-LT"/>
                          </w:rPr>
                          <w:t>.1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iCs/>
                            <w:szCs w:val="24"/>
                            <w:lang w:eastAsia="lt-LT"/>
                          </w:rPr>
                        </w:pPr>
                        <w:r>
                          <w:rPr>
                            <w:iCs/>
                            <w:szCs w:val="24"/>
                            <w:lang w:eastAsia="lt-LT"/>
                          </w:rPr>
                          <w:t>1–17 m. (imtinai) vaiko burnos higienos įgūdžių vertinimas ir mokymas, prireikus užpildoma m</w:t>
                        </w:r>
                        <w:r>
                          <w:rPr>
                            <w:szCs w:val="24"/>
                            <w:lang w:eastAsia="lt-LT"/>
                          </w:rPr>
                          <w:t xml:space="preserve">okinio </w:t>
                        </w:r>
                        <w:r>
                          <w:rPr>
                            <w:iCs/>
                            <w:szCs w:val="24"/>
                            <w:lang w:eastAsia="lt-LT"/>
                          </w:rPr>
                          <w:t>sveikatos pažymėjimo II dalis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lang w:eastAsia="lt-LT"/>
                          </w:rPr>
                        </w:pPr>
                        <w:r>
                          <w:rPr>
                            <w:iCs/>
                            <w:szCs w:val="24"/>
                            <w:lang w:eastAsia="lt-LT"/>
                          </w:rPr>
                          <w:t>2</w:t>
                        </w: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iCs/>
                            <w:szCs w:val="24"/>
                            <w:lang w:eastAsia="lt-LT"/>
                          </w:rPr>
                        </w:pPr>
                        <w:r>
                          <w:rPr>
                            <w:iCs/>
                            <w:szCs w:val="24"/>
                            <w:lang w:eastAsia="lt-LT"/>
                          </w:rPr>
                          <w:t>Paslaugos teikiamos vadovaujantis Lietuvos Respublikos sveikatos apsaugos ministro 2008 m. gegužės 23 d. įsakymu Nr. V-483 „Dėl Pirminės odontologinės priežiūros (pagalbos) paslaugų, kompensuojamų iš Privalomojo sveikatos draudimo fondo biudžeto lėšų, masto (sudėties) patvirtinimo“.</w:t>
                        </w:r>
                      </w:p>
                      <w:p>
                        <w:pPr>
                          <w:tabs>
                            <w:tab w:val="left" w:pos="9781"/>
                          </w:tabs>
                          <w:suppressAutoHyphens/>
                          <w:textAlignment w:val="baseline"/>
                          <w:rPr>
                            <w:iCs/>
                            <w:szCs w:val="24"/>
                            <w:lang w:eastAsia="lt-LT"/>
                          </w:rPr>
                        </w:pPr>
                        <w:r>
                          <w:rPr>
                            <w:iCs/>
                            <w:szCs w:val="24"/>
                            <w:lang w:eastAsia="lt-LT"/>
                          </w:rPr>
                          <w:t>2.5</w:t>
                        </w:r>
                        <w:r>
                          <w:rPr>
                            <w:iCs/>
                            <w:szCs w:val="24"/>
                            <w:vertAlign w:val="superscript"/>
                            <w:lang w:eastAsia="lt-LT"/>
                          </w:rPr>
                          <w:t>1</w:t>
                        </w:r>
                        <w:r>
                          <w:rPr>
                            <w:iCs/>
                            <w:szCs w:val="24"/>
                            <w:lang w:eastAsia="lt-LT"/>
                          </w:rPr>
                          <w:t>.1–2.5</w:t>
                        </w:r>
                        <w:r>
                          <w:rPr>
                            <w:iCs/>
                            <w:szCs w:val="24"/>
                            <w:vertAlign w:val="superscript"/>
                            <w:lang w:eastAsia="lt-LT"/>
                          </w:rPr>
                          <w:t>1</w:t>
                        </w:r>
                        <w:r>
                          <w:rPr>
                            <w:iCs/>
                            <w:szCs w:val="24"/>
                            <w:lang w:eastAsia="lt-LT"/>
                          </w:rPr>
                          <w:t>.3 papunkčiuose nurodytų paslaugų teikimo sąlygos:</w:t>
                        </w:r>
                      </w:p>
                      <w:p>
                        <w:pPr>
                          <w:tabs>
                            <w:tab w:val="left" w:pos="9781"/>
                          </w:tabs>
                          <w:suppressAutoHyphens/>
                          <w:textAlignment w:val="baseline"/>
                          <w:rPr>
                            <w:iCs/>
                            <w:szCs w:val="24"/>
                            <w:lang w:eastAsia="lt-LT"/>
                          </w:rPr>
                        </w:pPr>
                        <w:r>
                          <w:rPr>
                            <w:iCs/>
                            <w:szCs w:val="24"/>
                            <w:lang w:eastAsia="lt-LT"/>
                          </w:rPr>
                          <w:t>1. per kalendorinius metus, atsižvelgiant į vaiko amžių, gali būti suteikiamos ne daugiau kaip 2 paslaugos iš 2.5</w:t>
                        </w:r>
                        <w:r>
                          <w:rPr>
                            <w:iCs/>
                            <w:szCs w:val="24"/>
                            <w:vertAlign w:val="superscript"/>
                            <w:lang w:eastAsia="lt-LT"/>
                          </w:rPr>
                          <w:t>1</w:t>
                        </w:r>
                        <w:r>
                          <w:rPr>
                            <w:iCs/>
                            <w:szCs w:val="24"/>
                            <w:lang w:eastAsia="lt-LT"/>
                          </w:rPr>
                          <w:t>.1–2.5</w:t>
                        </w:r>
                        <w:r>
                          <w:rPr>
                            <w:iCs/>
                            <w:szCs w:val="24"/>
                            <w:vertAlign w:val="superscript"/>
                            <w:lang w:eastAsia="lt-LT"/>
                          </w:rPr>
                          <w:t>1</w:t>
                        </w:r>
                        <w:r>
                          <w:rPr>
                            <w:iCs/>
                            <w:szCs w:val="24"/>
                            <w:lang w:eastAsia="lt-LT"/>
                          </w:rPr>
                          <w:t>.3 papunkčiuose nurodytų paslaugų;</w:t>
                        </w:r>
                      </w:p>
                      <w:p>
                        <w:pPr>
                          <w:tabs>
                            <w:tab w:val="left" w:pos="9781"/>
                          </w:tabs>
                          <w:suppressAutoHyphens/>
                          <w:textAlignment w:val="baseline"/>
                          <w:rPr>
                            <w:iCs/>
                            <w:szCs w:val="24"/>
                            <w:lang w:eastAsia="lt-LT"/>
                          </w:rPr>
                        </w:pPr>
                        <w:r>
                          <w:rPr>
                            <w:iCs/>
                            <w:szCs w:val="24"/>
                            <w:lang w:eastAsia="lt-LT"/>
                          </w:rPr>
                          <w:t>2. paslaugas teikia gydytojas odontologas arba burnos higienistas. Gydytojas odontologas teikia paslaugą vadovaudamasis Lietuvos medicinos norma MN 42:2015 „Gydytojas odontologas. Teisės, pareigos, kompetencija ir atsakomybė“, patvirtinta Lietuvos Respublikos sveikatos apsaugos ministro 2015 m. lapkričio 5 d. įsakymu Nr. V-1252 „Dėl Lietuvos medicinos normos MN 42:2015 „Gydytojas odontologas. Teisės, pareigos, kompetencija ir atsakomybė“ patvirtinimo“. Burnos higienistas teikia paslaugą vadovaudamasis Lietuvos medicinos norma MN 35:2019 „Burnos higienistas“, patvirtinta Lietuvos Respublikos sveikatos apsaugos ministro 2012 m. gruodžio 31 d. įsakymu Nr. V-1208 „Dėl Lietuvos medicinos normos MN 35:2019 „Burnos higienistas“ patvirtinimo“. Gydytojo odontologo padėjėjas prireikus dalyvauja teikiant paslaugas pagal savo kompetenciją, nustatytą Lietuvos medicinos normoje MN 24:2017 „Gydytojo odontologo padėjėjas“, patvirtintoje Lietuvos Respublikos sveikatos apsaugos ministro 2007 m. spalio 16 d. įsakymu Nr. V-835 „Dėl Lietuvos medicinos normos MN 24:2017 „Gydytojo odontologo padėjėjas“ patvirtinimo“;</w:t>
                        </w:r>
                      </w:p>
                      <w:p>
                        <w:pPr>
                          <w:tabs>
                            <w:tab w:val="left" w:pos="9781"/>
                          </w:tabs>
                          <w:suppressAutoHyphens/>
                          <w:textAlignment w:val="baseline"/>
                          <w:rPr>
                            <w:iCs/>
                            <w:szCs w:val="24"/>
                            <w:lang w:eastAsia="lt-LT"/>
                          </w:rPr>
                        </w:pPr>
                        <w:r>
                          <w:rPr>
                            <w:iCs/>
                            <w:szCs w:val="24"/>
                            <w:lang w:eastAsia="lt-LT"/>
                          </w:rPr>
                          <w:t>3. teikiant šias paslaugas, prireikus turi būti ESPBI IS užpildoma elektroninės statistinės apskaitos formos Nr. E027-1 „Mokinio sveikatos pažymėjimas“, patvirtintos Lietuvos Respublikos sveikatos apsaugos ministro 2004 m. gruodžio 24 d. įsakymu Nr. V-951 „Dėl elektroninės statistinės apskaitos formos Nr. E027-1 „Mokinio sveikatos pažymėjimas“ patvirtinimo“, II dalis;</w:t>
                        </w:r>
                      </w:p>
                      <w:p>
                        <w:pPr>
                          <w:tabs>
                            <w:tab w:val="left" w:pos="9781"/>
                          </w:tabs>
                          <w:suppressAutoHyphens/>
                          <w:textAlignment w:val="baseline"/>
                          <w:rPr>
                            <w:iCs/>
                            <w:szCs w:val="24"/>
                            <w:lang w:eastAsia="lt-LT"/>
                          </w:rPr>
                        </w:pPr>
                        <w:r>
                          <w:rPr>
                            <w:iCs/>
                            <w:szCs w:val="24"/>
                            <w:lang w:eastAsia="lt-LT"/>
                          </w:rPr>
                          <w:t>4. vieno apsilankymo metu 3–10 m. (imtinai) vaikui gali būti suteikta 2.5</w:t>
                        </w:r>
                        <w:r>
                          <w:rPr>
                            <w:iCs/>
                            <w:szCs w:val="24"/>
                            <w:vertAlign w:val="superscript"/>
                            <w:lang w:eastAsia="lt-LT"/>
                          </w:rPr>
                          <w:t>1</w:t>
                        </w:r>
                        <w:r>
                          <w:rPr>
                            <w:iCs/>
                            <w:szCs w:val="24"/>
                            <w:lang w:eastAsia="lt-LT"/>
                          </w:rPr>
                          <w:t>.1 arba 2.5</w:t>
                        </w:r>
                        <w:r>
                          <w:rPr>
                            <w:iCs/>
                            <w:szCs w:val="24"/>
                            <w:vertAlign w:val="superscript"/>
                            <w:lang w:eastAsia="lt-LT"/>
                          </w:rPr>
                          <w:t>1</w:t>
                        </w:r>
                        <w:r>
                          <w:rPr>
                            <w:iCs/>
                            <w:szCs w:val="24"/>
                            <w:lang w:eastAsia="lt-LT"/>
                          </w:rPr>
                          <w:t>.2 papunktyje nurodyta paslauga, to paties apsilankymo metu gali būti suteikta ir 3–17 m. (imtinai) vaikų dantų padengimo fluoridų preparatais skatinamoji paslauga;</w:t>
                        </w:r>
                      </w:p>
                      <w:p>
                        <w:pPr>
                          <w:tabs>
                            <w:tab w:val="left" w:pos="9781"/>
                          </w:tabs>
                          <w:suppressAutoHyphens/>
                          <w:textAlignment w:val="baseline"/>
                          <w:rPr>
                            <w:iCs/>
                            <w:szCs w:val="24"/>
                            <w:lang w:eastAsia="lt-LT"/>
                          </w:rPr>
                        </w:pPr>
                        <w:r>
                          <w:rPr>
                            <w:iCs/>
                            <w:szCs w:val="24"/>
                            <w:lang w:eastAsia="lt-LT"/>
                          </w:rPr>
                          <w:t>5. vieno apsilankymo metu 11–17 m. (imtinai) vaikui gali būti suteikta 2.5</w:t>
                        </w:r>
                        <w:r>
                          <w:rPr>
                            <w:iCs/>
                            <w:szCs w:val="24"/>
                            <w:vertAlign w:val="superscript"/>
                            <w:lang w:eastAsia="lt-LT"/>
                          </w:rPr>
                          <w:t>1</w:t>
                        </w:r>
                        <w:r>
                          <w:rPr>
                            <w:iCs/>
                            <w:szCs w:val="24"/>
                            <w:lang w:eastAsia="lt-LT"/>
                          </w:rPr>
                          <w:t>.1 arba 2.5</w:t>
                        </w:r>
                        <w:r>
                          <w:rPr>
                            <w:iCs/>
                            <w:szCs w:val="24"/>
                            <w:vertAlign w:val="superscript"/>
                            <w:lang w:eastAsia="lt-LT"/>
                          </w:rPr>
                          <w:t>1</w:t>
                        </w:r>
                        <w:r>
                          <w:rPr>
                            <w:iCs/>
                            <w:szCs w:val="24"/>
                            <w:lang w:eastAsia="lt-LT"/>
                          </w:rPr>
                          <w:t>.3 papunktyje nurodyta paslauga, to paties apsilankymo metu gali būti suteikta ir 3–17 m. (imtinai) vaikų dantų padengimo fluoridų preparatais skatinamoji  paslauga;</w:t>
                        </w:r>
                      </w:p>
                      <w:p>
                        <w:pPr>
                          <w:tabs>
                            <w:tab w:val="left" w:pos="9781"/>
                          </w:tabs>
                          <w:suppressAutoHyphens/>
                          <w:textAlignment w:val="baseline"/>
                          <w:rPr>
                            <w:iCs/>
                            <w:szCs w:val="24"/>
                            <w:lang w:eastAsia="lt-LT"/>
                          </w:rPr>
                        </w:pPr>
                        <w:r>
                          <w:rPr>
                            <w:iCs/>
                            <w:szCs w:val="24"/>
                            <w:lang w:eastAsia="lt-LT"/>
                          </w:rPr>
                          <w:t>6. jei per kalendorinius metus vaikas pereina į vyresnio amžiaus grupę ir jam prieš tai nebuvo suteiktos visos 2.5</w:t>
                        </w:r>
                        <w:r>
                          <w:rPr>
                            <w:iCs/>
                            <w:szCs w:val="24"/>
                            <w:vertAlign w:val="superscript"/>
                            <w:lang w:eastAsia="lt-LT"/>
                          </w:rPr>
                          <w:t>1</w:t>
                        </w:r>
                        <w:r>
                          <w:rPr>
                            <w:iCs/>
                            <w:szCs w:val="24"/>
                            <w:lang w:eastAsia="lt-LT"/>
                          </w:rPr>
                          <w:t>.1–2.5</w:t>
                        </w:r>
                        <w:r>
                          <w:rPr>
                            <w:iCs/>
                            <w:szCs w:val="24"/>
                            <w:vertAlign w:val="superscript"/>
                            <w:lang w:eastAsia="lt-LT"/>
                          </w:rPr>
                          <w:t>1</w:t>
                        </w:r>
                        <w:r>
                          <w:rPr>
                            <w:iCs/>
                            <w:szCs w:val="24"/>
                            <w:lang w:eastAsia="lt-LT"/>
                          </w:rPr>
                          <w:t>.3 papunkčiuose nurodytos galimos paslaugos, toliau jos teikiamos pagal tą amžiaus grupę, kuriai realiuoju metu vaikas priklauso.</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lang w:eastAsia="lt-LT"/>
                          </w:rPr>
                        </w:pPr>
                        <w:r>
                          <w:rPr>
                            <w:color w:val="000000"/>
                            <w:szCs w:val="24"/>
                            <w:lang w:eastAsia="lt-LT"/>
                          </w:rPr>
                          <w:t>2.5</w:t>
                        </w:r>
                        <w:r>
                          <w:rPr>
                            <w:color w:val="000000"/>
                            <w:szCs w:val="24"/>
                            <w:vertAlign w:val="superscript"/>
                            <w:lang w:eastAsia="lt-LT"/>
                          </w:rPr>
                          <w:t>1</w:t>
                        </w:r>
                        <w:r>
                          <w:rPr>
                            <w:color w:val="000000"/>
                            <w:szCs w:val="24"/>
                            <w:lang w:eastAsia="lt-LT"/>
                          </w:rPr>
                          <w:t>.2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lang w:eastAsia="lt-LT"/>
                          </w:rPr>
                        </w:pPr>
                        <w:r>
                          <w:rPr>
                            <w:iCs/>
                            <w:szCs w:val="24"/>
                            <w:lang w:eastAsia="lt-LT"/>
                          </w:rPr>
                          <w:t>3–10 m. (imtinai) vaiko profesionalios burnos higienos atlikimas, burnos higienos įgūdžių vertinimas ir mokymas, prireikus užpildoma m</w:t>
                        </w:r>
                        <w:r>
                          <w:rPr>
                            <w:szCs w:val="24"/>
                            <w:lang w:eastAsia="lt-LT"/>
                          </w:rPr>
                          <w:t xml:space="preserve">okinio </w:t>
                        </w:r>
                        <w:r>
                          <w:rPr>
                            <w:iCs/>
                            <w:szCs w:val="24"/>
                            <w:lang w:eastAsia="lt-LT"/>
                          </w:rPr>
                          <w:t>sveikatos pažymėjimo II dalis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lang w:eastAsia="lt-LT"/>
                          </w:rPr>
                        </w:pPr>
                        <w:r>
                          <w:rPr>
                            <w:color w:val="000000"/>
                            <w:szCs w:val="24"/>
                            <w:lang w:eastAsia="lt-LT"/>
                          </w:rPr>
                          <w:t>1</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p>
                    </w:tc>
                  </w:tr>
                  <w:tr>
                    <w:trPr>
                      <w:trHeight w:val="2208"/>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lang w:eastAsia="lt-LT"/>
                          </w:rPr>
                        </w:pPr>
                        <w:r>
                          <w:rPr>
                            <w:color w:val="000000"/>
                            <w:szCs w:val="24"/>
                            <w:lang w:eastAsia="lt-LT"/>
                          </w:rPr>
                          <w:t>2.5</w:t>
                        </w:r>
                        <w:r>
                          <w:rPr>
                            <w:color w:val="000000"/>
                            <w:szCs w:val="24"/>
                            <w:vertAlign w:val="superscript"/>
                            <w:lang w:eastAsia="lt-LT"/>
                          </w:rPr>
                          <w:t>1</w:t>
                        </w:r>
                        <w:r>
                          <w:rPr>
                            <w:color w:val="000000"/>
                            <w:szCs w:val="24"/>
                            <w:lang w:eastAsia="lt-LT"/>
                          </w:rPr>
                          <w:t>.3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lang w:eastAsia="lt-LT"/>
                          </w:rPr>
                        </w:pPr>
                        <w:r>
                          <w:rPr>
                            <w:iCs/>
                            <w:szCs w:val="24"/>
                            <w:lang w:eastAsia="lt-LT"/>
                          </w:rPr>
                          <w:t>11–17 m. (imtinai) vaiko profesionalios burnos higienos atlikimas, burnos higienos įgūdžių vertinimas ir mokymas, prireikus užpildoma mokinio sveikatos pažymėjimo II dalis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lang w:eastAsia="lt-LT"/>
                          </w:rPr>
                        </w:pPr>
                        <w:r>
                          <w:rPr>
                            <w:color w:val="000000"/>
                            <w:szCs w:val="24"/>
                            <w:lang w:eastAsia="lt-LT"/>
                          </w:rPr>
                          <w:t>1</w:t>
                        </w: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jc w:val="center"/>
                          <w:textAlignment w:val="baseline"/>
                          <w:rPr>
                            <w:color w:val="000000"/>
                            <w:szCs w:val="24"/>
                          </w:rPr>
                        </w:pPr>
                        <w:r>
                          <w:rPr>
                            <w:color w:val="000000"/>
                            <w:szCs w:val="24"/>
                          </w:rPr>
                          <w:t>2.6</w:t>
                        </w:r>
                      </w:p>
                    </w:tc>
                    <w:tc>
                      <w:tcPr>
                        <w:tcW w:w="8787" w:type="dxa"/>
                        <w:gridSpan w:val="6"/>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suppressAutoHyphens/>
                          <w:textAlignment w:val="baseline"/>
                          <w:rPr>
                            <w:szCs w:val="24"/>
                          </w:rPr>
                        </w:pPr>
                        <w:r>
                          <w:rPr>
                            <w:szCs w:val="24"/>
                          </w:rPr>
                          <w:t>Vaikų nuolatinių krūminių dantų dengimas silantinėmis medžiagomis:</w:t>
                        </w:r>
                      </w:p>
                    </w:tc>
                  </w:tr>
                  <w:tr>
                    <w:tc>
                      <w:tcPr>
                        <w:tcW w:w="998"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pPr>
                        <w:r>
                          <w:rPr>
                            <w:rFonts w:eastAsia="Calibri"/>
                            <w:szCs w:val="24"/>
                          </w:rPr>
                          <w:t>2.6.1</w:t>
                        </w:r>
                      </w:p>
                    </w:tc>
                    <w:tc>
                      <w:tcPr>
                        <w:tcW w:w="2409"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szCs w:val="24"/>
                          </w:rPr>
                          <w:t>vieno danties dengimas silantais</w:t>
                        </w:r>
                      </w:p>
                    </w:tc>
                    <w:tc>
                      <w:tcPr>
                        <w:tcW w:w="1776"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p>
                    </w:tc>
                    <w:tc>
                      <w:tcPr>
                        <w:tcW w:w="4602" w:type="dxa"/>
                        <w:gridSpan w:val="2"/>
                        <w:vMerge w:val="restart"/>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vAlign w:val="center"/>
                      </w:tcPr>
                      <w:p>
                        <w:pPr>
                          <w:suppressAutoHyphens/>
                          <w:textAlignment w:val="baseline"/>
                        </w:pPr>
                        <w:r>
                          <w:rPr>
                            <w:szCs w:val="24"/>
                          </w:rPr>
                          <w:t>Mokama tuo atveju, jei suteikiama bent viena iš 4 silantavimo paslaugų, patvirtintų Lietuvos Respublikos sveikatos apsaugos ministro 2005 m. rugsėjo 16 d. įsakymu Nr. V-713 „Dėl Vaikų krūminių dantų dengimo silantinėmis medžiagomis ir išlaidų kompensavimo iš Privalomojo sveikatos draudimo fondo biudžeto tvarkos aprašo bei Vaikų krūminių dantų dengimo silantinėmis medžiagomis paslaugų bazinių kainų sąrašo patvirtinimo“. Paslaugas teikia burnos higienistas arba gydytojas odontologas.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pPr>
                        <w:r>
                          <w:rPr>
                            <w:rFonts w:eastAsia="Calibri"/>
                            <w:szCs w:val="24"/>
                          </w:rPr>
                          <w:t>2.6.2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dviejų dantų dengimas </w:t>
                        </w:r>
                      </w:p>
                      <w:p>
                        <w:pPr>
                          <w:suppressAutoHyphens/>
                          <w:textAlignment w:val="baseline"/>
                        </w:pPr>
                        <w:r>
                          <w:rPr>
                            <w:szCs w:val="24"/>
                          </w:rPr>
                          <w:t>silantais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pPr>
                        <w:r>
                          <w:rPr>
                            <w:rFonts w:eastAsia="Calibri"/>
                            <w:szCs w:val="24"/>
                          </w:rPr>
                          <w:t>2.6.3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szCs w:val="24"/>
                          </w:rPr>
                          <w:t>trijų dantų dengimas silantais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pPr>
                        <w:r>
                          <w:rPr>
                            <w:rFonts w:eastAsia="Calibri"/>
                            <w:szCs w:val="24"/>
                          </w:rPr>
                          <w:t>2.6.4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szCs w:val="24"/>
                          </w:rPr>
                          <w:t>keturių dantų dengimas silantais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2.7</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Būtinosios medicinos pagalbos teikimas: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szCs w:val="24"/>
                          </w:rPr>
                          <w:t>2.7.1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būtinosios medicinos pagalbos teikimas apdraustiesiems privalomuoju sveikatos draudimu, neįtrauktiems į prirašytų prie PAASP įstaigos gyventojų sąrašą, ir neapdraustiems privalomuoju sveikatos draudimu asmenims, nuolat gyvenantiems Lietuvoje</w:t>
                        </w:r>
                      </w:p>
                      <w:p>
                        <w:pPr>
                          <w:suppressAutoHyphens/>
                          <w:textAlignment w:val="baseline"/>
                          <w:rPr>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both"/>
                          <w:textAlignment w:val="baseline"/>
                          <w:rPr>
                            <w:rFonts w:eastAsia="Calibri"/>
                            <w:szCs w:val="24"/>
                          </w:rPr>
                        </w:pP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Teikiama</w:t>
                        </w:r>
                        <w:r>
                          <w:rPr>
                            <w:b/>
                            <w:bCs/>
                            <w:szCs w:val="24"/>
                          </w:rPr>
                          <w:t>,</w:t>
                        </w:r>
                        <w:r>
                          <w:rPr>
                            <w:szCs w:val="24"/>
                          </w:rPr>
                          <w:t xml:space="preserve"> vadovaujantis Lietuvos medicinos norma MN 14:2019 „Šeimos gydytojas“, patvirtinta Lietuvos Respublikos sveikatos apsaugos ministro 2005 m. gruodžio 22 d. įsakymu Nr. V-1013 „Dėl Lietuvos medicinos normos MN 14:2019 „Šeimos gydytojas“ patvirtinimo“, ir Būtinosios medicinos pagalbos teikimo tvarkos ir masto aprašu, patvirtintu Lietuvos Respublikos sveikatos apsaugos ministro 2004 m. balandžio 8 d. įsakymu Nr. V-208 „Dėl Būtinosios medicinos pagalbos teikimo tvarkos ir masto aprašo patvirtinimo“, apdraustiesiems privalomuoju sveikatos draudimu, neįtrauktiems į prirašytų prie PAASP įstaigos gyventojų sąrašą, ir neapdraustiems privalomuoju sveikatos draudimu asmenims, nuolat gyvenantiems Lietuvoje, bei Europos Sąjungos šalių apdraustiesiems, pateikusiems vieną iš šių dokumentų: Europos sveikatos draudimo kortelę, ją pakeičiantį sertifikatą, E 123 formos pažymą arba dokumentą DA1. Mokama už vieną ligos epizodą, neatsižvelgiant į paciento apsilankymų skaičių.</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szCs w:val="24"/>
                          </w:rPr>
                          <w:t>2.7.2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būtinosios medicinos pagalbos teikimas Europos Sąjungos šalių apdraustiesiems, pateikusiems vieną iš šių dokumentų: Europos sveikatos draudimo kortelę, ją pakeičiantį sertifikatą, E123 formos pažymą arba dokumentą DA1</w:t>
                        </w:r>
                      </w:p>
                      <w:p>
                        <w:pPr>
                          <w:tabs>
                            <w:tab w:val="left" w:pos="9781"/>
                          </w:tabs>
                          <w:suppressAutoHyphens/>
                          <w:textAlignment w:val="baseline"/>
                          <w:rPr>
                            <w:rFonts w:eastAsia="Calibri"/>
                            <w:strike/>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both"/>
                          <w:textAlignment w:val="baseline"/>
                          <w:rPr>
                            <w:rFonts w:eastAsia="Calibri"/>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rPr>
                      <w:trHeight w:val="2258"/>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szCs w:val="24"/>
                          </w:rPr>
                          <w:t>2.7.3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būtinosios odontologinės pagalbos teikimas apdraustiesiems privalomuoju sveikatos draudimu, neįtrauktiems į prirašytų prie PAASP įstaigos gyventojų sąrašą, ir neapdraustiems privalomuoju sveikatos draudimu asmenims, nuolat gyvenantiems Lietuvoje </w:t>
                        </w:r>
                      </w:p>
                      <w:p>
                        <w:pPr>
                          <w:suppressAutoHyphens/>
                          <w:textAlignment w:val="baseline"/>
                          <w:rPr>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rPr>
                            <w:szCs w:val="24"/>
                          </w:rPr>
                        </w:pPr>
                        <w:r>
                          <w:rPr>
                            <w:szCs w:val="24"/>
                          </w:rPr>
                          <w:t>Teikiama pagal Lietuvos medicinos normą MN 42:2015 „Gydytojas odontologas. Teisės, pareigos, kompetencija ir atsakomybė“, patvirtintą Lietuvos Respublikos sveikatos apsaugos ministro 2015 m. lapkričio 5 d. įsakymu Nr. V-1252 „Dėl Lietuvos medicinos normos MN 42:2015 „Gydytojas odontologas. Teisės, pareigos, kompetencija ir atsakomybė“ patvirtinimo“, apdraustiesiems privalomuoju sveikatos draudimu, neįtrauktiems į prirašytų prie PAASP įstaigos gyventojų sąrašą, ir neapdraustiems privalomuoju sveikatos draudimu asmenims, nuolat gyvenantiems Lietuvoje, bei Europos Sąjungos šalių apdraustiesiems, pateikusiems vieną iš šių dokumentų: Europos sveikatos draudimo kortelę, ją pakeičiantį sertifikatą, E 123 formos pažymą arba dokumentą DA. Mokama už vieną ligos epizodą, neatsižvelgiant į paciento apsilankymų skaičių.</w:t>
                        </w:r>
                      </w:p>
                    </w:tc>
                  </w:tr>
                  <w:tr>
                    <w:trPr>
                      <w:trHeight w:val="3220"/>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 xml:space="preserve">2.7.4 </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rFonts w:eastAsia="Calibri"/>
                            <w:szCs w:val="24"/>
                          </w:rPr>
                        </w:pPr>
                        <w:r>
                          <w:rPr>
                            <w:rFonts w:eastAsia="Calibri"/>
                            <w:szCs w:val="24"/>
                          </w:rPr>
                          <w:t>būtinosios odontologinės pagalbos teikimas Europos Sąjungos šalių apdraustiesiems, pateikusiems vieną iš šių dokumentų: Europos sveikatos draudimo kortelę, ją pakeičiantį sertifikatą, E123 formos pažymą arba dokumentą DA1</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p>
                    </w:tc>
                  </w:tr>
                  <w:tr>
                    <w:trPr>
                      <w:trHeight w:val="1978"/>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2.7.5</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rFonts w:eastAsia="Calibri"/>
                            <w:szCs w:val="24"/>
                          </w:rPr>
                        </w:pPr>
                        <w:r>
                          <w:rPr>
                            <w:rFonts w:eastAsia="Calibri"/>
                            <w:szCs w:val="24"/>
                          </w:rPr>
                          <w:t xml:space="preserve">būtinosios psichiatrinės pagalbos teikimas apdraustiesiems privalomuoju sveikatos draudimu, neįtrauktiems į prirašytų prie PAASP įstaigos gyventojų sąrašą, ir neapdraustiems privalomuoju sveikatos draudimu asmenims, nuolat gyvenantiems Lietuvoje </w:t>
                        </w:r>
                      </w:p>
                      <w:p>
                        <w:pPr>
                          <w:tabs>
                            <w:tab w:val="left" w:pos="9781"/>
                          </w:tabs>
                          <w:suppressAutoHyphens/>
                          <w:textAlignment w:val="baseline"/>
                          <w:rPr>
                            <w:rFonts w:eastAsia="Calibri"/>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p>
                    </w:tc>
                    <w:tc>
                      <w:tcPr>
                        <w:tcW w:w="4602" w:type="dxa"/>
                        <w:gridSpan w:val="2"/>
                        <w:vMerge w:val="restart"/>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suppressAutoHyphens/>
                          <w:textAlignment w:val="baseline"/>
                          <w:rPr>
                            <w:szCs w:val="24"/>
                          </w:rPr>
                        </w:pPr>
                        <w:r>
                          <w:rPr>
                            <w:szCs w:val="24"/>
                          </w:rPr>
                          <w:t>Teikiama pagal Lietuvos medicinos normą MN 53:2019 „Gydytojas psichiatras“, patvirtintą Lietuvos Respublikos sveikatos apsaugos ministro 2005 m. liepos 22 d. įsakymu Nr. V-601 „Dėl Lietuvos medicinos normos MN 53:2019 „Gydytojas psichiatras“ patvirtinimo“, Lietuvos medicinos normą MN 114:2005 „Gydytojas vaikų ir paauglių psichiatras. Teisės, pareigos, kompetencija ir atsakomybė“, patvirtintą Lietuvos Respublikos sveikatos apsaugos ministro 2005 m. liepos 13 d. įsakymu Nr. V-577 „Dėl Lietuvos medicinos normos MN 114:2005 „Gydytojas vaikų ir paauglių psichiatras. Teisės, pareigos, kompetencija ir atsakomybė“ patvirtinimo“, ir Būtinosios medicinos pagalbos teikimo tvarkos ir masto aprašą, patvirtintą Lietuvos Respublikos sveikatos apsaugos ministro 2004 m. balandžio 8 d. įsakymu Nr. V-208 „Dėl Būtinosios medicinos pagalbos teikimo tvarkos ir masto aprašo patvirtinimo“, apdraustiesiems privalomuoju sveikatos draudimu, neįtrauktiems į prirašytų prie PAASP įstaigos gyventojų sąrašą, ir neapdraustiems privalomuoju sveikatos draudimu asmenims, nuolat gyvenantiems Lietuvoje, bei Europos Sąjungos šalių apdraustiesiems, pateikusiems vieną iš šių dokumentų: Europos sveikatos draudimo kortelę, ją pakeičiantį sertifikatą, E 123 formos pažymą arba dokumentą DA1. Mokama už vieną ligos epizodą, neatsižvelgiant į paciento apsilankymų skaičių.</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pPr>
                        <w:r>
                          <w:rPr>
                            <w:rFonts w:eastAsia="Calibri"/>
                            <w:kern w:val="3"/>
                            <w:szCs w:val="24"/>
                          </w:rPr>
                          <w:t>2.7.6</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rFonts w:eastAsia="Calibri"/>
                            <w:kern w:val="3"/>
                            <w:szCs w:val="24"/>
                          </w:rPr>
                          <w:t>būtinosios psichiatrinės pagalbos teikimas Europos Sąjungos šalių apdraustiesiems, pateikusiems vieną iš šių dokumentų: Europos sveikatos draudimo kortelę, ją pakeičiantį sertifikatą, E123 formos pažymą arba dokumentą DA1</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shd w:val="clear" w:color="auto" w:fill="FFFFFF"/>
                          </w:rPr>
                        </w:pPr>
                      </w:p>
                    </w:tc>
                    <w:tc>
                      <w:tcPr>
                        <w:tcW w:w="4602" w:type="dxa"/>
                        <w:gridSpan w:val="2"/>
                        <w:vMerge/>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rPr>
                            <w:szCs w:val="24"/>
                          </w:rPr>
                        </w:pP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2.8.</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shd w:val="clear" w:color="auto" w:fill="FFFFFF"/>
                          </w:rPr>
                        </w:pPr>
                        <w:r>
                          <w:rPr>
                            <w:szCs w:val="24"/>
                            <w:shd w:val="clear" w:color="auto" w:fill="FFFFFF"/>
                          </w:rPr>
                          <w:t>Asmenų, kuriems taikomas pakaitinis gydymas metadonu, priežiūra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shd w:val="clear" w:color="auto" w:fill="FFFFFF"/>
                          </w:rPr>
                        </w:pPr>
                        <w:r>
                          <w:rPr>
                            <w:szCs w:val="24"/>
                            <w:shd w:val="clear" w:color="auto" w:fill="FFFFFF"/>
                          </w:rPr>
                          <w:t>12</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vAlign w:val="cente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rPr>
                            <w:szCs w:val="24"/>
                          </w:rPr>
                        </w:pPr>
                        <w:r>
                          <w:rPr>
                            <w:szCs w:val="24"/>
                          </w:rPr>
                          <w:t xml:space="preserve">Mokama už vieną paslaugą per mėnesį, suteiktą pirminės ambulatorinės psichikos sveikatos priežiūros paslaugas teikiančio gydytojo. </w:t>
                        </w: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pPr>
                        <w:r>
                          <w:rPr>
                            <w:szCs w:val="24"/>
                          </w:rPr>
                          <w:t>Teikiant šią paslaugą turi būti užtikrinamas nepertraukiamas pakaitinis gydymas metadonu ir prireikus atliekamas psichoaktyviųjų medžiagų nustatymo testas.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2.9</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Sergančio tuberkulioze </w:t>
                        </w:r>
                      </w:p>
                      <w:p>
                        <w:pPr>
                          <w:tabs>
                            <w:tab w:val="left" w:pos="9781"/>
                          </w:tabs>
                          <w:suppressAutoHyphens/>
                          <w:textAlignment w:val="baseline"/>
                        </w:pPr>
                        <w:r>
                          <w:rPr>
                            <w:szCs w:val="24"/>
                          </w:rPr>
                          <w:t>asmens išgydymas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shd w:val="clear" w:color="auto" w:fill="FFFFFF"/>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textAlignment w:val="baseline"/>
                          <w:rPr>
                            <w:szCs w:val="24"/>
                          </w:rPr>
                        </w:pPr>
                        <w:r>
                          <w:rPr>
                            <w:szCs w:val="24"/>
                          </w:rPr>
                          <w:t>Mokama tuo atveju, jei bakteriologinių tyrimų (mikroskopijos, pasėlio), atliekamų dviem paskutiniais gydymo kurso mėnesiais, o dauginio atsparumo vaistams nuo tuberkuliozės atveju – paskutiniais trimis mėnesiais, rezultatai yra neigiami, t. y. pacientas nebeišskiria tuberkuliozės mikobakterijų.</w:t>
                        </w:r>
                      </w:p>
                    </w:tc>
                  </w:tr>
                  <w:tr>
                    <w:trPr>
                      <w:trHeight w:val="308"/>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2.10</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Pirminės psichologinės-psichoterapinės intervencijos: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2.10.1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individuali</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12</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rPr>
                          <w:t xml:space="preserve">Atlieka gydytojas psichiatras ar gydytojas vaikų ir paauglių psichiatras, ar medicinos (klinikinis) psichologas. Paslauga teikiama ne rečiau kaip 1–2 kartus per savaitę ir trunka ne mažiau kaip 1 valandą. </w:t>
                        </w:r>
                      </w:p>
                    </w:tc>
                  </w:tr>
                  <w:tr>
                    <w:trPr>
                      <w:trHeight w:val="558"/>
                    </w:trPr>
                    <w:tc>
                      <w:tcPr>
                        <w:tcW w:w="998"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pPr>
                          <w:tabs>
                            <w:tab w:val="left" w:pos="1134"/>
                          </w:tabs>
                          <w:jc w:val="both"/>
                          <w:rPr>
                            <w:bCs/>
                            <w:szCs w:val="24"/>
                          </w:rPr>
                        </w:pPr>
                        <w:r>
                          <w:rPr>
                            <w:bCs/>
                            <w:szCs w:val="24"/>
                          </w:rPr>
                          <w:t>2.10.2</w:t>
                        </w:r>
                      </w:p>
                    </w:tc>
                    <w:tc>
                      <w:tcPr>
                        <w:tcW w:w="2409" w:type="dxa"/>
                        <w:gridSpan w:val="2"/>
                        <w:tcBorders>
                          <w:top w:val="single" w:sz="8" w:space="0" w:color="000000"/>
                          <w:left w:val="nil"/>
                          <w:bottom w:val="single" w:sz="8" w:space="0" w:color="000000"/>
                          <w:right w:val="single" w:sz="8" w:space="0" w:color="000000"/>
                        </w:tcBorders>
                        <w:tcMar>
                          <w:top w:w="0" w:type="dxa"/>
                          <w:left w:w="0" w:type="dxa"/>
                          <w:bottom w:w="0" w:type="dxa"/>
                          <w:right w:w="0" w:type="dxa"/>
                        </w:tcMar>
                      </w:tcPr>
                      <w:p>
                        <w:pPr>
                          <w:tabs>
                            <w:tab w:val="left" w:pos="1134"/>
                          </w:tabs>
                          <w:jc w:val="both"/>
                          <w:rPr>
                            <w:bCs/>
                            <w:szCs w:val="24"/>
                          </w:rPr>
                        </w:pPr>
                        <w:r>
                          <w:rPr>
                            <w:bCs/>
                            <w:szCs w:val="24"/>
                          </w:rPr>
                          <w:t>grupinė</w:t>
                        </w:r>
                      </w:p>
                    </w:tc>
                    <w:tc>
                      <w:tcPr>
                        <w:tcW w:w="1776" w:type="dxa"/>
                        <w:gridSpan w:val="2"/>
                        <w:tcBorders>
                          <w:top w:val="single" w:sz="8" w:space="0" w:color="000000"/>
                          <w:left w:val="nil"/>
                          <w:bottom w:val="single" w:sz="8" w:space="0" w:color="000000"/>
                          <w:right w:val="single" w:sz="8" w:space="0" w:color="000000"/>
                        </w:tcBorders>
                        <w:tcMar>
                          <w:top w:w="0" w:type="dxa"/>
                          <w:left w:w="0" w:type="dxa"/>
                          <w:bottom w:w="0" w:type="dxa"/>
                          <w:right w:w="0" w:type="dxa"/>
                        </w:tcMar>
                      </w:tcPr>
                      <w:p>
                        <w:pPr>
                          <w:tabs>
                            <w:tab w:val="left" w:pos="1134"/>
                          </w:tabs>
                          <w:jc w:val="both"/>
                          <w:rPr>
                            <w:bCs/>
                            <w:szCs w:val="24"/>
                          </w:rPr>
                        </w:pPr>
                        <w:r>
                          <w:rPr>
                            <w:bCs/>
                            <w:szCs w:val="24"/>
                          </w:rPr>
                          <w:t>12</w:t>
                        </w:r>
                      </w:p>
                    </w:tc>
                    <w:tc>
                      <w:tcPr>
                        <w:tcW w:w="4602" w:type="dxa"/>
                        <w:gridSpan w:val="2"/>
                        <w:tcBorders>
                          <w:top w:val="single" w:sz="8" w:space="0" w:color="000000"/>
                          <w:left w:val="nil"/>
                          <w:bottom w:val="single" w:sz="8" w:space="0" w:color="000000"/>
                          <w:right w:val="single" w:sz="8" w:space="0" w:color="000000"/>
                        </w:tcBorders>
                        <w:tcMar>
                          <w:top w:w="0" w:type="dxa"/>
                          <w:left w:w="0" w:type="dxa"/>
                          <w:bottom w:w="0" w:type="dxa"/>
                          <w:right w:w="0" w:type="dxa"/>
                        </w:tcMar>
                      </w:tcPr>
                      <w:p>
                        <w:pPr>
                          <w:tabs>
                            <w:tab w:val="left" w:pos="1134"/>
                          </w:tabs>
                          <w:jc w:val="both"/>
                          <w:rPr>
                            <w:bCs/>
                            <w:szCs w:val="24"/>
                          </w:rPr>
                        </w:pPr>
                        <w:r>
                          <w:rPr>
                            <w:bCs/>
                            <w:szCs w:val="24"/>
                          </w:rPr>
                          <w:t>Atlieka gydytojas psichiatras ar gydytojas vaikų ir paauglių psichiatras, ar medicinos (klinikinis) psichologas. Paslauga teikiama ne rečiau kaip 1–2 kartus per savaitę ir trunka 1–1,5 valandos. Grupėje turi būti ne mažiau kaip 4 ir ne daugiau kaip 10 asmenų. Jei grupėje yra mažiau nei 80 procentų grupę sudarančių asmenų, intervencija laikoma neįvykusia ir už</w:t>
                        </w:r>
                      </w:p>
                      <w:p>
                        <w:pPr>
                          <w:tabs>
                            <w:tab w:val="left" w:pos="1134"/>
                          </w:tabs>
                          <w:jc w:val="both"/>
                          <w:rPr>
                            <w:bCs/>
                            <w:szCs w:val="24"/>
                          </w:rPr>
                        </w:pPr>
                        <w:r>
                          <w:rPr>
                            <w:bCs/>
                            <w:szCs w:val="24"/>
                          </w:rPr>
                          <w:t>ją nemokama. Skatinamasis priedas už kiekvieną paslaugą gavusį asmenį mokamas atskirai.</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2.10.3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 xml:space="preserve">šeimos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12</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Atlieka gydytojas psichiatras ar gydytojas vaikų ir paauglių psichiatras, ar medicinos (klinikinis) psichologas. Paslauga teikiama ne rečiau kaip 1–2 kartus per savaitę ir trunka ne mažiau kaip 1 valandą. Užsiėmime turi dalyvauti ne mažiau kaip du asmenys (vaikas ir bent vienas iš tėvų ar globėjų).</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r>
                          <w:rPr>
                            <w:rFonts w:eastAsia="Calibri"/>
                            <w:kern w:val="3"/>
                            <w:szCs w:val="28"/>
                            <w:lang w:eastAsia="lt-LT"/>
                          </w:rPr>
                          <w:t>2.11.</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suppressAutoHyphens/>
                          <w:textAlignment w:val="baseline"/>
                        </w:pPr>
                        <w:r>
                          <w:rPr>
                            <w:rFonts w:eastAsia="Calibri"/>
                            <w:bCs/>
                            <w:kern w:val="3"/>
                            <w:szCs w:val="28"/>
                            <w:lang w:eastAsia="lt-LT"/>
                          </w:rPr>
                          <w:t>Ankstyvasis alkoholio vartojimo rizikos įvertinimas</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suppressAutoHyphens/>
                          <w:textAlignment w:val="baseline"/>
                          <w:rPr>
                            <w:bCs/>
                            <w:szCs w:val="24"/>
                          </w:rPr>
                        </w:pPr>
                        <w:r>
                          <w:rPr>
                            <w:rFonts w:eastAsia="Calibri"/>
                            <w:bCs/>
                            <w:kern w:val="3"/>
                            <w:szCs w:val="28"/>
                            <w:lang w:eastAsia="lt-LT"/>
                          </w:rPr>
                          <w:t>Atlieka šeimos medicinos paslaugas teikiantis gydytojas ar gydytojas psichiatras, ar gydytojas vaikų ir paauglių psichiatras, ar bendrosios praktikos slaugytojas, ar išplėstinės praktikos slaugytojas, ar psichikos sveikatos slaugytojas, ar medicinos psichologas, ar gyvensenos medicinos specialistas – vertinama ne trumpiau kaip 5 minutes. Paslauga teikiama vadovaujantis Alkoholio vartojimo įpročių vertinimo ir trumposios intervencijos alkoholį vartojantiems asmenims teikimo tvarkos aprašu, patvirtintu Lietuvos Respublikos sveikatos apsaugos ministro 2017 m. lapkričio 29 d. įsakymu Nr. V-1359 „Dėl Alkoholio vartojimo įpročių vertinimo ir trumposios intervencijos alkoholį vartojantiems asmenims teikimo tvarkos aprašo patvirtinimo</w:t>
                        </w:r>
                      </w:p>
                    </w:tc>
                  </w:tr>
                  <w:tr>
                    <w:trPr>
                      <w:trHeight w:val="558"/>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r>
                          <w:rPr>
                            <w:szCs w:val="24"/>
                          </w:rPr>
                          <w:t>2.12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rFonts w:eastAsia="Calibri"/>
                            <w:szCs w:val="24"/>
                          </w:rPr>
                        </w:pPr>
                        <w:r>
                          <w:rPr>
                            <w:rFonts w:eastAsia="Calibri"/>
                            <w:szCs w:val="24"/>
                          </w:rPr>
                          <w:t>Vaiko psichomotorinės raidos įvertinimas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rFonts w:eastAsia="Calibri"/>
                            <w:szCs w:val="24"/>
                          </w:rPr>
                          <w:t xml:space="preserve">Atlieka šeimos </w:t>
                        </w:r>
                        <w:r>
                          <w:rPr>
                            <w:szCs w:val="24"/>
                          </w:rPr>
                          <w:t>medicinos paslaugas teikiantis gydytojas. Paslauga teikiama</w:t>
                        </w:r>
                        <w:r>
                          <w:rPr>
                            <w:b/>
                            <w:bCs/>
                            <w:szCs w:val="24"/>
                          </w:rPr>
                          <w:t xml:space="preserve"> </w:t>
                        </w:r>
                        <w:r>
                          <w:rPr>
                            <w:rFonts w:eastAsia="Calibri"/>
                            <w:szCs w:val="24"/>
                          </w:rPr>
                          <w:t xml:space="preserve">vadovaujantis Vaikų ir pilnamečių mokinių, ugdomų pagal bendrojo ugdymo programas, sveikatos tikrinimo tvarkos aprašu (3 priedu), patvirtintu Lietuvos Respublikos sveikatos apsaugos ministro 2000 m. gegužės 31 d. įsakymu Nr. 301 „Dėl profilaktinių sveikatos tikrinimų sveikatos priežiūros įstaigose“. </w:t>
                        </w:r>
                      </w:p>
                    </w:tc>
                  </w:tr>
                  <w:tr>
                    <w:trPr>
                      <w:trHeight w:val="558"/>
                    </w:trPr>
                    <w:tc>
                      <w:tcPr>
                        <w:tcW w:w="998" w:type="dxa"/>
                        <w:gridSpan w:val="2"/>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tabs>
                            <w:tab w:val="left" w:pos="204"/>
                            <w:tab w:val="center" w:pos="349"/>
                            <w:tab w:val="left" w:pos="9781"/>
                          </w:tabs>
                          <w:suppressAutoHyphens/>
                          <w:jc w:val="center"/>
                          <w:textAlignment w:val="baseline"/>
                          <w:rPr>
                            <w:szCs w:val="24"/>
                          </w:rPr>
                        </w:pPr>
                        <w:r>
                          <w:rPr>
                            <w:szCs w:val="24"/>
                          </w:rPr>
                          <w:t>2.13</w:t>
                        </w:r>
                      </w:p>
                    </w:tc>
                    <w:tc>
                      <w:tcPr>
                        <w:tcW w:w="8787" w:type="dxa"/>
                        <w:gridSpan w:val="6"/>
                        <w:tcBorders>
                          <w:top w:val="single" w:sz="4" w:space="0" w:color="000000"/>
                          <w:left w:val="single" w:sz="4" w:space="0" w:color="000000"/>
                          <w:bottom w:val="single" w:sz="4" w:space="0" w:color="auto"/>
                          <w:right w:val="single" w:sz="4" w:space="0" w:color="000000"/>
                        </w:tcBorders>
                        <w:tcMar>
                          <w:top w:w="0" w:type="dxa"/>
                          <w:left w:w="0" w:type="dxa"/>
                          <w:bottom w:w="0" w:type="dxa"/>
                          <w:right w:w="0" w:type="dxa"/>
                        </w:tcMar>
                      </w:tcPr>
                      <w:p>
                        <w:pPr>
                          <w:suppressAutoHyphens/>
                          <w:textAlignment w:val="baseline"/>
                        </w:pPr>
                        <w:r>
                          <w:rPr>
                            <w:color w:val="000000"/>
                            <w:szCs w:val="24"/>
                          </w:rPr>
                          <w:t xml:space="preserve">PAASP paslaugos, teikiamos nelegaliai Lietuvos Respublikos sieną </w:t>
                        </w:r>
                        <w:r>
                          <w:rPr>
                            <w:szCs w:val="24"/>
                          </w:rPr>
                          <w:t>kirtusiems užsieniečiams</w:t>
                        </w:r>
                        <w:r>
                          <w:rPr>
                            <w:color w:val="000000"/>
                            <w:szCs w:val="24"/>
                          </w:rPr>
                          <w:t>, užsieniečiams, gyvenantiems užsienio šalyje, kurioje vyksta ginkluotas konfliktas, dėl kurio Lietuvos Respublikoje paskelbta nepaprastoji padėtis ar ekstremalioji situacija, ir pasitraukusiems iš šios užsienio šalies į Lietuvos Respubliką, užsieniečiams, pateikusiems prašymą suteikti jiems prieglobstį Lietuvos Respublikoje, užsieniečiams, turintiems teisę gauti laikinąją apsaugą, iki sprendimo dėl laikinosios apsaugos suteikimo (nesuteikimo) priėmimo, tačiau ne ilgiau kaip laikinosios apsaugos laikotarpiu, užsieniečiams, kuriems suteikta laikinoji apsauga Lietuvos Respublikoje, užsieniečiams, kuriems Lietuvos Respublikos įstatymo „Dėl užsieniečių teisinės padėties“ 40 straipsnio 1 dalies 8 punkte nurodytu pagrindu suteiktas leidimas laikinai gyventi Lietuvos Respublikoje, bei šiame punkte nurodytų užsieniečių vaikams iki 18 metų:</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jc w:val="both"/>
                          <w:rPr>
                            <w:szCs w:val="24"/>
                            <w:lang w:eastAsia="lt-LT"/>
                          </w:rPr>
                        </w:pPr>
                        <w:r>
                          <w:rPr>
                            <w:szCs w:val="24"/>
                            <w:lang w:eastAsia="lt-LT"/>
                          </w:rPr>
                          <w:t>2.13.1.</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ind w:firstLine="62"/>
                          <w:jc w:val="both"/>
                          <w:rPr>
                            <w:szCs w:val="24"/>
                            <w:lang w:eastAsia="lt-LT"/>
                          </w:rPr>
                        </w:pPr>
                        <w:r>
                          <w:rPr>
                            <w:szCs w:val="24"/>
                          </w:rPr>
                          <w:t>šeimos medicinos paslaugos</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jc w:val="both"/>
                          <w:rPr>
                            <w:szCs w:val="24"/>
                            <w:lang w:eastAsia="lt-LT"/>
                          </w:rPr>
                        </w:pP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rPr>
                            <w:szCs w:val="24"/>
                            <w:lang w:eastAsia="lt-LT"/>
                          </w:rPr>
                        </w:pPr>
                        <w:r>
                          <w:rPr>
                            <w:szCs w:val="24"/>
                            <w:lang w:eastAsia="lt-LT"/>
                          </w:rPr>
                          <w:t>Teikiama pagal Lietuvos medicinos normą MN 14:2019 „Šeimos gydytojas“, patvirtintą Lietuvos Respublikos sveikatos apsaugos ministro 2005 m. gruodžio 22 d. įsakymu Nr. V-1013 „Dėl Lietuvos medicinos normos MN 14:2019 „Šeimos gydytojas“ patvirtinimo</w:t>
                        </w:r>
                      </w:p>
                    </w:tc>
                  </w:tr>
                  <w:tr>
                    <w:tc>
                      <w:tcPr>
                        <w:tcW w:w="998" w:type="dxa"/>
                        <w:gridSpan w:val="2"/>
                        <w:tcBorders>
                          <w:top w:val="single" w:sz="4" w:space="0" w:color="auto"/>
                          <w:left w:val="single" w:sz="4" w:space="0" w:color="000000"/>
                          <w:bottom w:val="single" w:sz="4" w:space="0" w:color="000000"/>
                          <w:right w:val="single" w:sz="4" w:space="0" w:color="auto"/>
                        </w:tcBorders>
                        <w:tcMar>
                          <w:top w:w="0" w:type="dxa"/>
                          <w:left w:w="0" w:type="dxa"/>
                          <w:bottom w:w="0" w:type="dxa"/>
                          <w:right w:w="0" w:type="dxa"/>
                        </w:tcMar>
                      </w:tcPr>
                      <w:p>
                        <w:pPr>
                          <w:tabs>
                            <w:tab w:val="left" w:pos="9781"/>
                          </w:tabs>
                          <w:suppressAutoHyphens/>
                          <w:jc w:val="center"/>
                          <w:textAlignment w:val="baseline"/>
                          <w:rPr>
                            <w:iCs/>
                            <w:szCs w:val="24"/>
                          </w:rPr>
                        </w:pPr>
                        <w:r>
                          <w:rPr>
                            <w:iCs/>
                            <w:szCs w:val="24"/>
                          </w:rPr>
                          <w:t>2.13.2</w:t>
                        </w:r>
                      </w:p>
                    </w:tc>
                    <w:tc>
                      <w:tcPr>
                        <w:tcW w:w="2409" w:type="dxa"/>
                        <w:gridSpan w:val="2"/>
                        <w:tcBorders>
                          <w:top w:val="single" w:sz="4" w:space="0" w:color="auto"/>
                          <w:left w:val="single" w:sz="4" w:space="0" w:color="auto"/>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pirminės ambulatorinės psichikos sveikatos priežiūros paslaugos</w:t>
                        </w:r>
                      </w:p>
                      <w:p>
                        <w:pPr>
                          <w:suppressAutoHyphens/>
                          <w:textAlignment w:val="baseline"/>
                          <w:rPr>
                            <w:szCs w:val="24"/>
                          </w:rPr>
                        </w:pPr>
                      </w:p>
                    </w:tc>
                    <w:tc>
                      <w:tcPr>
                        <w:tcW w:w="1776" w:type="dxa"/>
                        <w:gridSpan w:val="2"/>
                        <w:tcBorders>
                          <w:top w:val="single" w:sz="4" w:space="0" w:color="auto"/>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p>
                    </w:tc>
                    <w:tc>
                      <w:tcPr>
                        <w:tcW w:w="4602" w:type="dxa"/>
                        <w:gridSpan w:val="2"/>
                        <w:tcBorders>
                          <w:top w:val="single" w:sz="4" w:space="0" w:color="auto"/>
                          <w:left w:val="single" w:sz="4" w:space="0" w:color="000000"/>
                          <w:bottom w:val="single" w:sz="4" w:space="0" w:color="000000"/>
                          <w:right w:val="single" w:sz="4" w:space="0" w:color="auto"/>
                        </w:tcBorders>
                        <w:tcMar>
                          <w:top w:w="0" w:type="dxa"/>
                          <w:left w:w="0" w:type="dxa"/>
                          <w:bottom w:w="0" w:type="dxa"/>
                          <w:right w:w="0" w:type="dxa"/>
                        </w:tcMar>
                      </w:tcPr>
                      <w:p>
                        <w:pPr>
                          <w:tabs>
                            <w:tab w:val="left" w:pos="9781"/>
                          </w:tabs>
                          <w:suppressAutoHyphens/>
                          <w:textAlignment w:val="baseline"/>
                          <w:rPr>
                            <w:szCs w:val="24"/>
                          </w:rPr>
                        </w:pPr>
                        <w:r>
                          <w:rPr>
                            <w:szCs w:val="24"/>
                          </w:rPr>
                          <w:t>Teikiama vadovaujantis Pirminės ambulatorinės psichikos sveikatos priežiūros paslaugų teikimo tvarkos aprašu, patvirtintu Lietuvos Respublikos sveikatos apsaugos ministro 2012 m. rugsėjo 17 d. įsakymu Nr. V-861 „Dėl Pirminės ambulatorinės psichikos sveikatos priežiūros paslaugų teikimo tvarkos aprašo patvirtinimo“.</w:t>
                        </w:r>
                      </w:p>
                    </w:tc>
                  </w:tr>
                  <w:tr>
                    <w:trPr>
                      <w:trHeight w:val="908"/>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r>
                          <w:rPr>
                            <w:iCs/>
                            <w:szCs w:val="24"/>
                          </w:rPr>
                          <w:t>2.13.3</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pirminės ambulatorinės odontologinės asmens sveikatos priežiūros paslaugos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rPr>
                          <w:t>Teikiama vadovaujantis Pirminės odontologinės priežiūros (pagalbos) paslaugų, kompensuojamų iš Privalomojo sveikatos draudimo fondo biudžeto lėšų, mastu (sudėtimi), patvirtintu Lietuvos Respublikos sveikatos apsaugos ministro 2008 m. gegužės 23 d. įsakymu Nr. V-483 „Dėl Pirminės odontologinės priežiūros (pagalbos) paslaugų, kompensuojamų iš Privalomojo sveikatos draudimo fondo biudžeto lėšų, masto (sudėties) patvirtinimo“.</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r>
                          <w:rPr>
                            <w:iCs/>
                            <w:szCs w:val="24"/>
                          </w:rPr>
                          <w:t>2.13.4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fiziologinio nėštumo priežiūros paslaugos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iCs/>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Teikiama vadovaujantis Nėščiųjų, gimdyvių ir naujagimių sveikatos priežiūros tvarkos aprašu, patvirtintu Lietuvos Respublikos sveikatos apsaugos ministro 2013 m. rugsėjo 23 d. įsakymu Nr. V-900 „Dėl Nėščiųjų, gimdyvių ir naujagimių sveikatos priežiūros tvarkos aprašo patvirtinimo“.</w:t>
                        </w:r>
                      </w:p>
                      <w:p>
                        <w:pPr>
                          <w:suppressAutoHyphens/>
                          <w:textAlignment w:val="baseline"/>
                        </w:pPr>
                        <w:r>
                          <w:rPr>
                            <w:szCs w:val="24"/>
                          </w:rPr>
                          <w:t>Suteikus fiziologinio nėštumo priežiūros paslaugą, papildomai mokami skatinamieji priedai už laboratorinių tyrimų (nurodytų šios lentelės 1.3 papunktyje) atlikimą nėščiosioms.</w:t>
                        </w:r>
                      </w:p>
                    </w:tc>
                  </w:tr>
                  <w:tr>
                    <w:trPr>
                      <w:trHeight w:val="824"/>
                    </w:trP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rFonts w:eastAsia="Calibri"/>
                            <w:szCs w:val="24"/>
                          </w:rPr>
                        </w:pPr>
                        <w:r>
                          <w:rPr>
                            <w:rFonts w:eastAsia="Calibri"/>
                            <w:szCs w:val="24"/>
                          </w:rPr>
                          <w:t>2.14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rPr>
                            <w:szCs w:val="24"/>
                          </w:rPr>
                        </w:pPr>
                        <w:r>
                          <w:rPr>
                            <w:szCs w:val="24"/>
                          </w:rPr>
                          <w:t>Savižudybės krizę išgyvenančių asmenų psichosocialinis vertinimas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both"/>
                          <w:textAlignment w:val="baseline"/>
                          <w:rPr>
                            <w:rFonts w:eastAsia="Calibri"/>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textAlignment w:val="baseline"/>
                        </w:pPr>
                        <w:r>
                          <w:rPr>
                            <w:szCs w:val="24"/>
                          </w:rPr>
                          <w:t>Atlieka gydytojas psichiatras ar gydytojas vaikų ir paauglių psichiatras, ar medicinos psichologas.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2.15</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Savižudybės grėsmę išgyvenančių asmenų priežiūra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ind w:left="2"/>
                          <w:textAlignment w:val="baseline"/>
                          <w:rPr>
                            <w:color w:val="000000"/>
                            <w:szCs w:val="24"/>
                            <w:lang w:eastAsia="lt-LT"/>
                          </w:rPr>
                        </w:pPr>
                        <w:r>
                          <w:rPr>
                            <w:color w:val="000000"/>
                            <w:szCs w:val="24"/>
                            <w:lang w:eastAsia="lt-LT"/>
                          </w:rPr>
                          <w:t>1.   Paslauga teikiama savižudybės grėsmę išgyvenantiems asmenims po psichikos sveikatos centre atlikto psichosocialinio vertinimo.</w:t>
                        </w:r>
                      </w:p>
                      <w:p>
                        <w:pPr>
                          <w:suppressAutoHyphens/>
                          <w:ind w:left="2"/>
                          <w:textAlignment w:val="baseline"/>
                          <w:rPr>
                            <w:color w:val="000000"/>
                            <w:szCs w:val="24"/>
                            <w:lang w:eastAsia="lt-LT"/>
                          </w:rPr>
                        </w:pPr>
                        <w:r>
                          <w:rPr>
                            <w:color w:val="000000"/>
                            <w:szCs w:val="24"/>
                            <w:lang w:eastAsia="lt-LT"/>
                          </w:rPr>
                          <w:t>2.   Paslauga laikoma suteikta, jei šešių savaičių laikotarpiu nuo psichosocialinio vertinimo paslaugos suteikimo datos:</w:t>
                        </w:r>
                      </w:p>
                      <w:p>
                        <w:pPr>
                          <w:suppressAutoHyphens/>
                          <w:ind w:firstLine="2"/>
                          <w:textAlignment w:val="baseline"/>
                          <w:rPr>
                            <w:color w:val="000000"/>
                            <w:szCs w:val="24"/>
                            <w:lang w:eastAsia="lt-LT"/>
                          </w:rPr>
                        </w:pPr>
                        <w:r>
                          <w:rPr>
                            <w:color w:val="000000"/>
                            <w:szCs w:val="24"/>
                            <w:lang w:eastAsia="lt-LT"/>
                          </w:rPr>
                          <w:t>2.1. buvo sudarytas tęstinės pagalbos savižudybės grėsmę patiriančiam asmeniui teikimo planas (atvejo vadyba);</w:t>
                        </w:r>
                      </w:p>
                      <w:p>
                        <w:pPr>
                          <w:suppressAutoHyphens/>
                          <w:textAlignment w:val="baseline"/>
                          <w:rPr>
                            <w:color w:val="000000"/>
                            <w:szCs w:val="24"/>
                            <w:lang w:eastAsia="lt-LT"/>
                          </w:rPr>
                        </w:pPr>
                        <w:r>
                          <w:rPr>
                            <w:color w:val="000000"/>
                            <w:szCs w:val="24"/>
                            <w:lang w:eastAsia="lt-LT"/>
                          </w:rPr>
                          <w:t>2.2. suteiktos ne mažiau kaip 6 paslaugos po atlikto psichosocialinio vertinimo (psichosocialinis vertinimas neįskaičiuojamas), iš kurių turi būti suteikta bent 1 gydytojo psichiatro (arba gydytojo vaikų ir paauglių psichiatro), bent 1 medicinos psichologo ir bent 1 atvejo vadybininko paslauga. Iš 6 suteiktų paslaugų ne daugiau kaip 2 paslaugos gali būti suteiktos nuotoliniu būdu.</w:t>
                        </w:r>
                      </w:p>
                      <w:p>
                        <w:pPr>
                          <w:suppressAutoHyphens/>
                          <w:textAlignment w:val="baseline"/>
                          <w:rPr>
                            <w:b/>
                            <w:bCs/>
                          </w:rPr>
                        </w:pPr>
                      </w:p>
                    </w:tc>
                  </w:tr>
                  <w:tr>
                    <w:tblPrEx>
                      <w:tblLook w:val="04A0" w:firstRow="1" w:lastRow="0" w:firstColumn="1" w:lastColumn="0" w:noHBand="0" w:noVBand="1"/>
                    </w:tblPrEx>
                    <w:trPr>
                      <w:gridBefore w:val="1"/>
                      <w:gridAfter w:val="1"/>
                      <w:wBefore w:w="10" w:type="dxa"/>
                      <w:wAfter w:w="152" w:type="dxa"/>
                    </w:trPr>
                    <w:tc>
                      <w:tcPr>
                        <w:tcW w:w="98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pPr>
                          <w:suppressAutoHyphens/>
                          <w:autoSpaceDN w:val="0"/>
                          <w:jc w:val="center"/>
                          <w:textAlignment w:val="baseline"/>
                          <w:rPr>
                            <w:szCs w:val="24"/>
                          </w:rPr>
                        </w:pPr>
                        <w:r>
                          <w:rPr>
                            <w:szCs w:val="24"/>
                          </w:rPr>
                          <w:t>2.16</w:t>
                        </w:r>
                      </w:p>
                    </w:tc>
                    <w:tc>
                      <w:tcPr>
                        <w:tcW w:w="2375"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pPr>
                          <w:suppressAutoHyphens/>
                          <w:autoSpaceDN w:val="0"/>
                          <w:textAlignment w:val="baseline"/>
                          <w:rPr>
                            <w:szCs w:val="24"/>
                          </w:rPr>
                        </w:pPr>
                        <w:r>
                          <w:rPr>
                            <w:szCs w:val="24"/>
                          </w:rPr>
                          <w:t>Skiepijimas (skyrimas ir atlikimas)</w:t>
                        </w:r>
                      </w:p>
                    </w:tc>
                    <w:tc>
                      <w:tcPr>
                        <w:tcW w:w="173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autoSpaceDN w:val="0"/>
                          <w:jc w:val="center"/>
                          <w:textAlignment w:val="baseline"/>
                          <w:rPr>
                            <w:szCs w:val="24"/>
                          </w:rPr>
                        </w:pPr>
                      </w:p>
                    </w:tc>
                    <w:tc>
                      <w:tcPr>
                        <w:tcW w:w="4524"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hideMark/>
                      </w:tcPr>
                      <w:p>
                        <w:pPr>
                          <w:tabs>
                            <w:tab w:val="left" w:pos="368"/>
                          </w:tabs>
                          <w:suppressAutoHyphens/>
                          <w:ind w:left="66" w:firstLine="1"/>
                          <w:textAlignment w:val="baseline"/>
                          <w:rPr>
                            <w:iCs/>
                            <w:szCs w:val="24"/>
                            <w:shd w:val="clear" w:color="auto" w:fill="FFFFFF"/>
                          </w:rPr>
                        </w:pPr>
                        <w:r>
                          <w:rPr>
                            <w:iCs/>
                            <w:szCs w:val="24"/>
                            <w:shd w:val="clear" w:color="auto" w:fill="FFFFFF"/>
                          </w:rPr>
                          <w:t>Skatinamasis priedas mokamas:</w:t>
                        </w:r>
                      </w:p>
                      <w:p>
                        <w:pPr>
                          <w:tabs>
                            <w:tab w:val="left" w:pos="350"/>
                          </w:tabs>
                          <w:suppressAutoHyphens/>
                          <w:ind w:left="66" w:firstLine="1"/>
                          <w:textAlignment w:val="baseline"/>
                        </w:pPr>
                        <w:r>
                          <w:rPr>
                            <w:iCs/>
                            <w:szCs w:val="24"/>
                            <w:shd w:val="clear" w:color="auto" w:fill="FFFFFF"/>
                          </w:rPr>
                          <w:t>1.</w:t>
                          <w:tab/>
                          <w:t xml:space="preserve">už vaikų skiepijimą, atliekamą vadovaujantis Lietuvos Respublikos sveikatos apsaugos ministro patvirtintu vaikų profilaktinių skiepijimų kalendoriumi; </w:t>
                        </w:r>
                      </w:p>
                      <w:p>
                        <w:pPr>
                          <w:tabs>
                            <w:tab w:val="left" w:pos="208"/>
                            <w:tab w:val="left" w:pos="350"/>
                          </w:tabs>
                          <w:suppressAutoHyphens/>
                          <w:ind w:left="66"/>
                          <w:textAlignment w:val="baseline"/>
                        </w:pPr>
                        <w:r>
                          <w:rPr>
                            <w:bCs/>
                            <w:iCs/>
                            <w:szCs w:val="24"/>
                          </w:rPr>
                          <w:t>2.</w:t>
                          <w:tab/>
                        </w:r>
                        <w:r>
                          <w:rPr>
                            <w:iCs/>
                            <w:szCs w:val="24"/>
                            <w:shd w:val="clear" w:color="auto" w:fill="FFFFFF"/>
                          </w:rPr>
                          <w:t>už asmenų, priskiriamų rizikos grupei, skiepijimą gripo vakcina. Mokama tuo atveju, jei gripo vakcina skiepijami rizikos grupei priskiriami asmenys. Skatinamasis priedas mokamas PAASP įstaigai, prie kurios asmuo yra prisirašęs;</w:t>
                        </w:r>
                      </w:p>
                      <w:p>
                        <w:pPr>
                          <w:tabs>
                            <w:tab w:val="left" w:pos="67"/>
                            <w:tab w:val="left" w:pos="350"/>
                          </w:tabs>
                          <w:suppressAutoHyphens/>
                          <w:ind w:left="66"/>
                          <w:textAlignment w:val="baseline"/>
                        </w:pPr>
                        <w:r>
                          <w:rPr>
                            <w:bCs/>
                            <w:iCs/>
                            <w:szCs w:val="24"/>
                          </w:rPr>
                          <w:t>3.</w:t>
                          <w:tab/>
                        </w:r>
                        <w:r>
                          <w:rPr>
                            <w:iCs/>
                            <w:szCs w:val="24"/>
                            <w:shd w:val="clear" w:color="auto" w:fill="FFFFFF"/>
                          </w:rPr>
                          <w:t>už asmenų skiepijimą nuo COVID-19 ligos (koronaviruso infekcijos). Skiepijimas atliekamas vadovaujantis Gyventojų skiepijimo COVID-19 ligos (koronaviruso infekcijos) vakcina organizavimo tvarkos aprašu, patvirtintu Lietuvos Respublikos sveikatos apsaugos ministro 2020 m. gruodžio 23 d. įsakymu Nr. V-2997 „Dėl Gyventojų skiepijimo COVID-19 ligos (koronaviruso infekcijos) vakcina organizavimo tvarkos aprašo patvirtinimo“. Skatinamasis priedas mokamas ir už skiepijimo nuo COVID-19 ligos (koronaviruso infekcijos) paslaugas, suteiktas užsieniečiams, pasitraukusiems iš Ukrainos dėl Rusijos Federacijos karinių veiksmų Ukrainoje. Skatinamasis priedas mokamas PAASP įstaigai, suteikusiai skiepijimo nuo COVID-19 ligos (koronaviruso infekcijos) paslaugą, neatsižvelgiant į tai, ar asmuo, kuriam ši paslauga buvo suteikta, yra prisirašęs prie šios PAASP įstaigos;</w:t>
                        </w:r>
                      </w:p>
                      <w:p>
                        <w:pPr>
                          <w:tabs>
                            <w:tab w:val="left" w:pos="350"/>
                          </w:tabs>
                          <w:suppressAutoHyphens/>
                          <w:ind w:left="66" w:firstLine="1"/>
                          <w:textAlignment w:val="baseline"/>
                          <w:rPr>
                            <w:iCs/>
                            <w:szCs w:val="24"/>
                            <w:shd w:val="clear" w:color="auto" w:fill="FFFFFF"/>
                          </w:rPr>
                        </w:pPr>
                        <w:r>
                          <w:rPr>
                            <w:bCs/>
                            <w:iCs/>
                            <w:szCs w:val="24"/>
                          </w:rPr>
                          <w:t>4</w:t>
                        </w:r>
                        <w:r>
                          <w:rPr>
                            <w:iCs/>
                            <w:szCs w:val="24"/>
                            <w:shd w:val="clear" w:color="auto" w:fill="FFFFFF"/>
                          </w:rPr>
                          <w:t>.</w:t>
                          <w:tab/>
                          <w:t xml:space="preserve">už asmenų, priskiriamų rizikos grupei, skiepijimą nuo raupų ir beždžionių raupų, vadovaujantis Gyventojų skiepijimo vakcina </w:t>
                        </w:r>
                        <w:r>
                          <w:rPr>
                            <w:i/>
                            <w:szCs w:val="24"/>
                            <w:shd w:val="clear" w:color="auto" w:fill="FFFFFF"/>
                          </w:rPr>
                          <w:t>Jynneos</w:t>
                        </w:r>
                        <w:r>
                          <w:rPr>
                            <w:iCs/>
                            <w:szCs w:val="24"/>
                            <w:shd w:val="clear" w:color="auto" w:fill="FFFFFF"/>
                          </w:rPr>
                          <w:t xml:space="preserve"> organizavimo tvarkos aprašu, patvirtintu Lietuvos Respublikos sveikatos apsaugos ministro 2022 m. spalio 4 d. įsakymu Nr. V-1523 „Dėl Gyventojų skiepijimo vakcina </w:t>
                        </w:r>
                        <w:r>
                          <w:rPr>
                            <w:i/>
                            <w:szCs w:val="24"/>
                            <w:shd w:val="clear" w:color="auto" w:fill="FFFFFF"/>
                          </w:rPr>
                          <w:t>Jynneos</w:t>
                        </w:r>
                        <w:r>
                          <w:rPr>
                            <w:iCs/>
                            <w:szCs w:val="24"/>
                            <w:shd w:val="clear" w:color="auto" w:fill="FFFFFF"/>
                          </w:rPr>
                          <w:t xml:space="preserve"> organizavimo tvarkos aprašo patvirtinimo“. Mokama tuo atveju, jei vakcina </w:t>
                        </w:r>
                        <w:r>
                          <w:rPr>
                            <w:i/>
                            <w:szCs w:val="24"/>
                            <w:shd w:val="clear" w:color="auto" w:fill="FFFFFF"/>
                          </w:rPr>
                          <w:t>Junneos</w:t>
                        </w:r>
                        <w:r>
                          <w:rPr>
                            <w:iCs/>
                            <w:szCs w:val="24"/>
                            <w:shd w:val="clear" w:color="auto" w:fill="FFFFFF"/>
                          </w:rPr>
                          <w:t xml:space="preserve"> skiepijami rizikos grupei priskiriami asmenys;</w:t>
                        </w:r>
                      </w:p>
                      <w:p>
                        <w:pPr>
                          <w:tabs>
                            <w:tab w:val="left" w:pos="350"/>
                          </w:tabs>
                          <w:suppressAutoHyphens/>
                          <w:ind w:left="66" w:firstLine="1"/>
                          <w:textAlignment w:val="baseline"/>
                          <w:rPr>
                            <w:iCs/>
                            <w:szCs w:val="24"/>
                            <w:shd w:val="clear" w:color="auto" w:fill="FFFFFF"/>
                          </w:rPr>
                        </w:pPr>
                        <w:r>
                          <w:rPr>
                            <w:iCs/>
                            <w:szCs w:val="24"/>
                            <w:shd w:val="clear" w:color="auto" w:fill="FFFFFF"/>
                          </w:rPr>
                          <w:t xml:space="preserve">5. už asmenų, priskiriamų rizikos grupei, skiepijimą nuo paukščių gripo (A/H5N1), vadovaujantis Gyventojų skiepijimo vakcina </w:t>
                        </w:r>
                        <w:r>
                          <w:rPr>
                            <w:i/>
                            <w:szCs w:val="24"/>
                            <w:shd w:val="clear" w:color="auto" w:fill="FFFFFF"/>
                          </w:rPr>
                          <w:t>Aflunov</w:t>
                        </w:r>
                        <w:r>
                          <w:rPr>
                            <w:iCs/>
                            <w:szCs w:val="24"/>
                            <w:shd w:val="clear" w:color="auto" w:fill="FFFFFF"/>
                          </w:rPr>
                          <w:t xml:space="preserve"> organizavimo tvarkos aprašu, patvirtintu Lietuvos Respublikos sveikatos apsaugos ministro 2024 m. gruodžio 30 d. įsakymu Nr. V-1369 „Dėl Gyventojų skiepijimo vakcina </w:t>
                        </w:r>
                        <w:r>
                          <w:rPr>
                            <w:i/>
                            <w:szCs w:val="24"/>
                            <w:shd w:val="clear" w:color="auto" w:fill="FFFFFF"/>
                          </w:rPr>
                          <w:t>Aflunov</w:t>
                        </w:r>
                        <w:r>
                          <w:rPr>
                            <w:iCs/>
                            <w:szCs w:val="24"/>
                            <w:shd w:val="clear" w:color="auto" w:fill="FFFFFF"/>
                          </w:rPr>
                          <w:t xml:space="preserve"> organizavimo tvarkos aprašo patvirtinimo“. Skatinamasis priedas mokamas PAASP įstaigai, suteikusiai skiepijimo nuo paukščių gripo (A/H5N1) paslaugą, neatsižvelgiant į tai, ar asmuo, kuriam ši paslauga buvo suteikta, yra prisirašęs prie šios PAASP įstaigos.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2.17.</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Ankstyvoji piktybinių navikų diagnostika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s>
                          <w:suppressAutoHyphens/>
                          <w:textAlignment w:val="baseline"/>
                          <w:rPr>
                            <w:szCs w:val="24"/>
                          </w:rPr>
                        </w:pPr>
                        <w:r>
                          <w:rPr>
                            <w:szCs w:val="24"/>
                          </w:rPr>
                          <w:t>Mokama šiais atvejais:</w:t>
                        </w:r>
                      </w:p>
                      <w:p>
                        <w:pPr>
                          <w:tabs>
                            <w:tab w:val="left" w:pos="851"/>
                          </w:tabs>
                          <w:suppressAutoHyphens/>
                          <w:textAlignment w:val="baseline"/>
                        </w:pPr>
                        <w:r>
                          <w:rPr>
                            <w:szCs w:val="24"/>
                          </w:rPr>
                          <w:t xml:space="preserve">1. jei PAASP arba pirminės ambulatorinės odontologinės asmens sveikatos priežiūros paslaugas teikiantis gydytojas, įtaręs </w:t>
                        </w:r>
                        <w:r>
                          <w:rPr>
                            <w:i/>
                            <w:szCs w:val="24"/>
                          </w:rPr>
                          <w:t>in situ</w:t>
                        </w:r>
                        <w:r>
                          <w:rPr>
                            <w:szCs w:val="24"/>
                          </w:rPr>
                          <w:t xml:space="preserve"> arba I stadijos piktybinį naviką (išskyrus priešinės liaukos piktybinį naviką), išduoda pacientui siuntimą atlikti tolesnius tyrimus ir šiais tyrimais patvirtinama diagnozė;</w:t>
                        </w:r>
                      </w:p>
                      <w:p>
                        <w:pPr>
                          <w:suppressAutoHyphens/>
                          <w:textAlignment w:val="baseline"/>
                          <w:rPr>
                            <w:szCs w:val="24"/>
                          </w:rPr>
                        </w:pPr>
                        <w:r>
                          <w:rPr>
                            <w:szCs w:val="24"/>
                          </w:rPr>
                          <w:t>2. jei šeimos medicinos paslaugas teikiantis gydytojas, vyrams iki 69 metų (imtinai) nustatęs padidintą prostatos specifinio antigeno kiekį kraujo serume (&gt; 3 ng/ml), siunčia pacientą pas gydytoją urologą dėl konsultacijos, o gydytojas urologas konsultacijos metu įvykdo šias sąlygas:</w:t>
                        </w:r>
                      </w:p>
                      <w:p>
                        <w:pPr>
                          <w:suppressAutoHyphens/>
                          <w:textAlignment w:val="baseline"/>
                          <w:rPr>
                            <w:szCs w:val="24"/>
                          </w:rPr>
                        </w:pPr>
                        <w:r>
                          <w:rPr>
                            <w:szCs w:val="24"/>
                          </w:rPr>
                          <w:t xml:space="preserve">2.1. pirštu per tiesiąją žarną čiuopdamas priešinę liauką konstatuoja, kad navikas nėra išplitęs už šios liaukos ribų; </w:t>
                        </w:r>
                      </w:p>
                      <w:p>
                        <w:pPr>
                          <w:tabs>
                            <w:tab w:val="left" w:pos="368"/>
                          </w:tabs>
                          <w:suppressAutoHyphens/>
                          <w:spacing w:line="247" w:lineRule="auto"/>
                          <w:textAlignment w:val="baseline"/>
                        </w:pPr>
                        <w:r>
                          <w:rPr>
                            <w:szCs w:val="24"/>
                          </w:rPr>
                          <w:t>2.2. histologiškai, atlikęs prostatos biopsiją, patvirtina (diagnozuoja) I stadijos naviką cT1cN0M0.</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rFonts w:eastAsia="Calibri"/>
                            <w:color w:val="000000"/>
                            <w:szCs w:val="24"/>
                          </w:rPr>
                        </w:pPr>
                        <w:r>
                          <w:rPr>
                            <w:rFonts w:eastAsia="Calibri"/>
                            <w:color w:val="000000"/>
                            <w:szCs w:val="24"/>
                          </w:rPr>
                          <w:t>2.18.</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pPr>
                        <w:r>
                          <w:rPr>
                            <w:color w:val="000000"/>
                            <w:szCs w:val="24"/>
                          </w:rPr>
                          <w:t>Ambulatorinės slaugos ir akušerijos ankstyvosios intervencijos paslaugos šeimoms (toliau – šeimų lankymo paslaugos)</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Nėštumo laikotarpiu ir</w:t>
                        </w:r>
                      </w:p>
                      <w:p>
                        <w:pPr>
                          <w:suppressAutoHyphens/>
                          <w:textAlignment w:val="baseline"/>
                        </w:pPr>
                        <w:r>
                          <w:rPr>
                            <w:color w:val="000000"/>
                            <w:szCs w:val="24"/>
                          </w:rPr>
                          <w:t>iki vaikui sueis 2 metai – ne daugiau kaip 53 šeimų lankymo paslaugos</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368"/>
                          </w:tabs>
                          <w:suppressAutoHyphens/>
                          <w:textAlignment w:val="baseline"/>
                          <w:rPr>
                            <w:color w:val="000000"/>
                            <w:szCs w:val="24"/>
                          </w:rPr>
                        </w:pPr>
                        <w:r>
                          <w:rPr>
                            <w:color w:val="000000"/>
                            <w:szCs w:val="24"/>
                          </w:rPr>
                          <w:t>Teikiama ir mokama šia tvarka:</w:t>
                        </w:r>
                      </w:p>
                      <w:p>
                        <w:pPr>
                          <w:tabs>
                            <w:tab w:val="left" w:pos="368"/>
                          </w:tabs>
                          <w:suppressAutoHyphens/>
                          <w:textAlignment w:val="baseline"/>
                          <w:rPr>
                            <w:color w:val="000000"/>
                            <w:szCs w:val="24"/>
                          </w:rPr>
                        </w:pPr>
                        <w:r>
                          <w:rPr>
                            <w:color w:val="000000"/>
                            <w:szCs w:val="24"/>
                          </w:rPr>
                          <w:t xml:space="preserve">1. Teikiama pagal Ambulatorinių slaugos ir akušerijos ankstyvosios intervencijos paslaugų šeimoms teikimo reikalavimų ir šių paslaugų išlaidų apmokėjimo PSDF biudžeto lėšomis tvarkos aprašą. </w:t>
                        </w:r>
                      </w:p>
                      <w:p>
                        <w:pPr>
                          <w:tabs>
                            <w:tab w:val="left" w:pos="368"/>
                          </w:tabs>
                          <w:suppressAutoHyphens/>
                          <w:textAlignment w:val="baseline"/>
                          <w:rPr>
                            <w:color w:val="000000"/>
                            <w:szCs w:val="24"/>
                          </w:rPr>
                        </w:pPr>
                        <w:r>
                          <w:rPr>
                            <w:color w:val="000000"/>
                            <w:szCs w:val="24"/>
                          </w:rPr>
                          <w:t>2. Skatinamasis priedas mokamas PAASP įstaigai, suteikusiai šeimų lankymo paslaugą, neatsižvelgiant į tai, ar asmuo, kuriam ši paslauga buvo suteikta, yra prisirašęs prie šios PAASP įstaigos.</w:t>
                        </w:r>
                      </w:p>
                      <w:p>
                        <w:pPr>
                          <w:tabs>
                            <w:tab w:val="left" w:pos="368"/>
                          </w:tabs>
                          <w:suppressAutoHyphens/>
                          <w:textAlignment w:val="baseline"/>
                          <w:rPr>
                            <w:color w:val="000000"/>
                            <w:szCs w:val="24"/>
                          </w:rPr>
                        </w:pPr>
                        <w:r>
                          <w:rPr>
                            <w:color w:val="000000"/>
                            <w:szCs w:val="24"/>
                          </w:rPr>
                          <w:t>3. Skatinamasis priedas nėra mokamas už nuotolines konsultacijas.</w:t>
                        </w:r>
                      </w:p>
                      <w:p>
                        <w:pPr>
                          <w:tabs>
                            <w:tab w:val="left" w:pos="368"/>
                          </w:tabs>
                          <w:suppressAutoHyphens/>
                          <w:textAlignment w:val="baseline"/>
                          <w:rPr>
                            <w:color w:val="000000"/>
                            <w:szCs w:val="24"/>
                          </w:rPr>
                        </w:pPr>
                        <w:r>
                          <w:rPr>
                            <w:color w:val="000000"/>
                            <w:szCs w:val="24"/>
                          </w:rPr>
                          <w:t>4. PSDF biudžeto lėšomis apmokamų šeimų lankymo paslaugų (tenkančių vienai šeimai) skaičius:</w:t>
                        </w:r>
                      </w:p>
                      <w:p>
                        <w:pPr>
                          <w:suppressAutoHyphens/>
                          <w:ind w:left="62"/>
                          <w:textAlignment w:val="baseline"/>
                          <w:rPr>
                            <w:color w:val="000000"/>
                            <w:szCs w:val="24"/>
                          </w:rPr>
                        </w:pPr>
                        <w:r>
                          <w:rPr>
                            <w:color w:val="000000"/>
                            <w:szCs w:val="24"/>
                          </w:rPr>
                          <w:t>4.1. nėštumo laikotarpiu mokama ne daugiau kaip už 14 šeimų lankymo paslaugų;</w:t>
                        </w:r>
                      </w:p>
                      <w:p>
                        <w:pPr>
                          <w:suppressAutoHyphens/>
                          <w:ind w:left="62"/>
                          <w:textAlignment w:val="baseline"/>
                          <w:rPr>
                            <w:color w:val="000000"/>
                            <w:szCs w:val="24"/>
                          </w:rPr>
                        </w:pPr>
                        <w:r>
                          <w:rPr>
                            <w:color w:val="000000"/>
                            <w:szCs w:val="24"/>
                          </w:rPr>
                          <w:t xml:space="preserve">4.2. nuo vaiko gimimo iki jam sueis 1 metai – ne daugiau kaip už 28 šeimų lankymo paslaugas; </w:t>
                        </w:r>
                      </w:p>
                      <w:p>
                        <w:pPr>
                          <w:suppressAutoHyphens/>
                          <w:ind w:left="62"/>
                          <w:textAlignment w:val="baseline"/>
                          <w:rPr>
                            <w:color w:val="000000"/>
                            <w:szCs w:val="24"/>
                          </w:rPr>
                        </w:pPr>
                        <w:r>
                          <w:rPr>
                            <w:color w:val="000000"/>
                            <w:szCs w:val="24"/>
                          </w:rPr>
                          <w:t>4.3. nuo 1 metų iki vaikui sueis 2 metai – ne daugiau kaip už 11 šeimų lankymo paslaugų</w:t>
                        </w:r>
                      </w:p>
                    </w:tc>
                  </w:tr>
                  <w:tr>
                    <w:tc>
                      <w:tcPr>
                        <w:tcW w:w="998" w:type="dxa"/>
                        <w:gridSpan w:val="2"/>
                        <w:tcBorders>
                          <w:top w:val="single" w:sz="6" w:space="0" w:color="auto"/>
                          <w:left w:val="single" w:sz="6" w:space="0" w:color="auto"/>
                          <w:bottom w:val="single" w:sz="4" w:space="0" w:color="auto"/>
                          <w:right w:val="single" w:sz="6" w:space="0" w:color="auto"/>
                        </w:tcBorders>
                        <w:tcMar>
                          <w:top w:w="0" w:type="dxa"/>
                          <w:left w:w="0" w:type="dxa"/>
                          <w:bottom w:w="0" w:type="dxa"/>
                          <w:right w:w="0" w:type="dxa"/>
                        </w:tcMar>
                      </w:tcPr>
                      <w:p>
                        <w:pPr>
                          <w:tabs>
                            <w:tab w:val="num" w:pos="720"/>
                          </w:tabs>
                          <w:ind w:firstLine="127"/>
                          <w:jc w:val="center"/>
                          <w:textAlignment w:val="baseline"/>
                          <w:rPr>
                            <w:szCs w:val="24"/>
                            <w:lang w:eastAsia="lt-LT"/>
                          </w:rPr>
                        </w:pPr>
                        <w:r>
                          <w:rPr>
                            <w:szCs w:val="24"/>
                            <w:lang w:eastAsia="lt-LT"/>
                          </w:rPr>
                          <w:t>2.19. </w:t>
                        </w:r>
                      </w:p>
                    </w:tc>
                    <w:tc>
                      <w:tcPr>
                        <w:tcW w:w="2409" w:type="dxa"/>
                        <w:gridSpan w:val="2"/>
                        <w:tcBorders>
                          <w:top w:val="single" w:sz="6" w:space="0" w:color="auto"/>
                          <w:left w:val="single" w:sz="6" w:space="0" w:color="auto"/>
                          <w:bottom w:val="single" w:sz="4" w:space="0" w:color="auto"/>
                          <w:right w:val="single" w:sz="6" w:space="0" w:color="auto"/>
                        </w:tcBorders>
                        <w:tcMar>
                          <w:top w:w="0" w:type="dxa"/>
                          <w:left w:w="0" w:type="dxa"/>
                          <w:bottom w:w="0" w:type="dxa"/>
                          <w:right w:w="0" w:type="dxa"/>
                        </w:tcMar>
                      </w:tcPr>
                      <w:p>
                        <w:pPr>
                          <w:tabs>
                            <w:tab w:val="num" w:pos="720"/>
                          </w:tabs>
                          <w:ind w:firstLine="127"/>
                          <w:textAlignment w:val="baseline"/>
                          <w:rPr>
                            <w:szCs w:val="24"/>
                            <w:lang w:eastAsia="lt-LT"/>
                          </w:rPr>
                        </w:pPr>
                        <w:r>
                          <w:rPr>
                            <w:szCs w:val="24"/>
                            <w:lang w:eastAsia="lt-LT"/>
                          </w:rPr>
                          <w:t>Skubi ambulatorinė paslauga </w:t>
                        </w:r>
                      </w:p>
                    </w:tc>
                    <w:tc>
                      <w:tcPr>
                        <w:tcW w:w="1776" w:type="dxa"/>
                        <w:gridSpan w:val="2"/>
                        <w:tcBorders>
                          <w:top w:val="single" w:sz="6" w:space="0" w:color="auto"/>
                          <w:left w:val="single" w:sz="6" w:space="0" w:color="auto"/>
                          <w:bottom w:val="single" w:sz="4" w:space="0" w:color="auto"/>
                          <w:right w:val="single" w:sz="6" w:space="0" w:color="auto"/>
                        </w:tcBorders>
                        <w:tcMar>
                          <w:top w:w="0" w:type="dxa"/>
                          <w:left w:w="0" w:type="dxa"/>
                          <w:bottom w:w="0" w:type="dxa"/>
                          <w:right w:w="0" w:type="dxa"/>
                        </w:tcMar>
                      </w:tcPr>
                      <w:p>
                        <w:pPr>
                          <w:tabs>
                            <w:tab w:val="num" w:pos="720"/>
                          </w:tabs>
                          <w:ind w:firstLine="189"/>
                          <w:textAlignment w:val="baseline"/>
                          <w:rPr>
                            <w:szCs w:val="24"/>
                            <w:lang w:eastAsia="lt-LT"/>
                          </w:rPr>
                        </w:pPr>
                      </w:p>
                    </w:tc>
                    <w:tc>
                      <w:tcPr>
                        <w:tcW w:w="4602" w:type="dxa"/>
                        <w:gridSpan w:val="2"/>
                        <w:tcBorders>
                          <w:top w:val="single" w:sz="6" w:space="0" w:color="auto"/>
                          <w:left w:val="single" w:sz="6" w:space="0" w:color="auto"/>
                          <w:bottom w:val="single" w:sz="4" w:space="0" w:color="auto"/>
                          <w:right w:val="single" w:sz="6" w:space="0" w:color="auto"/>
                        </w:tcBorders>
                        <w:tcMar>
                          <w:top w:w="0" w:type="dxa"/>
                          <w:left w:w="0" w:type="dxa"/>
                          <w:bottom w:w="0" w:type="dxa"/>
                          <w:right w:w="0" w:type="dxa"/>
                        </w:tcMar>
                      </w:tcPr>
                      <w:p>
                        <w:pPr>
                          <w:tabs>
                            <w:tab w:val="num" w:pos="720"/>
                          </w:tabs>
                          <w:ind w:firstLine="127"/>
                          <w:textAlignment w:val="baseline"/>
                          <w:rPr>
                            <w:szCs w:val="24"/>
                            <w:lang w:eastAsia="lt-LT"/>
                          </w:rPr>
                        </w:pPr>
                        <w:r>
                          <w:rPr>
                            <w:szCs w:val="24"/>
                            <w:lang w:eastAsia="lt-LT"/>
                          </w:rPr>
                          <w:t>Teikiama ir apmokama pagal šio Aprašo nuostatas</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426"/>
                            <w:tab w:val="left" w:pos="1134"/>
                            <w:tab w:val="left" w:pos="1418"/>
                            <w:tab w:val="left" w:pos="1560"/>
                          </w:tabs>
                          <w:ind w:right="-286"/>
                          <w:rPr>
                            <w:color w:val="000000"/>
                            <w:szCs w:val="24"/>
                            <w:lang w:eastAsia="lt-LT"/>
                          </w:rPr>
                        </w:pPr>
                        <w:r>
                          <w:rPr>
                            <w:color w:val="000000"/>
                            <w:szCs w:val="24"/>
                            <w:lang w:eastAsia="lt-LT"/>
                          </w:rPr>
                          <w:t>2.20.</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426"/>
                            <w:tab w:val="left" w:pos="1134"/>
                            <w:tab w:val="left" w:pos="1418"/>
                            <w:tab w:val="left" w:pos="1560"/>
                          </w:tabs>
                          <w:rPr>
                            <w:color w:val="000000"/>
                            <w:szCs w:val="24"/>
                            <w:lang w:eastAsia="lt-LT"/>
                          </w:rPr>
                        </w:pPr>
                        <w:r>
                          <w:rPr>
                            <w:color w:val="000000"/>
                            <w:szCs w:val="24"/>
                            <w:lang w:eastAsia="lt-LT"/>
                          </w:rPr>
                          <w:t>3–17 m. (imtinai) vaikų dantų padengimas fluoridų preparatais</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251"/>
                            <w:tab w:val="left" w:pos="1134"/>
                            <w:tab w:val="left" w:pos="1418"/>
                            <w:tab w:val="left" w:pos="1560"/>
                          </w:tabs>
                          <w:ind w:right="-286" w:hanging="251"/>
                          <w:jc w:val="center"/>
                          <w:rPr>
                            <w:color w:val="000000"/>
                            <w:szCs w:val="24"/>
                            <w:lang w:eastAsia="lt-LT"/>
                          </w:rPr>
                        </w:pPr>
                        <w:r>
                          <w:rPr>
                            <w:color w:val="000000"/>
                            <w:szCs w:val="24"/>
                            <w:lang w:eastAsia="lt-LT"/>
                          </w:rPr>
                          <w:t>2</w:t>
                        </w: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426"/>
                            <w:tab w:val="left" w:pos="1134"/>
                            <w:tab w:val="left" w:pos="1418"/>
                            <w:tab w:val="left" w:pos="1560"/>
                          </w:tabs>
                          <w:ind w:left="74" w:right="28"/>
                          <w:rPr>
                            <w:color w:val="000000"/>
                            <w:szCs w:val="24"/>
                            <w:lang w:eastAsia="lt-LT"/>
                          </w:rPr>
                        </w:pPr>
                        <w:r>
                          <w:rPr>
                            <w:iCs/>
                            <w:szCs w:val="24"/>
                            <w:lang w:eastAsia="lt-LT"/>
                          </w:rPr>
                          <w:t>Paslaugą teikia gydytojas odontologas arba burnos higienistas“</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426"/>
                            <w:tab w:val="left" w:pos="1134"/>
                            <w:tab w:val="left" w:pos="1418"/>
                            <w:tab w:val="left" w:pos="1560"/>
                          </w:tabs>
                          <w:ind w:right="-286"/>
                          <w:rPr>
                            <w:color w:val="000000"/>
                            <w:szCs w:val="24"/>
                            <w:lang w:eastAsia="lt-LT"/>
                          </w:rPr>
                        </w:pPr>
                        <w:r>
                          <w:rPr>
                            <w:color w:val="000000"/>
                            <w:szCs w:val="24"/>
                            <w:lang w:eastAsia="lt-LT"/>
                          </w:rPr>
                          <w:t>2.21.</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426"/>
                            <w:tab w:val="left" w:pos="1134"/>
                            <w:tab w:val="left" w:pos="1418"/>
                            <w:tab w:val="left" w:pos="1560"/>
                          </w:tabs>
                          <w:rPr>
                            <w:color w:val="000000"/>
                            <w:szCs w:val="24"/>
                            <w:lang w:eastAsia="lt-LT"/>
                          </w:rPr>
                        </w:pPr>
                        <w:r>
                          <w:rPr>
                            <w:color w:val="000000"/>
                            <w:szCs w:val="24"/>
                            <w:lang w:eastAsia="lt-LT"/>
                          </w:rPr>
                          <w:t>N</w:t>
                        </w:r>
                        <w:r>
                          <w:rPr>
                            <w:szCs w:val="24"/>
                            <w:lang w:eastAsia="lt-LT"/>
                          </w:rPr>
                          <w:t>especializuotos pirminės suaugusių asmenų burnos patikros ir profilaktikos paslauga</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251"/>
                            <w:tab w:val="left" w:pos="1134"/>
                            <w:tab w:val="left" w:pos="1418"/>
                            <w:tab w:val="left" w:pos="1560"/>
                          </w:tabs>
                          <w:ind w:right="-286" w:hanging="251"/>
                          <w:jc w:val="center"/>
                          <w:rPr>
                            <w:color w:val="000000"/>
                            <w:szCs w:val="24"/>
                            <w:lang w:eastAsia="lt-LT"/>
                          </w:rPr>
                        </w:pPr>
                        <w:r>
                          <w:rPr>
                            <w:color w:val="000000"/>
                            <w:szCs w:val="24"/>
                            <w:lang w:eastAsia="lt-LT"/>
                          </w:rPr>
                          <w:t>1</w:t>
                        </w: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426"/>
                            <w:tab w:val="left" w:pos="1134"/>
                            <w:tab w:val="left" w:pos="1418"/>
                            <w:tab w:val="left" w:pos="1560"/>
                          </w:tabs>
                          <w:ind w:left="74" w:right="28"/>
                          <w:rPr>
                            <w:iCs/>
                            <w:szCs w:val="24"/>
                            <w:lang w:eastAsia="lt-LT"/>
                          </w:rPr>
                        </w:pPr>
                        <w:r>
                          <w:rPr>
                            <w:iCs/>
                            <w:szCs w:val="24"/>
                            <w:lang w:eastAsia="lt-LT"/>
                          </w:rPr>
                          <w:t>Paslaugą teikia gydytojas odontologas arba burnos higienistas.</w:t>
                        </w:r>
                      </w:p>
                      <w:p>
                        <w:pPr>
                          <w:tabs>
                            <w:tab w:val="left" w:pos="426"/>
                            <w:tab w:val="left" w:pos="1134"/>
                            <w:tab w:val="left" w:pos="1418"/>
                            <w:tab w:val="left" w:pos="1560"/>
                          </w:tabs>
                          <w:ind w:left="74" w:right="28"/>
                          <w:rPr>
                            <w:color w:val="000000"/>
                            <w:szCs w:val="24"/>
                            <w:lang w:eastAsia="lt-LT"/>
                          </w:rPr>
                        </w:pPr>
                        <w:r>
                          <w:rPr>
                            <w:iCs/>
                            <w:szCs w:val="24"/>
                            <w:lang w:eastAsia="lt-LT"/>
                          </w:rPr>
                          <w:t xml:space="preserve">Paslauga teikiama vadovaujantis </w:t>
                        </w:r>
                        <w:r>
                          <w:rPr>
                            <w:color w:val="000000"/>
                            <w:szCs w:val="24"/>
                            <w:lang w:eastAsia="lt-LT"/>
                          </w:rPr>
                          <w:t xml:space="preserve">Burnos ir žandikaulių srities vėžio ankstyvosios diagnostikos organizavimo tvarkos aprašu, patvirtintu Lietuvos Respublikos sveikatos apsaugos ministro 2024 m. gruodžio 3 d. įsakymu Nr. V-1212 „Dėl Burnos, veido ir žandikaulių srities vėžio ankstyvosios diagnostikos ir gydymo organizavimo tvarkos aprašo patvirtinimo“. </w:t>
                        </w:r>
                        <w:r>
                          <w:rPr>
                            <w:iCs/>
                            <w:szCs w:val="24"/>
                            <w:lang w:eastAsia="lt-LT"/>
                          </w:rPr>
                          <w:t xml:space="preserve">Teikiant paslaugą turi būti užpildyta </w:t>
                        </w:r>
                        <w:r>
                          <w:rPr>
                            <w:szCs w:val="24"/>
                            <w:lang w:eastAsia="lt-LT"/>
                          </w:rPr>
                          <w:t>Nespecializuotos pirminės burnos patikros ir profilaktikos forma (patvirtinta pirmiau minėtu teisės aktu), kuri įkeliama kaip elektroninio medicinos dokumento E025 „Ambulatorinio apsilankymo aprašymas“, nurodyto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priede, priedas į ESPBI IS.</w:t>
                        </w:r>
                        <w:r>
                          <w:rPr>
                            <w:iCs/>
                            <w:szCs w:val="24"/>
                            <w:lang w:eastAsia="lt-LT"/>
                          </w:rPr>
                          <w:t xml:space="preserve"> </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center"/>
                          <w:rPr>
                            <w:szCs w:val="24"/>
                          </w:rPr>
                        </w:pPr>
                        <w:r>
                          <w:rPr>
                            <w:szCs w:val="24"/>
                          </w:rPr>
                          <w:t>2.22</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rPr>
                            <w:szCs w:val="24"/>
                          </w:rPr>
                        </w:pPr>
                        <w:r>
                          <w:rPr>
                            <w:szCs w:val="24"/>
                          </w:rPr>
                          <w:t>Priklausomybės ligomis sergančių asmenų priežiūra</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center"/>
                          <w:rPr>
                            <w:szCs w:val="24"/>
                          </w:rPr>
                        </w:pPr>
                        <w:r>
                          <w:rPr>
                            <w:szCs w:val="24"/>
                          </w:rPr>
                          <w:t>3</w:t>
                        </w: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both"/>
                          <w:rPr>
                            <w:szCs w:val="24"/>
                          </w:rPr>
                        </w:pPr>
                        <w:r>
                          <w:rPr>
                            <w:szCs w:val="24"/>
                          </w:rPr>
                          <w:t>Teikiama vadovaujantis Priklausomybės ligų gydymo organizavimo tvarkos aprašu, patvirtintu Lietuvos Respublikos sveikatos apsaugos ministro 2002 m. gegužės 3 d. įsakymu Nr. 204 „Dėl Priklausomybės ligų gydymo organizavimo tvarkos aprašo patvirtinimo“ (toliau – Priklausomybių gydymo aprašas).</w:t>
                        </w:r>
                      </w:p>
                      <w:p>
                        <w:pPr>
                          <w:tabs>
                            <w:tab w:val="left" w:pos="9781"/>
                          </w:tabs>
                          <w:jc w:val="both"/>
                          <w:rPr>
                            <w:szCs w:val="24"/>
                          </w:rPr>
                        </w:pPr>
                      </w:p>
                      <w:p>
                        <w:pPr>
                          <w:tabs>
                            <w:tab w:val="left" w:pos="9781"/>
                          </w:tabs>
                          <w:jc w:val="both"/>
                          <w:rPr>
                            <w:szCs w:val="24"/>
                          </w:rPr>
                        </w:pPr>
                        <w:r>
                          <w:rPr>
                            <w:szCs w:val="24"/>
                          </w:rPr>
                          <w:t>1. Paslauga teikiama priklausomybės ligomis (F10–F19, F63.0, F63.8) sergantiems asmenims, taip pat asmenims, kuriems nustatyta su priklausomybės liga susijusi sveikatos būklė (Z50.2, Z50.3, Z63.71, Z63.72, Z71.4, Z71.5, Z72.1, Z72.2, Z72.6, Z72.8, Z86.41, Z86.42).</w:t>
                        </w:r>
                      </w:p>
                      <w:p>
                        <w:pPr>
                          <w:tabs>
                            <w:tab w:val="left" w:pos="9781"/>
                          </w:tabs>
                          <w:jc w:val="both"/>
                          <w:rPr>
                            <w:szCs w:val="24"/>
                          </w:rPr>
                        </w:pPr>
                        <w:r>
                          <w:rPr>
                            <w:szCs w:val="24"/>
                          </w:rPr>
                          <w:t xml:space="preserve">2.   Paslauga laikoma suteikta, jei teikiant Priklausomybių gydymo apraše nurodytas paslaugas (išskyrus pakaitinį gydymą opioidiniais vaistiniais preparatais), per paskutinius 12 mėnesių iš viso buvo ne mažiau kaip 6  apsilankymai pas pirminės ambulatorinės psichikos sveikatos priežiūros komandos specialistus, iš kurių buvo bent 1 apsilankymas pas gydytoją psichiatrą arba gydytoją vaikų ir paauglių psichiatrą.</w:t>
                        </w:r>
                      </w:p>
                      <w:p>
                        <w:pPr>
                          <w:tabs>
                            <w:tab w:val="left" w:pos="9781"/>
                          </w:tabs>
                          <w:jc w:val="both"/>
                          <w:rPr>
                            <w:szCs w:val="24"/>
                          </w:rPr>
                        </w:pPr>
                      </w:p>
                      <w:p>
                        <w:pPr>
                          <w:tabs>
                            <w:tab w:val="left" w:pos="9781"/>
                          </w:tabs>
                          <w:jc w:val="both"/>
                          <w:rPr>
                            <w:szCs w:val="24"/>
                          </w:rPr>
                        </w:pPr>
                        <w:r>
                          <w:rPr>
                            <w:szCs w:val="24"/>
                          </w:rPr>
                          <w:t>3. Per kalendorinius metus gali būti suteiktos ne daugiau kaip 2 paslaugos asmenims, kai asmeniui pradedant teikti paslaugą, tenkinama šios skilties 1 punkte nurodyta ir bent viena iš toliau nurodytų sąlygų:</w:t>
                        </w:r>
                      </w:p>
                      <w:p>
                        <w:pPr>
                          <w:tabs>
                            <w:tab w:val="left" w:pos="9781"/>
                          </w:tabs>
                          <w:jc w:val="both"/>
                          <w:rPr>
                            <w:szCs w:val="24"/>
                          </w:rPr>
                        </w:pPr>
                        <w:r>
                          <w:rPr>
                            <w:szCs w:val="24"/>
                          </w:rPr>
                          <w:t>3.1. per paskutinius 3 mėnesius asmuo gavo asmens sveikatos priežiūros paslaugas dėl gretutinių psichikos ir elgesio sutrikimų (F00–F99);</w:t>
                        </w:r>
                      </w:p>
                      <w:p>
                        <w:pPr>
                          <w:tabs>
                            <w:tab w:val="left" w:pos="9781"/>
                          </w:tabs>
                          <w:jc w:val="both"/>
                          <w:rPr>
                            <w:szCs w:val="24"/>
                          </w:rPr>
                        </w:pPr>
                        <w:r>
                          <w:rPr>
                            <w:szCs w:val="24"/>
                          </w:rPr>
                          <w:t xml:space="preserve">3.2. per paskutinius 12 mėnesių asmuo gavo asmens sveikatos priežiūros paslaugas dėl savižudybės grėsmės </w:t>
                        </w:r>
                        <w:r>
                          <w:rPr>
                            <w:rFonts w:eastAsia="Calibri"/>
                            <w:kern w:val="3"/>
                            <w:szCs w:val="24"/>
                          </w:rPr>
                          <w:t>(X60–X84, R45.81, Y87.0, Z91.5);</w:t>
                        </w:r>
                      </w:p>
                      <w:p>
                        <w:pPr>
                          <w:tabs>
                            <w:tab w:val="left" w:pos="9781"/>
                          </w:tabs>
                          <w:jc w:val="both"/>
                          <w:rPr>
                            <w:szCs w:val="24"/>
                          </w:rPr>
                        </w:pPr>
                        <w:r>
                          <w:rPr>
                            <w:szCs w:val="24"/>
                          </w:rPr>
                          <w:t>3.3. asmeniui diagnozuota priklausomybės liga ir vienas iš šių sveikatos būklę veikiančių faktorių: reikšmingos problemos dėl darbo (pragyvenimo šaltinio) (Z56), dėl teisinės padėties (Z65) ir (ar) dėl šeimyninės situacijos (socialinės padėties) (Z63).</w:t>
                        </w:r>
                      </w:p>
                      <w:p>
                        <w:pPr>
                          <w:tabs>
                            <w:tab w:val="left" w:pos="9781"/>
                          </w:tabs>
                          <w:jc w:val="both"/>
                          <w:rPr>
                            <w:szCs w:val="24"/>
                          </w:rPr>
                        </w:pPr>
                      </w:p>
                      <w:p>
                        <w:pPr>
                          <w:tabs>
                            <w:tab w:val="left" w:pos="9781"/>
                          </w:tabs>
                          <w:jc w:val="both"/>
                          <w:rPr>
                            <w:szCs w:val="24"/>
                          </w:rPr>
                        </w:pPr>
                        <w:r>
                          <w:rPr>
                            <w:szCs w:val="24"/>
                          </w:rPr>
                          <w:t>4. Per kalendorinius metus gali būti suteiktos ne daugiau kaip 3 paslaugos asmenims, kai asmeniui pradedant teikti paslaugą tenkinama šios skilties 1 punkte nurodyta ir bent viena iš toliau nurodytų sąlygų:</w:t>
                        </w:r>
                      </w:p>
                      <w:p>
                        <w:pPr>
                          <w:tabs>
                            <w:tab w:val="left" w:pos="9781"/>
                          </w:tabs>
                          <w:jc w:val="both"/>
                          <w:rPr>
                            <w:szCs w:val="24"/>
                          </w:rPr>
                        </w:pPr>
                        <w:r>
                          <w:rPr>
                            <w:szCs w:val="24"/>
                          </w:rPr>
                          <w:t>4.1. asmeniui diagnozuota elgesio priklausomybė (F63.0, F63.8);</w:t>
                        </w:r>
                      </w:p>
                      <w:p>
                        <w:pPr>
                          <w:tabs>
                            <w:tab w:val="left" w:pos="9781"/>
                          </w:tabs>
                          <w:jc w:val="both"/>
                          <w:rPr>
                            <w:szCs w:val="24"/>
                          </w:rPr>
                        </w:pPr>
                        <w:r>
                          <w:rPr>
                            <w:szCs w:val="24"/>
                          </w:rPr>
                          <w:t>4.2. per paskutinius 12 mėnesių asmeniui buvo suteiktos psichiatrijos stacionarinės aktyviojo gydymo paslaugos kaip būtinoji medicinos pagalba (dėl F10–F19);</w:t>
                        </w:r>
                      </w:p>
                      <w:p>
                        <w:pPr>
                          <w:tabs>
                            <w:tab w:val="left" w:pos="9781"/>
                          </w:tabs>
                          <w:jc w:val="both"/>
                          <w:rPr>
                            <w:szCs w:val="24"/>
                          </w:rPr>
                        </w:pPr>
                        <w:r>
                          <w:rPr>
                            <w:szCs w:val="24"/>
                          </w:rPr>
                          <w:t>4.3. vaikui (0–17 metų) diagnozuota su priklausomybės liga susijusi būklė ir gretutinis psichikos ir elgesio sutrikimas (F00–F99) arba diagnozuota priklausomybės liga;</w:t>
                        </w:r>
                      </w:p>
                      <w:p>
                        <w:pPr>
                          <w:tabs>
                            <w:tab w:val="left" w:pos="9781"/>
                          </w:tabs>
                          <w:jc w:val="both"/>
                          <w:rPr>
                            <w:szCs w:val="24"/>
                          </w:rPr>
                        </w:pPr>
                        <w:r>
                          <w:rPr>
                            <w:szCs w:val="24"/>
                          </w:rPr>
                          <w:t>4.4. asmuo lankėsi pas pirminės, antrinės ar tretinės ambulatorinės psichikos sveikatos priežiūros specialistus dėl priklausomybės ligos ir (ar) su priklausomybės liga susijusios būklės bent kartą per 3 mėnesius per paskutinius 36 mėnesius.</w:t>
                        </w:r>
                      </w:p>
                      <w:p>
                        <w:pPr>
                          <w:tabs>
                            <w:tab w:val="left" w:pos="9781"/>
                          </w:tabs>
                          <w:jc w:val="both"/>
                          <w:rPr>
                            <w:szCs w:val="24"/>
                          </w:rPr>
                        </w:pPr>
                        <w:r>
                          <w:rPr>
                            <w:szCs w:val="24"/>
                          </w:rPr>
                          <w:t>5. Asmenims, neatitinkantiems šios skilties 3 ir 4 punktų nuostatų, per kalendorinius metus gali būti suteikta ne daugiau kaip 1 paslauga.</w:t>
                        </w:r>
                      </w:p>
                    </w:tc>
                  </w:tr>
                  <w:tr>
                    <w:tc>
                      <w:tcPr>
                        <w:tcW w:w="998"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center"/>
                          <w:rPr>
                            <w:szCs w:val="24"/>
                          </w:rPr>
                        </w:pPr>
                        <w:r>
                          <w:rPr>
                            <w:szCs w:val="24"/>
                          </w:rPr>
                          <w:t>2.23</w:t>
                        </w:r>
                      </w:p>
                    </w:tc>
                    <w:tc>
                      <w:tcPr>
                        <w:tcW w:w="2409"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center"/>
                          <w:rPr>
                            <w:szCs w:val="24"/>
                          </w:rPr>
                        </w:pPr>
                        <w:r>
                          <w:rPr>
                            <w:szCs w:val="24"/>
                          </w:rPr>
                          <w:t>Asmenų, kuriems taikomas pakaitinis gydymas sudėtiniu buprenorfinu ir naloksonu, priežiūra</w:t>
                        </w:r>
                      </w:p>
                    </w:tc>
                    <w:tc>
                      <w:tcPr>
                        <w:tcW w:w="1776"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center"/>
                          <w:rPr>
                            <w:szCs w:val="24"/>
                            <w:lang w:val="en-US"/>
                          </w:rPr>
                        </w:pPr>
                        <w:r>
                          <w:rPr>
                            <w:szCs w:val="24"/>
                            <w:lang w:val="en-US"/>
                          </w:rPr>
                          <w:t>3</w:t>
                        </w:r>
                      </w:p>
                    </w:tc>
                    <w:tc>
                      <w:tcPr>
                        <w:tcW w:w="4602" w:type="dxa"/>
                        <w:gridSpan w:val="2"/>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pPr>
                          <w:tabs>
                            <w:tab w:val="left" w:pos="9781"/>
                          </w:tabs>
                          <w:jc w:val="both"/>
                          <w:rPr>
                            <w:szCs w:val="24"/>
                          </w:rPr>
                        </w:pPr>
                        <w:r>
                          <w:rPr>
                            <w:szCs w:val="24"/>
                          </w:rPr>
                          <w:t>Teikiama vadovaujantis Pakaitinio gydymo skyrimo ir taikymo priklausomybei nuo opioidų gydyti tvarkos aprašu, patvirtintu Lietuvos Respublikos sveikatos apsaugos ministro 2007 m. rugpjūčio 6 d. įsakymu Nr. V-653, „Dėl Pakaitinio gydymo skyrimo ir taikymo priklausomybei nuo opioidų gydyti tvarkos aprašo ir Pakaitinių opioidinių vaistinių preparatų skyrimo, išdavimo, laikymo ir apskaitos asmens sveikatos priežiūros įstaigose tvarkos aprašo patvirtinimo“.</w:t>
                        </w:r>
                      </w:p>
                      <w:p>
                        <w:pPr>
                          <w:tabs>
                            <w:tab w:val="left" w:pos="9781"/>
                          </w:tabs>
                          <w:jc w:val="both"/>
                          <w:rPr>
                            <w:szCs w:val="24"/>
                          </w:rPr>
                        </w:pPr>
                      </w:p>
                      <w:p>
                        <w:pPr>
                          <w:tabs>
                            <w:tab w:val="left" w:pos="9781"/>
                          </w:tabs>
                          <w:jc w:val="both"/>
                          <w:rPr>
                            <w:szCs w:val="24"/>
                          </w:rPr>
                        </w:pPr>
                        <w:r>
                          <w:rPr>
                            <w:szCs w:val="24"/>
                          </w:rPr>
                          <w:t xml:space="preserve">Paslauga laikoma suteikta, jei, taikant pakaitinio gydymo sudėtiniu buprenorfinu ir naloksonu, priežiūrą, per paskutinius 12 mėnesių iš viso buvo ne mažiau kaip 6 apsilankymai pas pirminės ambulatorinės psichikos sveikatos priežiūros komandos gydytoją psichiatrą.  </w:t>
                        </w:r>
                      </w:p>
                      <w:p>
                        <w:pPr>
                          <w:tabs>
                            <w:tab w:val="left" w:pos="9781"/>
                          </w:tabs>
                          <w:jc w:val="both"/>
                          <w:rPr>
                            <w:szCs w:val="24"/>
                          </w:rPr>
                        </w:pPr>
                      </w:p>
                      <w:p>
                        <w:pPr>
                          <w:tabs>
                            <w:tab w:val="left" w:pos="9781"/>
                          </w:tabs>
                          <w:jc w:val="both"/>
                          <w:rPr>
                            <w:szCs w:val="24"/>
                          </w:rPr>
                        </w:pPr>
                        <w:r>
                          <w:rPr>
                            <w:szCs w:val="24"/>
                          </w:rPr>
                          <w:t>Per kalendorinius metus asmeniui gali būti suteiktos ne daugiau kaip 3 paslaugos.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2.24</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rPr>
                            <w:rFonts w:ascii="Aptos" w:hAnsi="Aptos"/>
                            <w:color w:val="000000"/>
                            <w:sz w:val="22"/>
                            <w:szCs w:val="22"/>
                          </w:rPr>
                        </w:pPr>
                        <w:r>
                          <w:rPr>
                            <w:color w:val="000000"/>
                            <w:szCs w:val="24"/>
                          </w:rPr>
                          <w:t>Vaikų, kuriems nustatyti hiperkineziniai sutrikimai, priežiūra</w:t>
                        </w:r>
                      </w:p>
                      <w:p>
                        <w:pPr>
                          <w:rPr>
                            <w:color w:val="000000"/>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2</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pacing w:line="252" w:lineRule="auto"/>
                          <w:rPr>
                            <w:color w:val="000000"/>
                            <w:szCs w:val="24"/>
                          </w:rPr>
                        </w:pPr>
                        <w:r>
                          <w:rPr>
                            <w:color w:val="000000"/>
                            <w:szCs w:val="24"/>
                          </w:rPr>
                          <w:t>1. Paslauga teikiama vaikams, kuriems diagnozuoti hiperkineziniai sutrikimai (kodai F90.0–F90.9 pagal TLK-10-AM).</w:t>
                        </w:r>
                      </w:p>
                      <w:p>
                        <w:pPr>
                          <w:rPr>
                            <w:sz w:val="14"/>
                            <w:szCs w:val="14"/>
                          </w:rPr>
                        </w:pPr>
                      </w:p>
                      <w:p>
                        <w:pPr>
                          <w:spacing w:line="252" w:lineRule="auto"/>
                          <w:rPr>
                            <w:color w:val="000000"/>
                            <w:szCs w:val="24"/>
                          </w:rPr>
                        </w:pPr>
                        <w:r>
                          <w:rPr>
                            <w:color w:val="000000"/>
                            <w:szCs w:val="24"/>
                          </w:rPr>
                          <w:t>2. Paslauga laikoma suteikta, jei 3 mėnesių laikotarpiu nuo hiperkinezinio sutrikimo diagnozės patvirtinimo (jei sutrikimas pirmą kartą nustatomas gydytojo vaikų ir paauglių psichiatro) arba nuo vaiko apsilankymo pas gydytoją vaikų ir paauglių psichiatrą (jei sutrikimas buvo diagnozuotas anksčiau) suteikiamos ne mažiau kaip 2 gydytojo vaikų ir paauglių psichiatro konsultacijos, 3 medicinos psichologo konsultacijos ir 1 kito pirminės psichikos sveikatos priežiūros komandos nario konsultacija.</w:t>
                        </w:r>
                      </w:p>
                      <w:p>
                        <w:pPr>
                          <w:rPr>
                            <w:sz w:val="14"/>
                            <w:szCs w:val="14"/>
                          </w:rPr>
                        </w:pPr>
                      </w:p>
                      <w:p>
                        <w:pPr>
                          <w:spacing w:line="252" w:lineRule="auto"/>
                          <w:rPr>
                            <w:color w:val="000000"/>
                            <w:szCs w:val="24"/>
                          </w:rPr>
                        </w:pPr>
                        <w:r>
                          <w:rPr>
                            <w:color w:val="000000"/>
                            <w:szCs w:val="24"/>
                          </w:rPr>
                          <w:t>Iš šių 6 paslaugų ne daugiau kaip 2 paslaugos gali būti suteikiamos nuotoliniu būdu.</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2.25</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rPr>
                            <w:rFonts w:ascii="Aptos" w:hAnsi="Aptos"/>
                            <w:color w:val="000000"/>
                            <w:sz w:val="22"/>
                            <w:szCs w:val="22"/>
                          </w:rPr>
                        </w:pPr>
                        <w:r>
                          <w:rPr>
                            <w:color w:val="000000"/>
                            <w:szCs w:val="24"/>
                          </w:rPr>
                          <w:t>Vaikų, kuriems nustatyti įvairiapusiai raidos sutrikimai, priežiūra</w:t>
                        </w:r>
                      </w:p>
                      <w:p>
                        <w:pPr>
                          <w:suppressAutoHyphens/>
                          <w:textAlignment w:val="baseline"/>
                          <w:rPr>
                            <w:color w:val="000000"/>
                            <w:szCs w:val="24"/>
                          </w:rPr>
                        </w:pP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9781"/>
                          </w:tabs>
                          <w:suppressAutoHyphens/>
                          <w:jc w:val="center"/>
                          <w:textAlignment w:val="baseline"/>
                          <w:rPr>
                            <w:color w:val="000000"/>
                            <w:szCs w:val="24"/>
                          </w:rPr>
                        </w:pPr>
                        <w:r>
                          <w:rPr>
                            <w:color w:val="000000"/>
                            <w:szCs w:val="24"/>
                          </w:rPr>
                          <w:t>2</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pacing w:line="252" w:lineRule="auto"/>
                          <w:rPr>
                            <w:color w:val="000000"/>
                            <w:szCs w:val="24"/>
                          </w:rPr>
                        </w:pPr>
                        <w:r>
                          <w:rPr>
                            <w:color w:val="000000"/>
                            <w:szCs w:val="24"/>
                          </w:rPr>
                          <w:t>1. Paslauga teikiama vaikams, kuriems diagnozuoti įvairiapusiai raidos sutrikimai (kodai F84.0–F84.9 pagal TLK-10-AM).</w:t>
                        </w:r>
                      </w:p>
                      <w:p>
                        <w:pPr>
                          <w:rPr>
                            <w:sz w:val="14"/>
                            <w:szCs w:val="14"/>
                          </w:rPr>
                        </w:pPr>
                      </w:p>
                      <w:p>
                        <w:pPr>
                          <w:spacing w:line="252" w:lineRule="auto"/>
                          <w:rPr>
                            <w:color w:val="000000"/>
                            <w:szCs w:val="24"/>
                          </w:rPr>
                        </w:pPr>
                        <w:r>
                          <w:rPr>
                            <w:color w:val="000000"/>
                            <w:szCs w:val="24"/>
                          </w:rPr>
                          <w:t>2. Paslauga laikoma suteikta, jei 3 mėnesių laikotarpiu nuo diagnozės patvirtinimo (jei sutrikimas pirmą kartą nustatomas gydytojo vaikų ir paauglių psichiatro) arba nuo vaiko apsilankymo pas gydytoją vaikų ir paauglių psichiatrą (jei sutrikimas buvo diagnozuotas anksčiau) suteikiamos ne mažiau kaip 2 gydytojo vaikų ir paauglių psichiatro konsultacijos, 2 medicinos psichologo konsultacijos ir 2 kitų pirminės psichikos sveikatos priežiūros komandos narių konsultacijos.</w:t>
                        </w:r>
                      </w:p>
                      <w:p>
                        <w:pPr>
                          <w:rPr>
                            <w:sz w:val="14"/>
                            <w:szCs w:val="14"/>
                          </w:rPr>
                        </w:pPr>
                      </w:p>
                      <w:p>
                        <w:pPr>
                          <w:spacing w:line="252" w:lineRule="auto"/>
                          <w:rPr>
                            <w:color w:val="000000"/>
                            <w:szCs w:val="24"/>
                          </w:rPr>
                        </w:pPr>
                        <w:r>
                          <w:rPr>
                            <w:color w:val="000000"/>
                            <w:szCs w:val="24"/>
                          </w:rPr>
                          <w:t>Iš šių 6 paslaugų ne daugiau kaip 2 paslaugos gali būti suteikiamos nuotoliniu būdu.</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2.26</w:t>
                        </w:r>
                      </w:p>
                    </w:tc>
                    <w:tc>
                      <w:tcPr>
                        <w:tcW w:w="8787" w:type="dxa"/>
                        <w:gridSpan w:val="6"/>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Kineziterapijos procedūros:</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2.26.1</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 xml:space="preserve">individualios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color w:val="000000"/>
                            <w:szCs w:val="24"/>
                          </w:rPr>
                        </w:pPr>
                        <w:r>
                          <w:rPr>
                            <w:color w:val="000000"/>
                            <w:szCs w:val="24"/>
                          </w:rPr>
                          <w:t>10</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color w:val="000000"/>
                            <w:szCs w:val="24"/>
                          </w:rPr>
                        </w:pPr>
                        <w:r>
                          <w:rPr>
                            <w:color w:val="000000"/>
                            <w:szCs w:val="24"/>
                          </w:rPr>
                          <w:t>Procedūrą atlieka kineziterapeutas.</w:t>
                        </w:r>
                      </w:p>
                      <w:p>
                        <w:pPr>
                          <w:suppressAutoHyphens/>
                          <w:textAlignment w:val="baseline"/>
                          <w:rPr>
                            <w:color w:val="000000"/>
                            <w:szCs w:val="24"/>
                          </w:rPr>
                        </w:pPr>
                      </w:p>
                      <w:p>
                        <w:pPr>
                          <w:suppressAutoHyphens/>
                          <w:textAlignment w:val="baseline"/>
                          <w:rPr>
                            <w:color w:val="000000"/>
                            <w:szCs w:val="24"/>
                          </w:rPr>
                        </w:pPr>
                        <w:r>
                          <w:rPr>
                            <w:color w:val="000000"/>
                            <w:szCs w:val="24"/>
                          </w:rPr>
                          <w:t xml:space="preserve">Mokama už kiekvieną kineziterapijos procedūrą, kuri atliekama ne rečiau kaip 1 ar 2 kartus per savaitę ir trunka ne trumpiau kaip 30 minučių. </w:t>
                        </w:r>
                      </w:p>
                      <w:p>
                        <w:pPr>
                          <w:suppressAutoHyphens/>
                          <w:textAlignment w:val="baseline"/>
                          <w:rPr>
                            <w:color w:val="000000"/>
                            <w:szCs w:val="24"/>
                          </w:rPr>
                        </w:pPr>
                      </w:p>
                      <w:p>
                        <w:pPr>
                          <w:rPr>
                            <w:color w:val="000000"/>
                            <w:szCs w:val="24"/>
                          </w:rPr>
                        </w:pPr>
                        <w:r>
                          <w:rPr>
                            <w:color w:val="000000"/>
                            <w:szCs w:val="24"/>
                          </w:rPr>
                          <w:t xml:space="preserve">Paslaugos teikiamos pacientams, jei ūmiu ligos laikotarpiu arba jam pasibaigus, arba paūmėjus lėtinei ligai nustatomas kineziterapijos poreikis. Paslaugos teikiamos atlikus sveikatos būklės vertinimą (pvz., vertinamas skausmo lygis, judesių amplitudė, raumenų būklė ir kt.) ir sudarius kineziterapijos procedūrų teikimo planą (sudaro kineziterapeutas). </w:t>
                        </w:r>
                      </w:p>
                      <w:p>
                        <w:pPr>
                          <w:rPr>
                            <w:color w:val="000000"/>
                            <w:szCs w:val="24"/>
                          </w:rPr>
                        </w:pPr>
                      </w:p>
                      <w:p>
                        <w:pPr>
                          <w:rPr>
                            <w:color w:val="000000"/>
                            <w:szCs w:val="24"/>
                          </w:rPr>
                        </w:pPr>
                        <w:r>
                          <w:rPr>
                            <w:color w:val="000000"/>
                            <w:szCs w:val="24"/>
                          </w:rPr>
                          <w:t>Skatinamasis priedas mokamas ne daugiau kaip už 10 procedūrų (atliktų vienam asmeniui) per kalendorinius metus.</w:t>
                        </w:r>
                      </w:p>
                      <w:p>
                        <w:pPr>
                          <w:rPr>
                            <w:color w:val="000000"/>
                            <w:szCs w:val="24"/>
                          </w:rPr>
                        </w:pPr>
                      </w:p>
                      <w:p>
                        <w:pPr>
                          <w:rPr>
                            <w:color w:val="000000"/>
                            <w:szCs w:val="24"/>
                          </w:rPr>
                        </w:pPr>
                        <w:r>
                          <w:rPr>
                            <w:color w:val="000000"/>
                            <w:szCs w:val="24"/>
                          </w:rPr>
                          <w:t>Nuotoliniu būdu individualios kineziterapijos procedūros neatliekamos.</w:t>
                        </w:r>
                      </w:p>
                      <w:p>
                        <w:pPr>
                          <w:rPr>
                            <w:color w:val="000000"/>
                            <w:szCs w:val="24"/>
                          </w:rPr>
                        </w:pPr>
                      </w:p>
                      <w:p>
                        <w:pPr>
                          <w:rPr>
                            <w:color w:val="000000"/>
                            <w:szCs w:val="24"/>
                          </w:rPr>
                        </w:pPr>
                        <w:r>
                          <w:rPr>
                            <w:color w:val="000000"/>
                            <w:szCs w:val="24"/>
                          </w:rPr>
                          <w:t>Jei pacientui atliekamos ir individualios, ir grupinės procedūros, bendras jų skaičius per kalendorinius metus negali viršyti 10 procedūrų.</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2.26.2</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 xml:space="preserve">grupinės </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10</w:t>
                        </w: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jc w:val="both"/>
                          <w:rPr>
                            <w:szCs w:val="24"/>
                          </w:rPr>
                        </w:pPr>
                        <w:r>
                          <w:rPr>
                            <w:szCs w:val="24"/>
                          </w:rPr>
                          <w:t xml:space="preserve">Procedūrą atlieka kineziterapeutas. </w:t>
                        </w:r>
                      </w:p>
                      <w:p>
                        <w:pPr>
                          <w:jc w:val="both"/>
                          <w:rPr>
                            <w:szCs w:val="24"/>
                          </w:rPr>
                        </w:pPr>
                      </w:p>
                      <w:p>
                        <w:pPr>
                          <w:suppressAutoHyphens/>
                          <w:textAlignment w:val="baseline"/>
                          <w:rPr>
                            <w:color w:val="000000"/>
                            <w:szCs w:val="24"/>
                          </w:rPr>
                        </w:pPr>
                        <w:r>
                          <w:rPr>
                            <w:szCs w:val="24"/>
                          </w:rPr>
                          <w:t xml:space="preserve">Procedūra atliekama ne rečiau kaip 1 ar 2 kartus per savaitę ir trunka ne trumpiau kaip 30 minučių. </w:t>
                        </w:r>
                      </w:p>
                      <w:p>
                        <w:pPr>
                          <w:jc w:val="both"/>
                          <w:rPr>
                            <w:szCs w:val="24"/>
                          </w:rPr>
                        </w:pPr>
                      </w:p>
                      <w:p>
                        <w:pPr>
                          <w:jc w:val="both"/>
                          <w:rPr>
                            <w:szCs w:val="24"/>
                          </w:rPr>
                        </w:pPr>
                        <w:r>
                          <w:rPr>
                            <w:szCs w:val="24"/>
                          </w:rPr>
                          <w:t>Grupėje turi būti 2–5 asmenys. Skatinamasis priedas už kiekvieną paslaugą gavusį asmenį mokamas atskirai.</w:t>
                        </w:r>
                      </w:p>
                      <w:p>
                        <w:pPr>
                          <w:jc w:val="both"/>
                          <w:rPr>
                            <w:szCs w:val="24"/>
                          </w:rPr>
                        </w:pPr>
                      </w:p>
                      <w:p>
                        <w:pPr>
                          <w:jc w:val="both"/>
                          <w:rPr>
                            <w:color w:val="000000"/>
                            <w:szCs w:val="24"/>
                            <w:lang w:eastAsia="lt-LT"/>
                          </w:rPr>
                        </w:pPr>
                        <w:r>
                          <w:rPr>
                            <w:color w:val="000000"/>
                            <w:szCs w:val="24"/>
                            <w:lang w:eastAsia="lt-LT"/>
                          </w:rPr>
                          <w:t xml:space="preserve">Paslaugos teikiamos pacientams, jei ūmiu ligos laikotarpiu arba jam pasibaigus, arba paūmėjus lėtinei ligai nustatomas kineziterapijos poreikis. Paslaugos teikiamos atlikus sveikatos būklės vertinimą (pvz., vertinamas skausmo lygis, judesių amplitudė, raumenų būklė ir kt.) ir sudarius kineziterapijos procedūrų teikimo planą (sudaro kineziterapeutas). </w:t>
                        </w:r>
                      </w:p>
                      <w:p>
                        <w:pPr>
                          <w:rPr>
                            <w:szCs w:val="24"/>
                          </w:rPr>
                        </w:pPr>
                      </w:p>
                      <w:p>
                        <w:pPr>
                          <w:rPr>
                            <w:color w:val="000000"/>
                            <w:szCs w:val="24"/>
                            <w:lang w:eastAsia="lt-LT"/>
                          </w:rPr>
                        </w:pPr>
                        <w:r>
                          <w:rPr>
                            <w:color w:val="000000"/>
                            <w:szCs w:val="24"/>
                            <w:lang w:eastAsia="lt-LT"/>
                          </w:rPr>
                          <w:t>Skatinamasis priedas mokamas ne daugiau kaip už 10 procedūrų (atliktų vienam asmeniui) per kalendorinius metus.</w:t>
                        </w:r>
                      </w:p>
                      <w:p>
                        <w:pPr>
                          <w:rPr>
                            <w:color w:val="000000"/>
                            <w:szCs w:val="24"/>
                            <w:lang w:eastAsia="lt-LT"/>
                          </w:rPr>
                        </w:pPr>
                      </w:p>
                      <w:p>
                        <w:pPr>
                          <w:rPr>
                            <w:color w:val="000000"/>
                            <w:szCs w:val="24"/>
                          </w:rPr>
                        </w:pPr>
                        <w:r>
                          <w:rPr>
                            <w:color w:val="000000"/>
                            <w:szCs w:val="24"/>
                          </w:rPr>
                          <w:t>Nuotoliniu būdu grupinės kineziterapijos procedūros neatliekamos.</w:t>
                        </w:r>
                      </w:p>
                      <w:p>
                        <w:pPr>
                          <w:rPr>
                            <w:color w:val="000000"/>
                            <w:szCs w:val="24"/>
                            <w:lang w:eastAsia="lt-LT"/>
                          </w:rPr>
                        </w:pPr>
                      </w:p>
                      <w:p>
                        <w:pPr>
                          <w:rPr>
                            <w:szCs w:val="24"/>
                          </w:rPr>
                        </w:pPr>
                        <w:r>
                          <w:rPr>
                            <w:color w:val="000000"/>
                            <w:szCs w:val="24"/>
                            <w:lang w:eastAsia="lt-LT"/>
                          </w:rPr>
                          <w:t>Jei pacientui atliekamos ir individualios, ir grupinės procedūros, bendras jų skaičius per kalendorinius metus negali viršyti 10 procedūrų.</w:t>
                        </w:r>
                      </w:p>
                    </w:tc>
                  </w:tr>
                  <w:tr>
                    <w:tc>
                      <w:tcPr>
                        <w:tcW w:w="998"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r>
                          <w:rPr>
                            <w:szCs w:val="24"/>
                          </w:rPr>
                          <w:t>2.27.</w:t>
                        </w:r>
                      </w:p>
                    </w:tc>
                    <w:tc>
                      <w:tcPr>
                        <w:tcW w:w="2409"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textAlignment w:val="baseline"/>
                          <w:rPr>
                            <w:szCs w:val="24"/>
                          </w:rPr>
                        </w:pPr>
                        <w:r>
                          <w:rPr>
                            <w:szCs w:val="24"/>
                          </w:rPr>
                          <w:t>Odontologinės priežiūros (pagalbos) namuose paslauga</w:t>
                        </w:r>
                      </w:p>
                    </w:tc>
                    <w:tc>
                      <w:tcPr>
                        <w:tcW w:w="1776"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suppressAutoHyphens/>
                          <w:jc w:val="center"/>
                          <w:textAlignment w:val="baseline"/>
                          <w:rPr>
                            <w:szCs w:val="24"/>
                          </w:rPr>
                        </w:pPr>
                      </w:p>
                    </w:tc>
                    <w:tc>
                      <w:tcPr>
                        <w:tcW w:w="4602" w:type="dxa"/>
                        <w:gridSpan w:val="2"/>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0"/>
                          <w:jc w:val="both"/>
                          <w:rPr>
                            <w:szCs w:val="24"/>
                            <w:lang w:eastAsia="lt-LT"/>
                          </w:rPr>
                        </w:pPr>
                        <w:r>
                          <w:rPr>
                            <w:szCs w:val="24"/>
                            <w:lang w:eastAsia="lt-LT"/>
                          </w:rPr>
                          <w:t>Paslauga teikiama vadovaujantis Odontologinės priežiūros (pagalbos) namuose teikimo reikalavimų aprašu, patvirtintu Lietuvos Respublikos sveikatos apsaugos ministro 2026 m. vasario 3 d. įsakymu Nr. V-88 „Dėl Odontologinės priežiūros (pagalbos) namuose teikimo reikalavimų aprašo patvirtinimo“.</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0"/>
                          <w:jc w:val="both"/>
                          <w:rPr>
                            <w:szCs w:val="24"/>
                            <w:lang w:eastAsia="lt-LT"/>
                          </w:rPr>
                        </w:pPr>
                        <w:r>
                          <w:rPr>
                            <w:szCs w:val="24"/>
                            <w:lang w:eastAsia="lt-LT"/>
                          </w:rPr>
                          <w:t xml:space="preserve">Paslaugai suteikti reikiamų vaistų, odontologinių ir kitų medžiagų bei vienkartinių priemonių vidutinės sąnaudos yra įskaičiuotos į skatinamąjį priedą, 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 </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0"/>
                          <w:jc w:val="both"/>
                          <w:rPr>
                            <w:szCs w:val="24"/>
                            <w:lang w:eastAsia="lt-LT"/>
                          </w:rPr>
                        </w:pPr>
                        <w:r>
                          <w:rPr>
                            <w:szCs w:val="24"/>
                            <w:lang w:eastAsia="lt-LT"/>
                          </w:rPr>
                          <w:t>Už šią paslaugą skatinamasis priedas nemokamas PAASPĮ, kuri:</w:t>
                        </w:r>
                      </w:p>
                      <w:p>
                        <w:pPr>
                          <w:tabs>
                            <w:tab w:val="left" w:pos="318"/>
                            <w:tab w:val="left" w:pos="615"/>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4" w:firstLine="284"/>
                          <w:jc w:val="both"/>
                          <w:rPr>
                            <w:szCs w:val="24"/>
                            <w:lang w:eastAsia="lt-LT"/>
                          </w:rPr>
                        </w:pPr>
                        <w:r>
                          <w:rPr>
                            <w:szCs w:val="24"/>
                            <w:lang w:eastAsia="lt-LT"/>
                          </w:rPr>
                          <w:t>1.</w:t>
                          <w:tab/>
                          <w:t>teikia mobiliąsias ambulatorines odontologinės priežiūros (pagalbos) paslaugas pagal Mobiliųjų ambulatorinių odontologinės priežiūros (pagalbos) paslaugų teikimo reikalavimų aprašą, patvirtintą Lietuvos Respublikos sveikatos apsaugos ministro 2019 m. sausio 17 d. įsakymu Nr. V</w:t>
                          <w:noBreakHyphen/>
                          <w:t>68 „Dėl Mobiliųjų ambulatorinių odontologinės priežiūros (pagalbos) paslaugų teikimo reikalavimų aprašo patvirtinimo“ (toliau – mobiliosios odontologinės paslaugos);</w:t>
                        </w:r>
                      </w:p>
                      <w:p>
                        <w:pPr>
                          <w:tabs>
                            <w:tab w:val="left" w:pos="318"/>
                            <w:tab w:val="left" w:pos="53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4" w:firstLine="284"/>
                          <w:jc w:val="both"/>
                          <w:rPr>
                            <w:szCs w:val="24"/>
                            <w:lang w:eastAsia="lt-LT"/>
                          </w:rPr>
                        </w:pPr>
                        <w:r>
                          <w:rPr>
                            <w:szCs w:val="24"/>
                            <w:lang w:eastAsia="lt-LT"/>
                          </w:rPr>
                          <w:t>2.</w:t>
                          <w:tab/>
                          <w:t xml:space="preserve"> yra sudariusi bendradarbiavimo sutartį su mobiliąsias odontologines paslaugas teikiančia PAASPĮ dėl mobiliųjų odontologinių paslaugų teikimo prie šios PAASPĮ prirašytiems gyventojams.</w:t>
                        </w:r>
                      </w:p>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10"/>
                          <w:jc w:val="both"/>
                          <w:rPr>
                            <w:szCs w:val="24"/>
                          </w:rPr>
                        </w:pPr>
                        <w:r>
                          <w:rPr>
                            <w:szCs w:val="24"/>
                            <w:lang w:eastAsia="lt-LT"/>
                          </w:rPr>
                          <w:t>Jeigu PAASPĮ, kuriai mokamas skatinamasis priedas už o</w:t>
                        </w:r>
                        <w:r>
                          <w:rPr>
                            <w:szCs w:val="24"/>
                          </w:rPr>
                          <w:t>dontologinės priežiūros (pagalbos) namuose paslaugas</w:t>
                        </w:r>
                        <w:r>
                          <w:rPr>
                            <w:szCs w:val="24"/>
                            <w:lang w:eastAsia="lt-LT"/>
                          </w:rPr>
                          <w:t>, pradeda šias paslaugas teikti prie jos prirašytiems gyventojams pagal 1 ar 2 punkte nurodytą modelį, nuo jo taikymo pradžios PAASPĮ nebeteikia šių paslaugų kaip paslaugų, už kurias mokamas skatinamasis priedas. PAASPĮ apie šių aplinkybių atsiradimą ar pasikeitimą privalo informuoti VLK Įstaigų sutarčių valdymo departamentą per 1 darbo dieną.</w:t>
                        </w:r>
                      </w:p>
                    </w:tc>
                  </w:tr>
                </w:tbl>
                <w:p>
                  <w:pPr>
                    <w:tabs>
                      <w:tab w:val="left" w:pos="567"/>
                      <w:tab w:val="left" w:pos="709"/>
                      <w:tab w:val="left" w:pos="916"/>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suppressAutoHyphens/>
                    <w:jc w:val="both"/>
                    <w:textAlignment w:val="baseline"/>
                  </w:pPr>
                  <w:r>
                    <w:rPr>
                      <w:b/>
                      <w:i/>
                      <w:sz w:val="20"/>
                    </w:rPr>
                    <w:t>TAR pastaba</w:t>
                  </w:r>
                  <w:r>
                    <w:rPr>
                      <w:i/>
                      <w:sz w:val="20"/>
                    </w:rPr>
                    <w:t xml:space="preserve">. Lentelės nuostatos taikomos </w:t>
                  </w:r>
                  <w:r>
                    <w:rPr>
                      <w:i/>
                      <w:sz w:val="20"/>
                      <w:lang w:eastAsia="lt-LT"/>
                    </w:rPr>
                    <w:t>atsiskaitant už asmens sveikatos priežiūros paslaugas, suteiktas nuo</w:t>
                  </w:r>
                  <w:r>
                    <w:rPr>
                      <w:i/>
                      <w:sz w:val="20"/>
                    </w:rPr>
                    <w:t xml:space="preserve"> 2026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0cc5d1b78211ef88c08519262548c4">
                    <w:r w:rsidRPr="00532B9F">
                      <w:rPr>
                        <w:rFonts w:ascii="Times New Roman" w:eastAsia="MS Mincho" w:hAnsi="Times New Roman"/>
                        <w:sz w:val="20"/>
                        <w:i/>
                        <w:iCs/>
                        <w:color w:val="0000FF" w:themeColor="hyperlink"/>
                        <w:u w:val="single"/>
                      </w:rPr>
                      <w:t>V-1296</w:t>
                    </w:r>
                  </w:fldSimple>
                  <w:r>
                    <w:rPr>
                      <w:rFonts w:ascii="Times New Roman" w:eastAsia="MS Mincho" w:hAnsi="Times New Roman"/>
                      <w:sz w:val="20"/>
                      <w:i/>
                      <w:iCs/>
                    </w:rPr>
                    <w:t>,
2024-12-11,
paskelbta TAR 2024-12-11, i. k. 2024-21913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615d90c90411efa5ddd96c482819f5">
                    <w:r w:rsidRPr="00532B9F">
                      <w:rPr>
                        <w:rFonts w:ascii="Times New Roman" w:eastAsia="MS Mincho" w:hAnsi="Times New Roman"/>
                        <w:sz w:val="20"/>
                        <w:i/>
                        <w:iCs/>
                        <w:color w:val="0000FF" w:themeColor="hyperlink"/>
                        <w:u w:val="single"/>
                      </w:rPr>
                      <w:t>V-3</w:t>
                    </w:r>
                  </w:fldSimple>
                  <w:r>
                    <w:rPr>
                      <w:rFonts w:ascii="Times New Roman" w:eastAsia="MS Mincho" w:hAnsi="Times New Roman"/>
                      <w:sz w:val="20"/>
                      <w:i/>
                      <w:iCs/>
                    </w:rPr>
                    <w:t>,
2025-01-02,
paskelbta TAR 2025-01-02, i. k. 2025-00030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195f4d73b11efa5ddd96c482819f5">
                    <w:r w:rsidRPr="00532B9F">
                      <w:rPr>
                        <w:rFonts w:ascii="Times New Roman" w:eastAsia="MS Mincho" w:hAnsi="Times New Roman"/>
                        <w:sz w:val="20"/>
                        <w:i/>
                        <w:iCs/>
                        <w:color w:val="0000FF" w:themeColor="hyperlink"/>
                        <w:u w:val="single"/>
                      </w:rPr>
                      <w:t>V-34</w:t>
                    </w:r>
                  </w:fldSimple>
                  <w:r>
                    <w:rPr>
                      <w:rFonts w:ascii="Times New Roman" w:eastAsia="MS Mincho" w:hAnsi="Times New Roman"/>
                      <w:sz w:val="20"/>
                      <w:i/>
                      <w:iCs/>
                    </w:rPr>
                    <w:t>,
2025-01-20,
paskelbta TAR 2025-01-21, i. k. 2025-00643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48e384cdc311efa5ddd96c482819f5">
                    <w:r w:rsidRPr="00532B9F">
                      <w:rPr>
                        <w:rFonts w:ascii="Times New Roman" w:eastAsia="MS Mincho" w:hAnsi="Times New Roman"/>
                        <w:sz w:val="20"/>
                        <w:i/>
                        <w:iCs/>
                        <w:color w:val="0000FF" w:themeColor="hyperlink"/>
                        <w:u w:val="single"/>
                      </w:rPr>
                      <w:t>V-13</w:t>
                    </w:r>
                  </w:fldSimple>
                  <w:r>
                    <w:rPr>
                      <w:rFonts w:ascii="Times New Roman" w:eastAsia="MS Mincho" w:hAnsi="Times New Roman"/>
                      <w:sz w:val="20"/>
                      <w:i/>
                      <w:iCs/>
                    </w:rPr>
                    <w:t>,
2025-01-08,
paskelbta TAR 2025-01-08, i. k. 2025-00194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cbc6663b11f0a8bbd1e98310677d">
                    <w:r w:rsidRPr="00532B9F">
                      <w:rPr>
                        <w:rFonts w:ascii="Times New Roman" w:eastAsia="MS Mincho" w:hAnsi="Times New Roman"/>
                        <w:sz w:val="20"/>
                        <w:i/>
                        <w:iCs/>
                        <w:color w:val="0000FF" w:themeColor="hyperlink"/>
                        <w:u w:val="single"/>
                      </w:rPr>
                      <w:t>V-682</w:t>
                    </w:r>
                  </w:fldSimple>
                  <w:r>
                    <w:rPr>
                      <w:rFonts w:ascii="Times New Roman" w:eastAsia="MS Mincho" w:hAnsi="Times New Roman"/>
                      <w:sz w:val="20"/>
                      <w:i/>
                      <w:iCs/>
                    </w:rPr>
                    <w:t>,
2025-07-21,
paskelbta TAR 2025-07-21, i. k. 2025-13102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d0b86792711f0a8bbd1e98310677d">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2025-08-14,
paskelbta TAR 2025-08-14, i. k. 2025-14064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3321dc9f11f08918e1adc7c5b1ec">
                    <w:r w:rsidRPr="00532B9F">
                      <w:rPr>
                        <w:rFonts w:ascii="Times New Roman" w:eastAsia="MS Mincho" w:hAnsi="Times New Roman"/>
                        <w:sz w:val="20"/>
                        <w:i/>
                        <w:iCs/>
                        <w:color w:val="0000FF" w:themeColor="hyperlink"/>
                        <w:u w:val="single"/>
                      </w:rPr>
                      <w:t>V-1181</w:t>
                    </w:r>
                  </w:fldSimple>
                  <w:r>
                    <w:rPr>
                      <w:rFonts w:ascii="Times New Roman" w:eastAsia="MS Mincho" w:hAnsi="Times New Roman"/>
                      <w:sz w:val="20"/>
                      <w:i/>
                      <w:iCs/>
                    </w:rPr>
                    <w:t>,
2025-12-19,
paskelbta TAR 2025-12-19, i. k. 2025-21996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d9701066911f1b465ab875bcad79f">
                    <w:r w:rsidRPr="00532B9F">
                      <w:rPr>
                        <w:rFonts w:ascii="Times New Roman" w:eastAsia="MS Mincho" w:hAnsi="Times New Roman"/>
                        <w:sz w:val="20"/>
                        <w:i/>
                        <w:iCs/>
                        <w:color w:val="0000FF" w:themeColor="hyperlink"/>
                        <w:u w:val="single"/>
                      </w:rPr>
                      <w:t>V-119</w:t>
                    </w:r>
                  </w:fldSimple>
                  <w:r>
                    <w:rPr>
                      <w:rFonts w:ascii="Times New Roman" w:eastAsia="MS Mincho" w:hAnsi="Times New Roman"/>
                      <w:sz w:val="20"/>
                      <w:i/>
                      <w:iCs/>
                    </w:rPr>
                    <w:t>,
2026-02-10,
paskelbta TAR 2026-02-10, i. k. 2026-02060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2a4e564ddd11f180c9c618618421ed">
                    <w:r w:rsidRPr="00532B9F">
                      <w:rPr>
                        <w:rFonts w:ascii="Times New Roman" w:eastAsia="MS Mincho" w:hAnsi="Times New Roman"/>
                        <w:sz w:val="20"/>
                        <w:i/>
                        <w:iCs/>
                        <w:color w:val="0000FF" w:themeColor="hyperlink"/>
                        <w:u w:val="single"/>
                      </w:rPr>
                      <w:t>V-478</w:t>
                    </w:r>
                  </w:fldSimple>
                  <w:r>
                    <w:rPr>
                      <w:rFonts w:ascii="Times New Roman" w:eastAsia="MS Mincho" w:hAnsi="Times New Roman"/>
                      <w:sz w:val="20"/>
                      <w:i/>
                      <w:iCs/>
                    </w:rPr>
                    <w:t>,
2026-05-12,
paskelbta TAR 2026-05-12, i. k. 2026-07949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0a47d6752111f1b53dfa020e517810">
                    <w:r w:rsidRPr="00532B9F">
                      <w:rPr>
                        <w:rFonts w:ascii="Times New Roman" w:eastAsia="MS Mincho" w:hAnsi="Times New Roman"/>
                        <w:sz w:val="20"/>
                        <w:i/>
                        <w:iCs/>
                        <w:color w:val="0000FF" w:themeColor="hyperlink"/>
                        <w:u w:val="single"/>
                      </w:rPr>
                      <w:t>V-652</w:t>
                    </w:r>
                  </w:fldSimple>
                  <w:r>
                    <w:rPr>
                      <w:rFonts w:ascii="Times New Roman" w:eastAsia="MS Mincho" w:hAnsi="Times New Roman"/>
                      <w:sz w:val="20"/>
                      <w:i/>
                      <w:iCs/>
                    </w:rPr>
                    <w:t>,
2026-07-01,
paskelbta TAR 2026-07-01, i. k. 2026-11380            </w:t>
                  </w:r>
                </w:p>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8508800ee311ebb74de75171d26d52">
                <w:r w:rsidRPr="00532B9F">
                  <w:rPr>
                    <w:rFonts w:ascii="Times New Roman" w:eastAsia="MS Mincho" w:hAnsi="Times New Roman"/>
                    <w:sz w:val="20"/>
                    <w:i/>
                    <w:iCs/>
                    <w:color w:val="0000FF" w:themeColor="hyperlink"/>
                    <w:u w:val="single"/>
                  </w:rPr>
                  <w:t>V-2275</w:t>
                </w:r>
              </w:fldSimple>
              <w:r>
                <w:rPr>
                  <w:rFonts w:ascii="Times New Roman" w:eastAsia="MS Mincho" w:hAnsi="Times New Roman"/>
                  <w:sz w:val="20"/>
                  <w:i/>
                  <w:iCs/>
                </w:rPr>
                <w:t>,
2020-10-15,
paskelbta TAR 2020-10-15, i. k. 2020-21492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4d484858911efabdbb4a1fc8b0b63">
                <w:r w:rsidRPr="00532B9F">
                  <w:rPr>
                    <w:rFonts w:ascii="Times New Roman" w:eastAsia="MS Mincho" w:hAnsi="Times New Roman"/>
                    <w:sz w:val="20"/>
                    <w:i/>
                    <w:iCs/>
                    <w:color w:val="0000FF" w:themeColor="hyperlink"/>
                    <w:u w:val="single"/>
                  </w:rPr>
                  <w:t>V-981</w:t>
                </w:r>
              </w:fldSimple>
              <w:r>
                <w:rPr>
                  <w:rFonts w:ascii="Times New Roman" w:eastAsia="MS Mincho" w:hAnsi="Times New Roman"/>
                  <w:sz w:val="20"/>
                  <w:i/>
                  <w:iCs/>
                </w:rPr>
                <w:t>,
2024-10-08,
paskelbta TAR 2024-10-08, i. k. 2024-17662            </w:t>
              </w:r>
            </w:p>
            <w:p/>
          </w:sdtContent>
        </w:sdt>
        <w:sdt>
          <w:sdtPr>
            <w:alias w:val="skyrius"/>
            <w:tag w:val="part_2c8a24c4ad6449d4876f85791e3fe4e2"/>
            <w:lock w:val="sdtLocked"/>
            <w:richText/>
          </w:sdtPr>
          <w:sdtContent>
            <w:p>
              <w:pPr>
                <w:ind w:left="567"/>
                <w:jc w:val="center"/>
                <w:rPr>
                  <w:color w:val="242424"/>
                  <w:szCs w:val="24"/>
                  <w:lang w:eastAsia="lt-LT"/>
                </w:rPr>
              </w:pPr>
              <w:sdt>
                <w:sdtPr>
                  <w:alias w:val="Numeris"/>
                  <w:tag w:val="nr_2c8a24c4ad6449d4876f85791e3fe4e2"/>
                  <w:lock w:val="sdtLocked"/>
                  <w:richText/>
                </w:sdtPr>
                <w:sdtContent>
                  <w:r>
                    <w:rPr>
                      <w:b/>
                      <w:bCs/>
                      <w:color w:val="242424"/>
                      <w:szCs w:val="24"/>
                      <w:lang w:eastAsia="lt-LT"/>
                    </w:rPr>
                    <w:t>V</w:t>
                  </w:r>
                </w:sdtContent>
              </w:sdt>
              <w:r>
                <w:rPr>
                  <w:b/>
                  <w:bCs/>
                  <w:color w:val="242424"/>
                  <w:szCs w:val="24"/>
                  <w:lang w:eastAsia="lt-LT"/>
                </w:rPr>
                <w:t xml:space="preserve"> SKYRIUS</w:t>
              </w:r>
            </w:p>
            <w:p>
              <w:pPr>
                <w:jc w:val="center"/>
                <w:rPr>
                  <w:b/>
                  <w:bCs/>
                  <w:szCs w:val="24"/>
                  <w:lang w:eastAsia="lt-LT"/>
                </w:rPr>
              </w:pPr>
              <w:sdt>
                <w:sdtPr>
                  <w:alias w:val="Pavadinimas"/>
                  <w:tag w:val="title_2c8a24c4ad6449d4876f85791e3fe4e2"/>
                  <w:lock w:val="sdtLocked"/>
                  <w:richText/>
                </w:sdtPr>
                <w:sdtContent>
                  <w:r>
                    <w:rPr>
                      <w:b/>
                      <w:bCs/>
                      <w:szCs w:val="24"/>
                      <w:lang w:eastAsia="lt-LT"/>
                    </w:rPr>
                    <w:t>MOKĖTINOS SUMOS UŽ PASIEKTAS GERŲ PAASP REZULTATŲ RODIKLIŲ REIKŠMES APSKAIČIAVIMAS</w:t>
                  </w:r>
                </w:sdtContent>
              </w:sdt>
            </w:p>
            <w:p>
              <w:pPr>
                <w:jc w:val="center"/>
                <w:rPr>
                  <w:b/>
                  <w:bCs/>
                  <w:szCs w:val="24"/>
                  <w:lang w:eastAsia="lt-LT"/>
                </w:rPr>
              </w:pPr>
            </w:p>
            <w:sdt>
              <w:sdtPr>
                <w:alias w:val="37 p."/>
                <w:tag w:val="part_412c323a1b4840e49d77563e1c93275e"/>
                <w:lock w:val="sdtLocked"/>
                <w:richText/>
              </w:sdtPr>
              <w:sdtContent>
                <w:p>
                  <w:pPr>
                    <w:tabs>
                      <w:tab w:val="left" w:pos="426"/>
                      <w:tab w:val="left" w:pos="851"/>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Calibri"/>
                      <w:szCs w:val="24"/>
                    </w:rPr>
                  </w:pPr>
                  <w:sdt>
                    <w:sdtPr>
                      <w:alias w:val="Numeris"/>
                      <w:tag w:val="nr_412c323a1b4840e49d77563e1c93275e"/>
                      <w:lock w:val="sdtLocked"/>
                      <w:richText/>
                    </w:sdtPr>
                    <w:sdtContent>
                      <w:r>
                        <w:rPr>
                          <w:szCs w:val="24"/>
                          <w:lang w:eastAsia="lt-LT"/>
                        </w:rPr>
                        <w:t>37</w:t>
                      </w:r>
                    </w:sdtContent>
                  </w:sdt>
                  <w:r>
                    <w:rPr>
                      <w:szCs w:val="24"/>
                      <w:lang w:eastAsia="lt-LT"/>
                    </w:rPr>
                    <w:t>. Gerų PAASP rezultatų rodikliai ir jų reikšmių (sąlyginiais vienetais) apskaičiavimo tvarka nustatyta Gerų pirminės ambulatorinės asmens sveikatos priežiūros rezultatų rodiklių reikšmių apskaičiavimo metodikoje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38 p."/>
                <w:tag w:val="part_85372560ab274320842510e8b0b9f6fe"/>
                <w:lock w:val="sdtLocked"/>
                <w:richText/>
              </w:sdtPr>
              <w:sdtContent>
                <w:p>
                  <w:pPr>
                    <w:tabs>
                      <w:tab w:val="left" w:pos="709"/>
                      <w:tab w:val="left" w:pos="993"/>
                    </w:tabs>
                    <w:ind w:firstLine="709"/>
                    <w:jc w:val="both"/>
                  </w:pPr>
                  <w:sdt>
                    <w:sdtPr>
                      <w:alias w:val="Numeris"/>
                      <w:tag w:val="nr_85372560ab274320842510e8b0b9f6fe"/>
                      <w:lock w:val="sdtLocked"/>
                      <w:richText/>
                    </w:sdtPr>
                    <w:sdtContent>
                      <w:r>
                        <w:rPr>
                          <w:rFonts w:eastAsia="Calibri"/>
                          <w:color w:val="000000"/>
                          <w:szCs w:val="24"/>
                        </w:rPr>
                        <w:t>38</w:t>
                      </w:r>
                    </w:sdtContent>
                  </w:sdt>
                  <w:r>
                    <w:rPr>
                      <w:rFonts w:eastAsia="Calibri"/>
                      <w:color w:val="000000"/>
                      <w:szCs w:val="24"/>
                    </w:rPr>
                    <w:t xml:space="preserve">. Kiekvienam PAASP įstaigai taikomam </w:t>
                  </w:r>
                  <w:r>
                    <w:rPr>
                      <w:color w:val="000000"/>
                      <w:szCs w:val="24"/>
                    </w:rPr>
                    <w:t>gerų PAASP rezultatų rodikliui</w:t>
                  </w:r>
                  <w:r>
                    <w:rPr>
                      <w:rFonts w:eastAsia="Calibri"/>
                      <w:color w:val="000000"/>
                      <w:szCs w:val="24"/>
                    </w:rPr>
                    <w:t xml:space="preserve"> tenkančių sąlyginių vienetų suma apskaičiuojama atskirai, atsižvelgiant į atitinkamų PAASP sričių gerus darbo rezultatus (t. y. gerus šeimos gydytojo komandos darbo rezultatus, gerus pirminės ambulatorinės psichikos sveikatos priežiūros rezultatus, gerus pirminės ambulatorinės odontologinės sveikatos priežiūros rezultatus).</w:t>
                  </w:r>
                  <w:r>
                    <w:t xml:space="preserve"> </w:t>
                  </w:r>
                </w:p>
                <w:p>
                  <w:pPr>
                    <w:tabs>
                      <w:tab w:val="left" w:pos="709"/>
                      <w:tab w:val="left" w:pos="993"/>
                    </w:tabs>
                    <w:jc w:val="both"/>
                    <w:rPr>
                      <w:szCs w:val="24"/>
                      <w:lang w:eastAsia="lt-LT"/>
                    </w:rPr>
                  </w:pPr>
                  <w:r>
                    <w:rPr>
                      <w:b/>
                      <w:i/>
                      <w:sz w:val="20"/>
                    </w:rPr>
                    <w:t>TAR pastaba</w:t>
                  </w:r>
                  <w:r>
                    <w:rPr>
                      <w:i/>
                      <w:sz w:val="20"/>
                    </w:rPr>
                    <w:t xml:space="preserve">: </w:t>
                  </w:r>
                  <w:r>
                    <w:rPr>
                      <w:rFonts w:eastAsia="Calibri"/>
                      <w:i/>
                      <w:color w:val="000000"/>
                      <w:sz w:val="20"/>
                      <w:lang w:eastAsia="lt-LT"/>
                    </w:rPr>
                    <w:t>papunkčių nuostatos taikomos nuo 2024 m. sausio 1 d., skaičiuojant 2023 m. gerų pirminės ambulatorinės asmens sveikatos priežiūros (toliau – PAASP) rezultatų rodiklių reikšmes</w:t>
                  </w:r>
                  <w:r>
                    <w:rPr>
                      <w:rFonts w:eastAsia="Calibri"/>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ca6d0dbcf11eead77e967e3995264">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2024-03-06,
paskelbta TAR 2024-03-06, i. k. 2024-04204            </w:t>
                  </w:r>
                </w:p>
                <w:p/>
              </w:sdtContent>
            </w:sdt>
            <w:sdt>
              <w:sdtPr>
                <w:alias w:val="39 p."/>
                <w:tag w:val="part_5d71ce0930d04b098635bf499e01e42b"/>
                <w:lock w:val="sdtLocked"/>
                <w:richText/>
              </w:sdtPr>
              <w:sdtContent>
                <w:p>
                  <w:pPr>
                    <w:tabs>
                      <w:tab w:val="left" w:pos="709"/>
                      <w:tab w:val="left" w:pos="851"/>
                      <w:tab w:val="left" w:pos="1134"/>
                    </w:tabs>
                    <w:ind w:firstLine="709"/>
                    <w:jc w:val="both"/>
                    <w:rPr>
                      <w:rFonts w:eastAsia="Calibri"/>
                      <w:szCs w:val="24"/>
                    </w:rPr>
                  </w:pPr>
                  <w:sdt>
                    <w:sdtPr>
                      <w:alias w:val="Numeris"/>
                      <w:tag w:val="nr_5d71ce0930d04b098635bf499e01e42b"/>
                      <w:lock w:val="sdtLocked"/>
                      <w:richText/>
                    </w:sdtPr>
                    <w:sdtContent>
                      <w:r>
                        <w:rPr>
                          <w:rFonts w:eastAsia="Calibri"/>
                          <w:szCs w:val="24"/>
                        </w:rPr>
                        <w:t>39</w:t>
                      </w:r>
                    </w:sdtContent>
                  </w:sdt>
                  <w:r>
                    <w:rPr>
                      <w:rFonts w:eastAsia="Calibri"/>
                      <w:szCs w:val="24"/>
                    </w:rPr>
                    <w:t>. Kiekvienam gerų PAASP rezultatų rodikliui tenkanti sąlyginių vienetų suma apskaičiuojama sąlyginių vienetų, skirtų pagal pasiektą atitinkamo rodiklio reikšmę, skaičių dauginant iš tikslinės grupės, pagal kurios duomenis skaičiuojama šio rodiklio reikšmė, asmenų skaičiaus.</w:t>
                  </w:r>
                </w:p>
              </w:sdtContent>
            </w:sdt>
            <w:sdt>
              <w:sdtPr>
                <w:alias w:val="40 p."/>
                <w:tag w:val="part_1c481d1b4c2b4bf6be1da04b063a554f"/>
                <w:lock w:val="sdtLocked"/>
                <w:richText/>
              </w:sdtPr>
              <w:sdtContent>
                <w:p>
                  <w:pPr>
                    <w:tabs>
                      <w:tab w:val="left" w:pos="709"/>
                      <w:tab w:val="left" w:pos="851"/>
                      <w:tab w:val="left" w:pos="1134"/>
                    </w:tabs>
                    <w:ind w:firstLine="720"/>
                    <w:jc w:val="both"/>
                  </w:pPr>
                  <w:sdt>
                    <w:sdtPr>
                      <w:alias w:val="Numeris"/>
                      <w:tag w:val="nr_1c481d1b4c2b4bf6be1da04b063a554f"/>
                      <w:lock w:val="sdtLocked"/>
                      <w:richText/>
                    </w:sdtPr>
                    <w:sdtContent>
                      <w:r>
                        <w:rPr>
                          <w:rFonts w:eastAsia="Calibri"/>
                          <w:color w:val="000000"/>
                          <w:szCs w:val="24"/>
                        </w:rPr>
                        <w:t>40</w:t>
                      </w:r>
                    </w:sdtContent>
                  </w:sdt>
                  <w:r>
                    <w:rPr>
                      <w:rFonts w:eastAsia="Calibri"/>
                      <w:color w:val="000000"/>
                      <w:szCs w:val="24"/>
                    </w:rPr>
                    <w:t>. PAASP įstaigai tenkančių sąlyginių vienetų suma nustatoma sudedant kiekvienam PAASP rezultatų rodikliui tenkančias sąlyginių vienetų sumas ir jas dalijant iš 12 bei dauginant iš mėnesių, kuriais PAASP įstaiga teikė paslaugas, skaičiaus.</w:t>
                  </w:r>
                  <w:r>
                    <w:t xml:space="preserve"> </w:t>
                  </w:r>
                </w:p>
                <w:p>
                  <w:pPr>
                    <w:tabs>
                      <w:tab w:val="left" w:pos="709"/>
                      <w:tab w:val="left" w:pos="851"/>
                      <w:tab w:val="left" w:pos="1134"/>
                    </w:tabs>
                    <w:jc w:val="both"/>
                  </w:pPr>
                  <w:r>
                    <w:rPr>
                      <w:b/>
                      <w:i/>
                      <w:sz w:val="20"/>
                    </w:rPr>
                    <w:t>TAR pastaba</w:t>
                  </w:r>
                  <w:r>
                    <w:rPr>
                      <w:i/>
                      <w:sz w:val="20"/>
                    </w:rPr>
                    <w:t xml:space="preserve">: </w:t>
                  </w:r>
                  <w:r>
                    <w:rPr>
                      <w:rFonts w:eastAsia="Calibri"/>
                      <w:i/>
                      <w:color w:val="000000"/>
                      <w:sz w:val="20"/>
                      <w:lang w:eastAsia="lt-LT"/>
                    </w:rPr>
                    <w:t>papunkčių nuostatos taikomos nuo 2024 m. sausio 1 d., skaičiuojant 2023 m. gerų pirminės ambulatorinės asmens sveikatos priežiūros (toliau – PAASP) rezultatų rodiklių reikšmes.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bd430bf9811ec8d9390588bf2de65">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2022-04-19,
paskelbta TAR 2022-04-19, i. k. 2022-07930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ca6d0dbcf11eead77e967e3995264">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2024-03-06,
paskelbta TAR 2024-03-06, i. k. 2024-04204            </w:t>
                  </w:r>
                </w:p>
                <w:p/>
              </w:sdtContent>
            </w:sdt>
            <w:sdt>
              <w:sdtPr>
                <w:alias w:val="40-1 p."/>
                <w:tag w:val="part_b171c69485f84907be77f50b8a10b63f"/>
                <w:lock w:val="sdtLocked"/>
                <w:richText/>
              </w:sdtPr>
              <w:sdtContent>
                <w:p>
                  <w:pPr>
                    <w:tabs>
                      <w:tab w:val="left" w:pos="709"/>
                      <w:tab w:val="left" w:pos="851"/>
                    </w:tabs>
                    <w:ind w:firstLine="720"/>
                    <w:jc w:val="both"/>
                    <w:rPr>
                      <w:b/>
                      <w:bCs/>
                      <w:color w:val="000000"/>
                      <w:szCs w:val="24"/>
                    </w:rPr>
                  </w:pPr>
                  <w:sdt>
                    <w:sdtPr>
                      <w:alias w:val="Numeris"/>
                      <w:tag w:val="nr_b171c69485f84907be77f50b8a10b63f"/>
                      <w:lock w:val="sdtLocked"/>
                      <w:richText/>
                    </w:sdtPr>
                    <w:sdtContent>
                      <w:r>
                        <w:rPr>
                          <w:rFonts w:eastAsia="Calibri"/>
                          <w:szCs w:val="24"/>
                          <w:lang w:eastAsia="lt-LT"/>
                        </w:rPr>
                        <w:t>40</w:t>
                      </w:r>
                      <w:r>
                        <w:rPr>
                          <w:rFonts w:eastAsia="Calibri"/>
                          <w:szCs w:val="24"/>
                          <w:vertAlign w:val="superscript"/>
                          <w:lang w:eastAsia="lt-LT"/>
                        </w:rPr>
                        <w:t>1</w:t>
                      </w:r>
                    </w:sdtContent>
                  </w:sdt>
                  <w:r>
                    <w:rPr>
                      <w:rFonts w:eastAsia="Calibri"/>
                      <w:szCs w:val="24"/>
                      <w:lang w:eastAsia="lt-LT"/>
                    </w:rPr>
                    <w:t xml:space="preserve">. </w:t>
                  </w:r>
                  <w:r>
                    <w:rPr>
                      <w:color w:val="000000"/>
                      <w:szCs w:val="24"/>
                    </w:rPr>
                    <w:t xml:space="preserve">PSDF biudžeto lėšų suma, tenkanti kiekvienam gerų PAASP rezultatų rodikliui šalies mastu, apskaičiuojama atsižvelgiant į lentelėje nurodytą kiekvienam rodikliui tenkančią bendros PSDF biudžeto lėšų sumos, skiriamos už </w:t>
                  </w:r>
                  <w:r>
                    <w:rPr>
                      <w:rFonts w:eastAsia="Calibri"/>
                      <w:color w:val="000000"/>
                      <w:szCs w:val="24"/>
                      <w:lang w:eastAsia="lt-LT"/>
                    </w:rPr>
                    <w:t>atitinkamų PAASP sričių gerus darbo rezultatus,</w:t>
                  </w:r>
                  <w:r>
                    <w:rPr>
                      <w:color w:val="000000"/>
                      <w:szCs w:val="24"/>
                    </w:rPr>
                    <w:t xml:space="preserve"> dalį procentais:</w:t>
                  </w:r>
                  <w:r>
                    <w:rPr>
                      <w:b/>
                      <w:bCs/>
                      <w:color w:val="000000"/>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2"/>
                    <w:gridCol w:w="1870"/>
                    <w:gridCol w:w="4707"/>
                    <w:gridCol w:w="2816"/>
                  </w:tblGrid>
                  <w:tr>
                    <w:trPr>
                      <w:trHeight w:val="699"/>
                    </w:trPr>
                    <w:tc>
                      <w:tcPr>
                        <w:tcW w:w="0" w:type="auto"/>
                        <w:hideMark/>
                      </w:tcPr>
                      <w:p>
                        <w:pPr>
                          <w:tabs>
                            <w:tab w:val="left" w:pos="993"/>
                            <w:tab w:val="left" w:pos="1276"/>
                          </w:tabs>
                          <w:jc w:val="both"/>
                          <w:rPr>
                            <w:b/>
                            <w:bCs/>
                            <w:szCs w:val="24"/>
                          </w:rPr>
                        </w:pPr>
                        <w:r>
                          <w:rPr>
                            <w:b/>
                            <w:bCs/>
                            <w:szCs w:val="24"/>
                          </w:rPr>
                          <w:t>Eil. Nr.</w:t>
                        </w:r>
                      </w:p>
                    </w:tc>
                    <w:tc>
                      <w:tcPr>
                        <w:tcW w:w="0" w:type="auto"/>
                        <w:hideMark/>
                      </w:tcPr>
                      <w:p>
                        <w:pPr>
                          <w:tabs>
                            <w:tab w:val="left" w:pos="993"/>
                            <w:tab w:val="left" w:pos="1276"/>
                          </w:tabs>
                          <w:jc w:val="center"/>
                          <w:rPr>
                            <w:b/>
                            <w:bCs/>
                            <w:szCs w:val="24"/>
                          </w:rPr>
                        </w:pPr>
                        <w:r>
                          <w:rPr>
                            <w:b/>
                            <w:bCs/>
                            <w:szCs w:val="24"/>
                          </w:rPr>
                          <w:t>PAASP sritis</w:t>
                        </w:r>
                      </w:p>
                    </w:tc>
                    <w:tc>
                      <w:tcPr>
                        <w:tcW w:w="0" w:type="auto"/>
                        <w:hideMark/>
                      </w:tcPr>
                      <w:p>
                        <w:pPr>
                          <w:tabs>
                            <w:tab w:val="left" w:pos="993"/>
                            <w:tab w:val="left" w:pos="1276"/>
                          </w:tabs>
                          <w:jc w:val="center"/>
                          <w:rPr>
                            <w:b/>
                            <w:bCs/>
                            <w:szCs w:val="24"/>
                          </w:rPr>
                        </w:pPr>
                        <w:r>
                          <w:rPr>
                            <w:b/>
                            <w:bCs/>
                            <w:szCs w:val="24"/>
                          </w:rPr>
                          <w:t>Gerų PAASP rezultatų rodiklio pavadinimas</w:t>
                        </w:r>
                      </w:p>
                    </w:tc>
                    <w:tc>
                      <w:tcPr>
                        <w:tcW w:w="0" w:type="auto"/>
                        <w:hideMark/>
                      </w:tcPr>
                      <w:p>
                        <w:pPr>
                          <w:tabs>
                            <w:tab w:val="left" w:pos="993"/>
                            <w:tab w:val="left" w:pos="1276"/>
                          </w:tabs>
                          <w:jc w:val="center"/>
                          <w:rPr>
                            <w:b/>
                            <w:bCs/>
                            <w:szCs w:val="24"/>
                          </w:rPr>
                        </w:pPr>
                        <w:r>
                          <w:rPr>
                            <w:b/>
                            <w:bCs/>
                            <w:szCs w:val="24"/>
                          </w:rPr>
                          <w:t xml:space="preserve">Bendros PSDF biudžeto lėšų sumos, </w:t>
                        </w:r>
                        <w:r>
                          <w:rPr>
                            <w:b/>
                            <w:bCs/>
                            <w:color w:val="000000"/>
                            <w:szCs w:val="24"/>
                          </w:rPr>
                          <w:t xml:space="preserve">skiriamos už </w:t>
                        </w:r>
                        <w:r>
                          <w:rPr>
                            <w:rFonts w:eastAsia="Calibri"/>
                            <w:b/>
                            <w:bCs/>
                            <w:color w:val="000000"/>
                            <w:szCs w:val="24"/>
                            <w:lang w:eastAsia="lt-LT"/>
                          </w:rPr>
                          <w:t xml:space="preserve">atitinkamų PAASP sričių gerus darbo rezultatus, dalis (procentais), tenkanti </w:t>
                        </w:r>
                        <w:r>
                          <w:rPr>
                            <w:b/>
                            <w:bCs/>
                            <w:szCs w:val="24"/>
                          </w:rPr>
                          <w:t>kiekvienam gerų PAASP rezultatų rodikliui</w:t>
                        </w:r>
                      </w:p>
                    </w:tc>
                  </w:tr>
                  <w:tr>
                    <w:trPr>
                      <w:trHeight w:val="315"/>
                    </w:trPr>
                    <w:tc>
                      <w:tcPr>
                        <w:tcW w:w="0" w:type="auto"/>
                        <w:noWrap/>
                        <w:hideMark/>
                      </w:tcPr>
                      <w:p>
                        <w:pPr>
                          <w:tabs>
                            <w:tab w:val="left" w:pos="993"/>
                            <w:tab w:val="left" w:pos="1276"/>
                          </w:tabs>
                          <w:jc w:val="both"/>
                          <w:rPr>
                            <w:szCs w:val="24"/>
                          </w:rPr>
                        </w:pPr>
                        <w:r>
                          <w:rPr>
                            <w:szCs w:val="24"/>
                          </w:rPr>
                          <w:t>1</w:t>
                        </w:r>
                      </w:p>
                    </w:tc>
                    <w:tc>
                      <w:tcPr>
                        <w:tcW w:w="0" w:type="auto"/>
                        <w:vMerge w:val="restart"/>
                        <w:hideMark/>
                      </w:tcPr>
                      <w:p>
                        <w:pPr>
                          <w:tabs>
                            <w:tab w:val="left" w:pos="993"/>
                            <w:tab w:val="left" w:pos="1276"/>
                          </w:tabs>
                          <w:jc w:val="both"/>
                          <w:rPr>
                            <w:szCs w:val="24"/>
                          </w:rPr>
                        </w:pPr>
                        <w:r>
                          <w:rPr>
                            <w:szCs w:val="24"/>
                          </w:rPr>
                          <w:t>Pirminė ambulatorinė asmens sveikatos priežiūra</w:t>
                        </w:r>
                      </w:p>
                    </w:tc>
                    <w:tc>
                      <w:tcPr>
                        <w:tcW w:w="0" w:type="auto"/>
                        <w:hideMark/>
                      </w:tcPr>
                      <w:p>
                        <w:pPr>
                          <w:tabs>
                            <w:tab w:val="left" w:pos="993"/>
                            <w:tab w:val="left" w:pos="1276"/>
                          </w:tabs>
                          <w:jc w:val="both"/>
                          <w:rPr>
                            <w:szCs w:val="24"/>
                          </w:rPr>
                        </w:pPr>
                        <w:r>
                          <w:rPr>
                            <w:szCs w:val="24"/>
                          </w:rPr>
                          <w:t>Vyresnių nei 65 metų asmenų skiepijimas gripo vakcina</w:t>
                        </w:r>
                      </w:p>
                    </w:tc>
                    <w:tc>
                      <w:tcPr>
                        <w:tcW w:w="0" w:type="auto"/>
                        <w:noWrap/>
                        <w:hideMark/>
                      </w:tcPr>
                      <w:p>
                        <w:pPr>
                          <w:tabs>
                            <w:tab w:val="left" w:pos="993"/>
                            <w:tab w:val="left" w:pos="1276"/>
                          </w:tabs>
                          <w:jc w:val="center"/>
                          <w:rPr>
                            <w:szCs w:val="24"/>
                          </w:rPr>
                        </w:pPr>
                        <w:r>
                          <w:t>12,7</w:t>
                        </w:r>
                      </w:p>
                    </w:tc>
                  </w:tr>
                  <w:tr>
                    <w:trPr>
                      <w:trHeight w:val="315"/>
                    </w:trPr>
                    <w:tc>
                      <w:tcPr>
                        <w:tcW w:w="0" w:type="auto"/>
                        <w:noWrap/>
                        <w:hideMark/>
                      </w:tcPr>
                      <w:p>
                        <w:pPr>
                          <w:tabs>
                            <w:tab w:val="left" w:pos="993"/>
                            <w:tab w:val="left" w:pos="1276"/>
                          </w:tabs>
                          <w:jc w:val="both"/>
                          <w:rPr>
                            <w:szCs w:val="24"/>
                          </w:rPr>
                        </w:pPr>
                        <w:r>
                          <w:rPr>
                            <w:szCs w:val="24"/>
                          </w:rPr>
                          <w:t>2</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Vaikų profilaktinių tikrinimų intensyvumas</w:t>
                        </w:r>
                      </w:p>
                    </w:tc>
                    <w:tc>
                      <w:tcPr>
                        <w:tcW w:w="0" w:type="auto"/>
                        <w:noWrap/>
                        <w:hideMark/>
                      </w:tcPr>
                      <w:p>
                        <w:pPr>
                          <w:tabs>
                            <w:tab w:val="left" w:pos="993"/>
                            <w:tab w:val="left" w:pos="1276"/>
                          </w:tabs>
                          <w:jc w:val="center"/>
                          <w:rPr>
                            <w:szCs w:val="24"/>
                          </w:rPr>
                        </w:pPr>
                        <w:r>
                          <w:t>6,1</w:t>
                        </w:r>
                      </w:p>
                    </w:tc>
                  </w:tr>
                  <w:tr>
                    <w:trPr>
                      <w:trHeight w:val="1575"/>
                    </w:trPr>
                    <w:tc>
                      <w:tcPr>
                        <w:tcW w:w="0" w:type="auto"/>
                        <w:noWrap/>
                        <w:hideMark/>
                      </w:tcPr>
                      <w:p>
                        <w:pPr>
                          <w:tabs>
                            <w:tab w:val="left" w:pos="993"/>
                            <w:tab w:val="left" w:pos="1276"/>
                          </w:tabs>
                          <w:jc w:val="both"/>
                          <w:rPr>
                            <w:szCs w:val="24"/>
                          </w:rPr>
                        </w:pPr>
                        <w:r>
                          <w:rPr>
                            <w:szCs w:val="24"/>
                          </w:rPr>
                          <w:t>3</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Gimdos kaklelio vėžio ankstyvosios diagnostikos programos, patvirtintos Lietuvos Respublikos sveikatos apsaugos ministro 2004 m. birželio 30 d. įsakymu Nr. V-482 „Dėl Gimdos kaklelio vėžio ankstyvosios diagnostikos programos patvirtinimo“, vykdymo intensyvumas</w:t>
                        </w:r>
                      </w:p>
                    </w:tc>
                    <w:tc>
                      <w:tcPr>
                        <w:tcW w:w="0" w:type="auto"/>
                        <w:noWrap/>
                        <w:hideMark/>
                      </w:tcPr>
                      <w:p>
                        <w:pPr>
                          <w:tabs>
                            <w:tab w:val="left" w:pos="993"/>
                            <w:tab w:val="left" w:pos="1276"/>
                          </w:tabs>
                          <w:jc w:val="center"/>
                          <w:rPr>
                            <w:szCs w:val="24"/>
                          </w:rPr>
                        </w:pPr>
                        <w:r>
                          <w:t>12,7</w:t>
                        </w:r>
                      </w:p>
                    </w:tc>
                  </w:tr>
                  <w:tr>
                    <w:trPr>
                      <w:trHeight w:val="1620"/>
                    </w:trPr>
                    <w:tc>
                      <w:tcPr>
                        <w:tcW w:w="0" w:type="auto"/>
                        <w:noWrap/>
                        <w:hideMark/>
                      </w:tcPr>
                      <w:p>
                        <w:pPr>
                          <w:tabs>
                            <w:tab w:val="left" w:pos="993"/>
                            <w:tab w:val="left" w:pos="1276"/>
                          </w:tabs>
                          <w:jc w:val="both"/>
                          <w:rPr>
                            <w:szCs w:val="24"/>
                          </w:rPr>
                        </w:pPr>
                        <w:r>
                          <w:rPr>
                            <w:szCs w:val="24"/>
                          </w:rPr>
                          <w:t>4</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Atrankinės mamografinės patikros dėl krūties vėžio finansavimo programos, patvirtintos Lietuvos Respublikos sveikatos apsaugos ministro 2005 m. rugsėjo 23 d. įsakymu Nr. V-729 „Dėl Atrankinės mamografinės patikros dėl krūties vėžio finansavimo programos patvirtinimo“, vykdymo intensyvumas</w:t>
                        </w:r>
                      </w:p>
                    </w:tc>
                    <w:tc>
                      <w:tcPr>
                        <w:tcW w:w="0" w:type="auto"/>
                        <w:noWrap/>
                        <w:hideMark/>
                      </w:tcPr>
                      <w:p>
                        <w:pPr>
                          <w:tabs>
                            <w:tab w:val="left" w:pos="993"/>
                            <w:tab w:val="left" w:pos="1276"/>
                          </w:tabs>
                          <w:jc w:val="center"/>
                          <w:rPr>
                            <w:szCs w:val="24"/>
                          </w:rPr>
                        </w:pPr>
                        <w:r>
                          <w:t>12,7</w:t>
                        </w:r>
                      </w:p>
                    </w:tc>
                  </w:tr>
                  <w:tr>
                    <w:trPr>
                      <w:trHeight w:val="1575"/>
                    </w:trPr>
                    <w:tc>
                      <w:tcPr>
                        <w:tcW w:w="0" w:type="auto"/>
                        <w:noWrap/>
                        <w:hideMark/>
                      </w:tcPr>
                      <w:p>
                        <w:pPr>
                          <w:tabs>
                            <w:tab w:val="left" w:pos="993"/>
                            <w:tab w:val="left" w:pos="1276"/>
                          </w:tabs>
                          <w:jc w:val="both"/>
                          <w:rPr>
                            <w:szCs w:val="24"/>
                          </w:rPr>
                        </w:pPr>
                        <w:r>
                          <w:rPr>
                            <w:szCs w:val="24"/>
                          </w:rPr>
                          <w:t>5</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Storosios žarnos vėžio ankstyvosios diagnostikos finansavimo programos, patvirtintos Lietuvos Respublikos sveikatos apsaugos ministro 2009 m. birželio 23 d. įsakymu Nr. V-508 „Dėl Storosios žarnos vėžio ankstyvosios diagnostikos finansavimo programos patvirtinimo“, vykdymo intensyvumas</w:t>
                        </w:r>
                      </w:p>
                    </w:tc>
                    <w:tc>
                      <w:tcPr>
                        <w:tcW w:w="0" w:type="auto"/>
                        <w:noWrap/>
                        <w:hideMark/>
                      </w:tcPr>
                      <w:p>
                        <w:pPr>
                          <w:tabs>
                            <w:tab w:val="left" w:pos="993"/>
                            <w:tab w:val="left" w:pos="1276"/>
                          </w:tabs>
                          <w:jc w:val="center"/>
                          <w:rPr>
                            <w:szCs w:val="24"/>
                          </w:rPr>
                        </w:pPr>
                        <w:r>
                          <w:t>12,7</w:t>
                        </w:r>
                      </w:p>
                    </w:tc>
                  </w:tr>
                  <w:tr>
                    <w:trPr>
                      <w:trHeight w:val="1260"/>
                    </w:trPr>
                    <w:tc>
                      <w:tcPr>
                        <w:tcW w:w="0" w:type="auto"/>
                        <w:noWrap/>
                        <w:hideMark/>
                      </w:tcPr>
                      <w:p>
                        <w:pPr>
                          <w:tabs>
                            <w:tab w:val="left" w:pos="993"/>
                            <w:tab w:val="left" w:pos="1276"/>
                          </w:tabs>
                          <w:jc w:val="both"/>
                          <w:rPr>
                            <w:szCs w:val="24"/>
                          </w:rPr>
                        </w:pPr>
                        <w:r>
                          <w:rPr>
                            <w:szCs w:val="24"/>
                          </w:rPr>
                          <w:t>6</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 xml:space="preserve">Sergančiųjų lėtinėmis ligomis (arterine hipertenzija, cukriniu diabetu, astma, pneumonija, staziniu širdies nepakankamumu, ausų, nosies, gerklės infekcijomis, pielonefritu, obstrukcine plaučių liga) hospitalizacijos dažnis </w:t>
                        </w:r>
                      </w:p>
                    </w:tc>
                    <w:tc>
                      <w:tcPr>
                        <w:tcW w:w="0" w:type="auto"/>
                        <w:noWrap/>
                        <w:hideMark/>
                      </w:tcPr>
                      <w:p>
                        <w:pPr>
                          <w:tabs>
                            <w:tab w:val="left" w:pos="993"/>
                            <w:tab w:val="left" w:pos="1276"/>
                          </w:tabs>
                          <w:jc w:val="center"/>
                          <w:rPr>
                            <w:szCs w:val="24"/>
                          </w:rPr>
                        </w:pPr>
                        <w:r>
                          <w:t>19,0</w:t>
                        </w:r>
                      </w:p>
                    </w:tc>
                  </w:tr>
                  <w:tr>
                    <w:trPr>
                      <w:trHeight w:val="630"/>
                    </w:trPr>
                    <w:tc>
                      <w:tcPr>
                        <w:tcW w:w="0" w:type="auto"/>
                        <w:noWrap/>
                        <w:hideMark/>
                      </w:tcPr>
                      <w:p>
                        <w:pPr>
                          <w:tabs>
                            <w:tab w:val="left" w:pos="993"/>
                            <w:tab w:val="left" w:pos="1276"/>
                          </w:tabs>
                          <w:jc w:val="both"/>
                          <w:rPr>
                            <w:szCs w:val="24"/>
                          </w:rPr>
                        </w:pPr>
                        <w:r>
                          <w:rPr>
                            <w:szCs w:val="24"/>
                          </w:rPr>
                          <w:t>7</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Siauro spektro antimikrobinių vaistų (fenoksimetilpenicilino) skyrimo dažnis</w:t>
                        </w:r>
                      </w:p>
                    </w:tc>
                    <w:tc>
                      <w:tcPr>
                        <w:tcW w:w="0" w:type="auto"/>
                        <w:noWrap/>
                        <w:hideMark/>
                      </w:tcPr>
                      <w:p>
                        <w:pPr>
                          <w:tabs>
                            <w:tab w:val="left" w:pos="993"/>
                            <w:tab w:val="left" w:pos="1276"/>
                          </w:tabs>
                          <w:jc w:val="center"/>
                          <w:rPr>
                            <w:szCs w:val="24"/>
                          </w:rPr>
                        </w:pPr>
                        <w:r>
                          <w:t>6,3</w:t>
                        </w:r>
                      </w:p>
                    </w:tc>
                  </w:tr>
                  <w:tr>
                    <w:trPr>
                      <w:trHeight w:val="315"/>
                    </w:trPr>
                    <w:tc>
                      <w:tcPr>
                        <w:tcW w:w="0" w:type="auto"/>
                        <w:noWrap/>
                        <w:hideMark/>
                      </w:tcPr>
                      <w:p>
                        <w:pPr>
                          <w:tabs>
                            <w:tab w:val="left" w:pos="993"/>
                            <w:tab w:val="left" w:pos="1276"/>
                          </w:tabs>
                          <w:jc w:val="both"/>
                          <w:rPr>
                            <w:szCs w:val="24"/>
                          </w:rPr>
                        </w:pPr>
                        <w:r>
                          <w:rPr>
                            <w:szCs w:val="24"/>
                          </w:rPr>
                          <w:t>8</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Bendras antimikrobinių vaistų skyrimo dažnis</w:t>
                        </w:r>
                      </w:p>
                    </w:tc>
                    <w:tc>
                      <w:tcPr>
                        <w:tcW w:w="0" w:type="auto"/>
                        <w:noWrap/>
                        <w:hideMark/>
                      </w:tcPr>
                      <w:p>
                        <w:pPr>
                          <w:tabs>
                            <w:tab w:val="left" w:pos="993"/>
                            <w:tab w:val="left" w:pos="1276"/>
                          </w:tabs>
                          <w:jc w:val="center"/>
                          <w:rPr>
                            <w:szCs w:val="24"/>
                          </w:rPr>
                        </w:pPr>
                        <w:r>
                          <w:t>5,1</w:t>
                        </w:r>
                      </w:p>
                    </w:tc>
                  </w:tr>
                  <w:tr>
                    <w:trPr>
                      <w:trHeight w:val="630"/>
                    </w:trPr>
                    <w:tc>
                      <w:tcPr>
                        <w:tcW w:w="0" w:type="auto"/>
                        <w:noWrap/>
                        <w:hideMark/>
                      </w:tcPr>
                      <w:p>
                        <w:pPr>
                          <w:tabs>
                            <w:tab w:val="left" w:pos="993"/>
                            <w:tab w:val="left" w:pos="1276"/>
                          </w:tabs>
                          <w:jc w:val="both"/>
                          <w:rPr>
                            <w:szCs w:val="24"/>
                          </w:rPr>
                        </w:pPr>
                        <w:r>
                          <w:rPr>
                            <w:szCs w:val="24"/>
                          </w:rPr>
                          <w:t>9</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Efektyvi sergančiųjų 1 arba 2 tipo cukriniu diabetu glikozilinto hemoglobino kontrolė</w:t>
                        </w:r>
                      </w:p>
                    </w:tc>
                    <w:tc>
                      <w:tcPr>
                        <w:tcW w:w="0" w:type="auto"/>
                        <w:noWrap/>
                        <w:hideMark/>
                      </w:tcPr>
                      <w:p>
                        <w:pPr>
                          <w:tabs>
                            <w:tab w:val="left" w:pos="993"/>
                            <w:tab w:val="left" w:pos="1276"/>
                          </w:tabs>
                          <w:jc w:val="center"/>
                          <w:rPr>
                            <w:szCs w:val="24"/>
                          </w:rPr>
                        </w:pPr>
                        <w:r>
                          <w:t>12,7</w:t>
                        </w:r>
                      </w:p>
                    </w:tc>
                  </w:tr>
                  <w:tr>
                    <w:trPr>
                      <w:trHeight w:val="2010"/>
                    </w:trPr>
                    <w:tc>
                      <w:tcPr>
                        <w:tcW w:w="0" w:type="auto"/>
                        <w:noWrap/>
                        <w:hideMark/>
                      </w:tcPr>
                      <w:p>
                        <w:pPr>
                          <w:tabs>
                            <w:tab w:val="left" w:pos="993"/>
                            <w:tab w:val="left" w:pos="1276"/>
                          </w:tabs>
                          <w:jc w:val="both"/>
                          <w:rPr>
                            <w:szCs w:val="24"/>
                          </w:rPr>
                        </w:pPr>
                        <w:r>
                          <w:rPr>
                            <w:szCs w:val="24"/>
                          </w:rPr>
                          <w:t>10</w:t>
                        </w:r>
                      </w:p>
                    </w:tc>
                    <w:tc>
                      <w:tcPr>
                        <w:tcW w:w="0" w:type="auto"/>
                        <w:hideMark/>
                      </w:tcPr>
                      <w:p>
                        <w:pPr>
                          <w:tabs>
                            <w:tab w:val="left" w:pos="993"/>
                            <w:tab w:val="left" w:pos="1276"/>
                          </w:tabs>
                          <w:jc w:val="both"/>
                          <w:rPr>
                            <w:szCs w:val="24"/>
                          </w:rPr>
                        </w:pPr>
                        <w:r>
                          <w:rPr>
                            <w:szCs w:val="24"/>
                          </w:rPr>
                          <w:t xml:space="preserve">Pirminė ambulatorinė odontologinė asmens sveikatos priežiūra </w:t>
                        </w:r>
                      </w:p>
                    </w:tc>
                    <w:tc>
                      <w:tcPr>
                        <w:tcW w:w="0" w:type="auto"/>
                        <w:hideMark/>
                      </w:tcPr>
                      <w:p>
                        <w:pPr>
                          <w:tabs>
                            <w:tab w:val="left" w:pos="993"/>
                            <w:tab w:val="left" w:pos="1276"/>
                          </w:tabs>
                          <w:jc w:val="both"/>
                          <w:rPr>
                            <w:szCs w:val="24"/>
                          </w:rPr>
                        </w:pPr>
                        <w:r>
                          <w:rPr>
                            <w:szCs w:val="24"/>
                          </w:rPr>
                          <w:t>Vaikų dantų profilaktinių tikrinimų intensyvumas</w:t>
                        </w:r>
                      </w:p>
                    </w:tc>
                    <w:tc>
                      <w:tcPr>
                        <w:tcW w:w="0" w:type="auto"/>
                        <w:noWrap/>
                        <w:hideMark/>
                      </w:tcPr>
                      <w:p>
                        <w:pPr>
                          <w:tabs>
                            <w:tab w:val="left" w:pos="993"/>
                            <w:tab w:val="left" w:pos="1276"/>
                          </w:tabs>
                          <w:jc w:val="center"/>
                          <w:rPr>
                            <w:szCs w:val="24"/>
                          </w:rPr>
                        </w:pPr>
                        <w:r>
                          <w:rPr>
                            <w:szCs w:val="24"/>
                          </w:rPr>
                          <w:t>100,0</w:t>
                        </w:r>
                      </w:p>
                    </w:tc>
                  </w:tr>
                  <w:tr>
                    <w:trPr>
                      <w:trHeight w:val="315"/>
                    </w:trPr>
                    <w:tc>
                      <w:tcPr>
                        <w:tcW w:w="0" w:type="auto"/>
                        <w:noWrap/>
                        <w:hideMark/>
                      </w:tcPr>
                      <w:p>
                        <w:pPr>
                          <w:tabs>
                            <w:tab w:val="left" w:pos="993"/>
                            <w:tab w:val="left" w:pos="1276"/>
                          </w:tabs>
                          <w:jc w:val="both"/>
                          <w:rPr>
                            <w:szCs w:val="24"/>
                          </w:rPr>
                        </w:pPr>
                        <w:r>
                          <w:rPr>
                            <w:szCs w:val="24"/>
                          </w:rPr>
                          <w:t>11</w:t>
                        </w:r>
                      </w:p>
                    </w:tc>
                    <w:tc>
                      <w:tcPr>
                        <w:tcW w:w="0" w:type="auto"/>
                        <w:vMerge w:val="restart"/>
                        <w:hideMark/>
                      </w:tcPr>
                      <w:p>
                        <w:pPr>
                          <w:tabs>
                            <w:tab w:val="left" w:pos="993"/>
                            <w:tab w:val="left" w:pos="1276"/>
                          </w:tabs>
                          <w:jc w:val="both"/>
                          <w:rPr>
                            <w:szCs w:val="24"/>
                          </w:rPr>
                        </w:pPr>
                        <w:r>
                          <w:rPr>
                            <w:szCs w:val="24"/>
                          </w:rPr>
                          <w:t>Pirminė ambulatorinė psichikos sveikatos priežiūra</w:t>
                        </w:r>
                      </w:p>
                    </w:tc>
                    <w:tc>
                      <w:tcPr>
                        <w:tcW w:w="0" w:type="auto"/>
                        <w:hideMark/>
                      </w:tcPr>
                      <w:p>
                        <w:pPr>
                          <w:tabs>
                            <w:tab w:val="left" w:pos="993"/>
                            <w:tab w:val="left" w:pos="1276"/>
                          </w:tabs>
                          <w:jc w:val="both"/>
                          <w:rPr>
                            <w:szCs w:val="24"/>
                          </w:rPr>
                        </w:pPr>
                        <w:r>
                          <w:rPr>
                            <w:szCs w:val="24"/>
                          </w:rPr>
                          <w:t>Sergančiųjų šizofrenija hospitalizacijos dažnis</w:t>
                        </w:r>
                      </w:p>
                    </w:tc>
                    <w:tc>
                      <w:tcPr>
                        <w:tcW w:w="0" w:type="auto"/>
                        <w:noWrap/>
                        <w:hideMark/>
                      </w:tcPr>
                      <w:p>
                        <w:pPr>
                          <w:tabs>
                            <w:tab w:val="left" w:pos="993"/>
                            <w:tab w:val="left" w:pos="1276"/>
                          </w:tabs>
                          <w:jc w:val="center"/>
                          <w:rPr>
                            <w:szCs w:val="24"/>
                          </w:rPr>
                        </w:pPr>
                        <w:r>
                          <w:rPr>
                            <w:szCs w:val="24"/>
                          </w:rPr>
                          <w:t>50,0</w:t>
                        </w:r>
                      </w:p>
                    </w:tc>
                  </w:tr>
                  <w:tr>
                    <w:trPr>
                      <w:trHeight w:val="1275"/>
                    </w:trPr>
                    <w:tc>
                      <w:tcPr>
                        <w:tcW w:w="0" w:type="auto"/>
                        <w:noWrap/>
                        <w:hideMark/>
                      </w:tcPr>
                      <w:p>
                        <w:pPr>
                          <w:tabs>
                            <w:tab w:val="left" w:pos="993"/>
                            <w:tab w:val="left" w:pos="1276"/>
                          </w:tabs>
                          <w:jc w:val="both"/>
                          <w:rPr>
                            <w:szCs w:val="24"/>
                          </w:rPr>
                        </w:pPr>
                        <w:r>
                          <w:rPr>
                            <w:szCs w:val="24"/>
                          </w:rPr>
                          <w:t>12</w:t>
                        </w:r>
                      </w:p>
                    </w:tc>
                    <w:tc>
                      <w:tcPr>
                        <w:tcW w:w="0" w:type="auto"/>
                        <w:vMerge/>
                        <w:hideMark/>
                      </w:tcPr>
                      <w:p>
                        <w:pPr>
                          <w:tabs>
                            <w:tab w:val="left" w:pos="993"/>
                            <w:tab w:val="left" w:pos="1276"/>
                          </w:tabs>
                          <w:jc w:val="both"/>
                          <w:rPr>
                            <w:szCs w:val="24"/>
                          </w:rPr>
                        </w:pPr>
                      </w:p>
                    </w:tc>
                    <w:tc>
                      <w:tcPr>
                        <w:tcW w:w="0" w:type="auto"/>
                        <w:hideMark/>
                      </w:tcPr>
                      <w:p>
                        <w:pPr>
                          <w:tabs>
                            <w:tab w:val="left" w:pos="993"/>
                            <w:tab w:val="left" w:pos="1276"/>
                          </w:tabs>
                          <w:jc w:val="both"/>
                          <w:rPr>
                            <w:szCs w:val="24"/>
                          </w:rPr>
                        </w:pPr>
                        <w:r>
                          <w:rPr>
                            <w:szCs w:val="24"/>
                          </w:rPr>
                          <w:t>Asmenų, kuriems nustatyti afektinis ir (ar) neurozinis sutrikimai, priežiūra</w:t>
                        </w:r>
                      </w:p>
                    </w:tc>
                    <w:tc>
                      <w:tcPr>
                        <w:tcW w:w="0" w:type="auto"/>
                        <w:noWrap/>
                        <w:hideMark/>
                      </w:tcPr>
                      <w:p>
                        <w:pPr>
                          <w:tabs>
                            <w:tab w:val="left" w:pos="993"/>
                            <w:tab w:val="left" w:pos="1276"/>
                          </w:tabs>
                          <w:jc w:val="center"/>
                          <w:rPr>
                            <w:szCs w:val="24"/>
                          </w:rPr>
                        </w:pPr>
                        <w:r>
                          <w:rPr>
                            <w:szCs w:val="24"/>
                          </w:rPr>
                          <w:t>50,0“</w:t>
                        </w:r>
                      </w:p>
                    </w:tc>
                  </w:tr>
                </w:tbl>
                <w:p>
                  <w:pPr>
                    <w:tabs>
                      <w:tab w:val="left" w:pos="709"/>
                      <w:tab w:val="left" w:pos="851"/>
                    </w:tabs>
                    <w:jc w:val="both"/>
                    <w:rPr>
                      <w:rFonts w:eastAsia="Calibri"/>
                      <w:szCs w:val="24"/>
                    </w:rPr>
                  </w:pPr>
                  <w:r>
                    <w:rPr>
                      <w:b/>
                      <w:i/>
                      <w:sz w:val="20"/>
                    </w:rPr>
                    <w:t>TAR pastaba</w:t>
                  </w:r>
                  <w:r>
                    <w:rPr>
                      <w:i/>
                      <w:sz w:val="20"/>
                    </w:rPr>
                    <w:t xml:space="preserve">: </w:t>
                  </w:r>
                  <w:r>
                    <w:rPr>
                      <w:rFonts w:eastAsia="Calibri"/>
                      <w:i/>
                      <w:color w:val="000000"/>
                      <w:sz w:val="20"/>
                      <w:lang w:eastAsia="lt-LT"/>
                    </w:rPr>
                    <w:t>papunkčių nuostatos taikomos nuo 2024 m. sausio 1 d., skaičiuojant 2023 m. gerų pirminės ambulatorinės asmens sveikatos priežiūros (toliau – PAASP) rezultatų rodiklių reikšmes.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ca6d0dbcf11eead77e967e3995264">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2024-03-06,
paskelbta TAR 2024-03-06, i. k. 2024-04204        </w:t>
                  </w:r>
                </w:p>
                <w:p/>
              </w:sdtContent>
            </w:sdt>
            <w:sdt>
              <w:sdtPr>
                <w:alias w:val="41 p."/>
                <w:tag w:val="part_bdaaa723e2a74ec3acd1f23060bb1acb"/>
                <w:lock w:val="sdtLocked"/>
                <w:richText/>
              </w:sdtPr>
              <w:sdtContent>
                <w:p>
                  <w:pPr>
                    <w:ind w:firstLine="720"/>
                    <w:jc w:val="both"/>
                    <w:rPr>
                      <w:rFonts w:eastAsia="Calibri"/>
                      <w:b/>
                      <w:bCs/>
                      <w:szCs w:val="24"/>
                      <w:lang w:eastAsia="lt-LT"/>
                    </w:rPr>
                  </w:pPr>
                  <w:sdt>
                    <w:sdtPr>
                      <w:alias w:val="Numeris"/>
                      <w:tag w:val="nr_bdaaa723e2a74ec3acd1f23060bb1acb"/>
                      <w:lock w:val="sdtLocked"/>
                      <w:richText/>
                    </w:sdtPr>
                    <w:sdtContent>
                      <w:r>
                        <w:rPr>
                          <w:rFonts w:eastAsia="Calibri"/>
                          <w:szCs w:val="24"/>
                          <w:lang w:eastAsia="lt-LT"/>
                        </w:rPr>
                        <w:t>41</w:t>
                      </w:r>
                    </w:sdtContent>
                  </w:sdt>
                  <w:r>
                    <w:rPr>
                      <w:rFonts w:eastAsia="Calibri"/>
                      <w:szCs w:val="24"/>
                      <w:lang w:eastAsia="lt-LT"/>
                    </w:rPr>
                    <w:t xml:space="preserve">. Nustatoma atskirai kiekvieno </w:t>
                  </w:r>
                  <w:r>
                    <w:rPr>
                      <w:color w:val="000000"/>
                      <w:szCs w:val="24"/>
                    </w:rPr>
                    <w:t>gerų PAASP rezultatų rodiklio</w:t>
                  </w:r>
                  <w:r>
                    <w:rPr>
                      <w:rFonts w:eastAsia="Calibri"/>
                      <w:szCs w:val="24"/>
                      <w:lang w:eastAsia="lt-LT"/>
                    </w:rPr>
                    <w:t xml:space="preserve"> vieno sąlyginio vieneto vertė (eurais).</w:t>
                  </w:r>
                  <w:r>
                    <w:rPr>
                      <w:rFonts w:eastAsia="Calibri"/>
                      <w:b/>
                      <w:bCs/>
                      <w:color w:val="000000"/>
                      <w:szCs w:val="24"/>
                      <w:lang w:eastAsia="lt-LT"/>
                    </w:rPr>
                    <w:t xml:space="preserve"> </w:t>
                  </w:r>
                  <w:r>
                    <w:rPr>
                      <w:rFonts w:eastAsia="Calibri"/>
                      <w:szCs w:val="24"/>
                      <w:lang w:eastAsia="lt-LT"/>
                    </w:rPr>
                    <w:t xml:space="preserve">Vieno sąlyginio vieneto vertė (eurais) nustatoma PSDF biudžeto lėšų sumą, tenkančią kiekvienam atitinkamos PAASP srities </w:t>
                  </w:r>
                  <w:r>
                    <w:rPr>
                      <w:color w:val="000000"/>
                      <w:szCs w:val="24"/>
                    </w:rPr>
                    <w:t xml:space="preserve">gerų PAASP rezultatų rodikliui </w:t>
                  </w:r>
                  <w:r>
                    <w:rPr>
                      <w:rFonts w:eastAsia="Calibri"/>
                      <w:szCs w:val="24"/>
                      <w:lang w:eastAsia="lt-LT"/>
                    </w:rPr>
                    <w:t>(atsižvelgiant į einamuoju ataskaitiniu laikotarpiu pasiektą jo reikšmę), dalijant iš šiam rodikliui tenkančios sąlyginių vienetų sumos.</w:t>
                  </w:r>
                  <w:r>
                    <w:rPr>
                      <w:rFonts w:eastAsia="Calibri"/>
                      <w:b/>
                      <w:bCs/>
                      <w:szCs w:val="24"/>
                      <w:lang w:eastAsia="lt-LT"/>
                    </w:rPr>
                    <w:t xml:space="preserve"> </w:t>
                  </w:r>
                </w:p>
                <w:p>
                  <w:pPr>
                    <w:jc w:val="both"/>
                    <w:rPr>
                      <w:rFonts w:eastAsia="Calibri"/>
                      <w:szCs w:val="24"/>
                    </w:rPr>
                  </w:pPr>
                  <w:r>
                    <w:rPr>
                      <w:b/>
                      <w:i/>
                      <w:sz w:val="20"/>
                    </w:rPr>
                    <w:t>TAR pastaba</w:t>
                  </w:r>
                  <w:r>
                    <w:rPr>
                      <w:i/>
                      <w:sz w:val="20"/>
                    </w:rPr>
                    <w:t xml:space="preserve">: </w:t>
                  </w:r>
                  <w:r>
                    <w:rPr>
                      <w:rFonts w:eastAsia="Calibri"/>
                      <w:i/>
                      <w:color w:val="000000"/>
                      <w:sz w:val="20"/>
                      <w:lang w:eastAsia="lt-LT"/>
                    </w:rPr>
                    <w:t>papunkčių nuostatos taikomos nuo 2024 m. sausio 1 d., skaičiuojant 2023 m. gerų pirminės ambulatorinės asmens sveikatos priežiūros (toliau – PAASP) rezultatų rodiklių reikšmes.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ca6d0dbcf11eead77e967e3995264">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2024-03-06,
paskelbta TAR 2024-03-06, i. k. 2024-04204            </w:t>
                  </w:r>
                </w:p>
                <w:p/>
              </w:sdtContent>
            </w:sdt>
            <w:sdt>
              <w:sdtPr>
                <w:alias w:val="42 p."/>
                <w:tag w:val="part_9eeeb4ea339a4c109911425af4ddf8c1"/>
                <w:lock w:val="sdtLocked"/>
                <w:richText/>
              </w:sdtPr>
              <w:sdtContent>
                <w:p>
                  <w:pPr>
                    <w:tabs>
                      <w:tab w:val="left" w:pos="709"/>
                      <w:tab w:val="left" w:pos="851"/>
                    </w:tabs>
                    <w:ind w:firstLine="720"/>
                    <w:jc w:val="both"/>
                    <w:rPr>
                      <w:rFonts w:eastAsia="Calibri"/>
                      <w:szCs w:val="24"/>
                      <w:lang w:eastAsia="lt-LT"/>
                    </w:rPr>
                  </w:pPr>
                  <w:sdt>
                    <w:sdtPr>
                      <w:alias w:val="Numeris"/>
                      <w:tag w:val="nr_9eeeb4ea339a4c109911425af4ddf8c1"/>
                      <w:lock w:val="sdtLocked"/>
                      <w:richText/>
                    </w:sdtPr>
                    <w:sdtContent>
                      <w:r>
                        <w:rPr>
                          <w:rFonts w:eastAsia="Calibri"/>
                          <w:szCs w:val="24"/>
                          <w:lang w:eastAsia="lt-LT"/>
                        </w:rPr>
                        <w:t>42</w:t>
                      </w:r>
                    </w:sdtContent>
                  </w:sdt>
                  <w:r>
                    <w:rPr>
                      <w:rFonts w:eastAsia="Calibri"/>
                      <w:szCs w:val="24"/>
                      <w:lang w:eastAsia="lt-LT"/>
                    </w:rPr>
                    <w:t xml:space="preserve">. PAASP įstaigai tenkanti suma už pasiektą kiekvieno </w:t>
                  </w:r>
                  <w:r>
                    <w:rPr>
                      <w:color w:val="000000"/>
                      <w:szCs w:val="24"/>
                    </w:rPr>
                    <w:t xml:space="preserve">gerų PAASP rezultatų </w:t>
                  </w:r>
                  <w:r>
                    <w:rPr>
                      <w:rFonts w:eastAsia="Calibri"/>
                      <w:szCs w:val="24"/>
                      <w:lang w:eastAsia="lt-LT"/>
                    </w:rPr>
                    <w:t>rodiklio reikšmę nustatoma atitinkamo rodiklio vieno sąlyginio vieneto vertę (eurais) dauginant iš PAASP įstaigos surinktos šio rodiklio sąlyginių vienetų sumos. Gauti rezultatai susumuojami.</w:t>
                  </w:r>
                  <w:r>
                    <w:rPr>
                      <w:rFonts w:eastAsia="Calibri"/>
                      <w:szCs w:val="24"/>
                      <w:highlight w:val="yellow"/>
                      <w:lang w:eastAsia="lt-LT"/>
                    </w:rPr>
                    <w:t xml:space="preserve"> </w:t>
                  </w:r>
                </w:p>
                <w:p>
                  <w:pPr>
                    <w:tabs>
                      <w:tab w:val="left" w:pos="709"/>
                      <w:tab w:val="left" w:pos="851"/>
                    </w:tabs>
                    <w:jc w:val="both"/>
                    <w:rPr>
                      <w:rFonts w:eastAsia="Calibri"/>
                      <w:szCs w:val="24"/>
                    </w:rPr>
                  </w:pPr>
                  <w:r>
                    <w:rPr>
                      <w:b/>
                      <w:i/>
                      <w:sz w:val="20"/>
                    </w:rPr>
                    <w:t>TAR pastaba</w:t>
                  </w:r>
                  <w:r>
                    <w:rPr>
                      <w:i/>
                      <w:sz w:val="20"/>
                    </w:rPr>
                    <w:t xml:space="preserve">: </w:t>
                  </w:r>
                  <w:r>
                    <w:rPr>
                      <w:rFonts w:eastAsia="Calibri"/>
                      <w:i/>
                      <w:color w:val="000000"/>
                      <w:sz w:val="20"/>
                      <w:lang w:eastAsia="lt-LT"/>
                    </w:rPr>
                    <w:t>papunkčių nuostatos taikomos nuo 2024 m. sausio 1 d., skaičiuojant 2023 m. gerų pirminės ambulatorinės asmens sveikatos priežiūros (toliau – PAASP) rezultatų rodiklių reikšmes.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ca6d0dbcf11eead77e967e3995264">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2024-03-06,
paskelbta TAR 2024-03-06, i. k. 2024-04204            </w:t>
                  </w:r>
                </w:p>
                <w:p/>
              </w:sdtContent>
            </w:sdt>
            <w:sdt>
              <w:sdtPr>
                <w:alias w:val="43 p."/>
                <w:tag w:val="part_27020dec81ef40ef824a70b211308c0a"/>
                <w:lock w:val="sdtLocked"/>
                <w:richText/>
              </w:sdtPr>
              <w:sdtContent>
                <w:p>
                  <w:pPr>
                    <w:tabs>
                      <w:tab w:val="left" w:pos="709"/>
                      <w:tab w:val="left" w:pos="851"/>
                    </w:tabs>
                    <w:ind w:firstLine="709"/>
                    <w:jc w:val="both"/>
                  </w:pPr>
                  <w:sdt>
                    <w:sdtPr>
                      <w:alias w:val="Numeris"/>
                      <w:tag w:val="nr_27020dec81ef40ef824a70b211308c0a"/>
                      <w:lock w:val="sdtLocked"/>
                      <w:richText/>
                    </w:sdtPr>
                    <w:sdtContent>
                      <w:r>
                        <w:rPr>
                          <w:rFonts w:eastAsia="Calibri"/>
                          <w:szCs w:val="24"/>
                        </w:rPr>
                        <w:t>43</w:t>
                      </w:r>
                    </w:sdtContent>
                  </w:sdt>
                  <w:r>
                    <w:rPr>
                      <w:rFonts w:eastAsia="Calibri"/>
                      <w:szCs w:val="24"/>
                    </w:rPr>
                    <w:t>. PAASP įstaigai skiriama iš PSDF biudžeto suma už pasiektas gerų PAASP rezultatų rodiklių reikšmes išmokama lygiomis dalimis per 12 mėnesių.“</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a370a93711e9964cdd77475976b0">
                <w:r w:rsidRPr="00532B9F">
                  <w:rPr>
                    <w:rFonts w:ascii="Times New Roman" w:eastAsia="MS Mincho" w:hAnsi="Times New Roman"/>
                    <w:sz w:val="20"/>
                    <w:i/>
                    <w:iCs/>
                    <w:color w:val="0000FF" w:themeColor="hyperlink"/>
                    <w:u w:val="single"/>
                  </w:rPr>
                  <w:t>V-838</w:t>
                </w:r>
              </w:fldSimple>
              <w:r>
                <w:rPr>
                  <w:rFonts w:ascii="Times New Roman" w:eastAsia="MS Mincho" w:hAnsi="Times New Roman"/>
                  <w:sz w:val="20"/>
                  <w:i/>
                  <w:iCs/>
                </w:rPr>
                <w:t>,
2019-07-17,
paskelbta TAR 2019-07-18, i. k. 2019-11829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12ef05f0311eca9ac839120d251c4">
                <w:r w:rsidRPr="00532B9F">
                  <w:rPr>
                    <w:rFonts w:ascii="Times New Roman" w:eastAsia="MS Mincho" w:hAnsi="Times New Roman"/>
                    <w:sz w:val="20"/>
                    <w:i/>
                    <w:iCs/>
                    <w:color w:val="0000FF" w:themeColor="hyperlink"/>
                    <w:u w:val="single"/>
                  </w:rPr>
                  <w:t>V-2869</w:t>
                </w:r>
              </w:fldSimple>
              <w:r>
                <w:rPr>
                  <w:rFonts w:ascii="Times New Roman" w:eastAsia="MS Mincho" w:hAnsi="Times New Roman"/>
                  <w:sz w:val="20"/>
                  <w:i/>
                  <w:iCs/>
                </w:rPr>
                <w:t>,
2021-12-17,
paskelbta TAR 2021-12-17, i. k. 2021-26055            </w:t>
              </w:r>
            </w:p>
            <w:p/>
          </w:sdtContent>
        </w:sdt>
        <w:sdt>
          <w:sdtPr>
            <w:alias w:val="skyrius"/>
            <w:tag w:val="part_3e0589e33d1b455196c1f4d83102869a"/>
            <w:lock w:val="sdtLocked"/>
            <w:richText/>
          </w:sdtPr>
          <w:sdtContent>
            <w:p>
              <w:pPr>
                <w:tabs>
                  <w:tab w:val="num" w:pos="720"/>
                </w:tabs>
                <w:jc w:val="center"/>
                <w:textAlignment w:val="baseline"/>
                <w:rPr>
                  <w:rFonts w:ascii="Segoe UI" w:hAnsi="Segoe UI" w:cs="Segoe UI"/>
                  <w:b/>
                  <w:sz w:val="18"/>
                  <w:szCs w:val="18"/>
                  <w:lang w:eastAsia="lt-LT"/>
                </w:rPr>
              </w:pPr>
              <w:sdt>
                <w:sdtPr>
                  <w:alias w:val="Numeris"/>
                  <w:tag w:val="nr_3e0589e33d1b455196c1f4d83102869a"/>
                  <w:lock w:val="sdtLocked"/>
                  <w:richText/>
                </w:sdtPr>
                <w:sdtContent>
                  <w:r>
                    <w:rPr>
                      <w:b/>
                      <w:szCs w:val="24"/>
                      <w:lang w:eastAsia="lt-LT"/>
                    </w:rPr>
                    <w:t>VI</w:t>
                  </w:r>
                </w:sdtContent>
              </w:sdt>
              <w:r>
                <w:rPr>
                  <w:b/>
                  <w:szCs w:val="24"/>
                  <w:lang w:eastAsia="lt-LT"/>
                </w:rPr>
                <w:t xml:space="preserve"> SKYRIUS </w:t>
              </w:r>
            </w:p>
            <w:p>
              <w:pPr>
                <w:tabs>
                  <w:tab w:val="num" w:pos="720"/>
                </w:tabs>
                <w:jc w:val="center"/>
                <w:textAlignment w:val="baseline"/>
                <w:rPr>
                  <w:rFonts w:ascii="Segoe UI" w:hAnsi="Segoe UI" w:cs="Segoe UI"/>
                  <w:sz w:val="18"/>
                  <w:szCs w:val="18"/>
                  <w:lang w:eastAsia="lt-LT"/>
                </w:rPr>
              </w:pPr>
              <w:sdt>
                <w:sdtPr>
                  <w:alias w:val="Pavadinimas"/>
                  <w:tag w:val="title_3e0589e33d1b455196c1f4d83102869a"/>
                  <w:lock w:val="sdtLocked"/>
                  <w:richText/>
                </w:sdtPr>
                <w:sdtContent>
                  <w:r>
                    <w:rPr>
                      <w:b/>
                      <w:szCs w:val="24"/>
                      <w:lang w:eastAsia="lt-LT"/>
                    </w:rPr>
                    <w:t>SKUBIOS AMBULATORINĖS PASLAUGOS APMOKĖJIMO PSDF BIUDŽETO LĖŠOMIS SĄLYGOS </w:t>
                  </w:r>
                </w:sdtContent>
              </w:sdt>
            </w:p>
            <w:p>
              <w:pPr>
                <w:tabs>
                  <w:tab w:val="num" w:pos="720"/>
                </w:tabs>
                <w:ind w:firstLine="629"/>
                <w:jc w:val="center"/>
                <w:textAlignment w:val="baseline"/>
                <w:rPr>
                  <w:rFonts w:ascii="Segoe UI" w:hAnsi="Segoe UI" w:cs="Segoe UI"/>
                  <w:sz w:val="18"/>
                  <w:szCs w:val="18"/>
                  <w:lang w:eastAsia="lt-LT"/>
                </w:rPr>
              </w:pPr>
            </w:p>
            <w:sdt>
              <w:sdtPr>
                <w:alias w:val="44 p."/>
                <w:tag w:val="part_f45b02f37de74f258c860a0a11f2f694"/>
                <w:lock w:val="sdtLocked"/>
                <w:richText/>
              </w:sdtPr>
              <w:sdtContent>
                <w:p>
                  <w:pPr>
                    <w:tabs>
                      <w:tab w:val="num" w:pos="720"/>
                    </w:tabs>
                    <w:ind w:firstLine="567"/>
                    <w:jc w:val="both"/>
                    <w:textAlignment w:val="baseline"/>
                    <w:rPr>
                      <w:rFonts w:ascii="Segoe UI" w:hAnsi="Segoe UI" w:cs="Segoe UI"/>
                      <w:sz w:val="18"/>
                      <w:szCs w:val="18"/>
                      <w:lang w:eastAsia="lt-LT"/>
                    </w:rPr>
                  </w:pPr>
                  <w:sdt>
                    <w:sdtPr>
                      <w:alias w:val="Numeris"/>
                      <w:tag w:val="nr_f45b02f37de74f258c860a0a11f2f694"/>
                      <w:lock w:val="sdtLocked"/>
                      <w:richText/>
                    </w:sdtPr>
                    <w:sdtContent>
                      <w:r>
                        <w:rPr>
                          <w:szCs w:val="24"/>
                          <w:lang w:eastAsia="lt-LT"/>
                        </w:rPr>
                        <w:t>44</w:t>
                      </w:r>
                    </w:sdtContent>
                  </w:sdt>
                  <w:r>
                    <w:rPr>
                      <w:szCs w:val="24"/>
                      <w:lang w:eastAsia="lt-LT"/>
                    </w:rPr>
                    <w:t>. PAASPĮ mokamas skatinamasis priedas už skubias ambulatorines paslaugas, suteiktas skubiosios medicinos pagalbos kabinete, dirbančiame ne trumpiau kaip 6 val. poilsio ir švenčių dienomis ir atitinkančiame Lietuvos Respublikos sveikatos apsaugos ministro gruodžio 16 d. įsakyme Nr. V-1073 „Dėl Specialiųjų reikalavimų asmens sveikatos priežiūros įstaigos skubiosios medicinos pagalbos skyriui ir skubiosios medicinos pagalbos kabinetui aprašo patvirtinimo“ nustatytus reikalavimus, kai jos suteikiamos pacientams atvykus į skubiosios medicinos pagalbos kabinetą.  </w:t>
                  </w:r>
                </w:p>
              </w:sdtContent>
            </w:sdt>
            <w:sdt>
              <w:sdtPr>
                <w:alias w:val="45 p."/>
                <w:tag w:val="part_1d022edd13a44b20b17c03a9126ccbd1"/>
                <w:lock w:val="sdtLocked"/>
                <w:richText/>
              </w:sdtPr>
              <w:sdtContent>
                <w:p>
                  <w:pPr>
                    <w:tabs>
                      <w:tab w:val="num" w:pos="720"/>
                    </w:tabs>
                    <w:ind w:firstLine="567"/>
                    <w:jc w:val="both"/>
                    <w:textAlignment w:val="baseline"/>
                  </w:pPr>
                  <w:sdt>
                    <w:sdtPr>
                      <w:alias w:val="Numeris"/>
                      <w:tag w:val="nr_1d022edd13a44b20b17c03a9126ccbd1"/>
                      <w:lock w:val="sdtLocked"/>
                      <w:richText/>
                    </w:sdtPr>
                    <w:sdtContent>
                      <w:r>
                        <w:rPr>
                          <w:szCs w:val="24"/>
                          <w:lang w:eastAsia="lt-LT"/>
                        </w:rPr>
                        <w:t>45</w:t>
                      </w:r>
                    </w:sdtContent>
                  </w:sdt>
                  <w:r>
                    <w:rPr>
                      <w:szCs w:val="24"/>
                      <w:lang w:eastAsia="lt-LT"/>
                    </w:rPr>
                    <w:t xml:space="preserve">. Už A grupės beta hemolizinio streptokoko antigeno nustatymą, greitojo SARS-CoV-2 antigeno ir gripo testo ar greitojo SARS-CoV-2 antigeno, gripo ir respiracinio sincitinio viruso (RSV) testo, taip pat už </w:t>
                  </w:r>
                  <w:r>
                    <w:rPr>
                      <w:szCs w:val="24"/>
                    </w:rPr>
                    <w:t xml:space="preserve">greitojo rota ir adeno viruso ar greitojo rota, adeno ir noro viruso antigeno testo </w:t>
                  </w:r>
                  <w:r>
                    <w:rPr>
                      <w:szCs w:val="24"/>
                      <w:lang w:eastAsia="lt-LT"/>
                    </w:rPr>
                    <w:t xml:space="preserve">atlikimą, šlapimo, išmatų, žaizdų, ausies išskyrų pasėlių, pasėlių iš </w:t>
                  </w:r>
                  <w:r>
                    <w:rPr>
                      <w:szCs w:val="24"/>
                    </w:rPr>
                    <w:t>nosiaryklės ir gerklės</w:t>
                  </w:r>
                  <w:r>
                    <w:rPr>
                      <w:szCs w:val="24"/>
                      <w:lang w:eastAsia="lt-LT"/>
                    </w:rPr>
                    <w:t xml:space="preserve"> tyrimus,</w:t>
                  </w:r>
                  <w:r>
                    <w:rPr>
                      <w:szCs w:val="24"/>
                    </w:rPr>
                    <w:t xml:space="preserve"> </w:t>
                  </w:r>
                  <w:r>
                    <w:rPr>
                      <w:szCs w:val="24"/>
                      <w:lang w:eastAsia="lt-LT"/>
                    </w:rPr>
                    <w:t>atliktus Aprašo 35 punkte nustatytomis sąlygomis teikiant skubias ambulatorines paslaugas skubiosios medicinos pagalbos kabinete, mokamas skatinamasis priedas.</w:t>
                  </w:r>
                  <w:r>
                    <w:t xml:space="preserve"> </w:t>
                  </w:r>
                </w:p>
                <w:p>
                  <w:pPr>
                    <w:tabs>
                      <w:tab w:val="num" w:pos="720"/>
                    </w:tabs>
                    <w:jc w:val="both"/>
                    <w:textAlignment w:val="baseline"/>
                    <w:rPr>
                      <w:rFonts w:ascii="Segoe UI" w:hAnsi="Segoe UI" w:cs="Segoe UI"/>
                      <w:sz w:val="18"/>
                      <w:szCs w:val="18"/>
                      <w:lang w:eastAsia="lt-LT"/>
                    </w:rPr>
                  </w:pPr>
                  <w:r>
                    <w:rPr>
                      <w:b/>
                      <w:i/>
                      <w:sz w:val="20"/>
                    </w:rPr>
                    <w:t xml:space="preserve">TAR pastaba. </w:t>
                  </w:r>
                  <w:r>
                    <w:rPr>
                      <w:i/>
                      <w:sz w:val="20"/>
                    </w:rPr>
                    <w:t xml:space="preserve">Punkto nuostatos taikomos </w:t>
                  </w:r>
                  <w:r>
                    <w:rPr>
                      <w:i/>
                      <w:sz w:val="20"/>
                      <w:lang w:eastAsia="lt-LT"/>
                    </w:rPr>
                    <w:t>atsiskaitant už asmens sveikatos priežiūros paslaugas, suteiktas nuo</w:t>
                  </w:r>
                  <w:r>
                    <w:rPr>
                      <w:i/>
                      <w:sz w:val="20"/>
                    </w:rPr>
                    <w:t xml:space="preserve"> 2026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3321dc9f11f08918e1adc7c5b1ec">
                    <w:r w:rsidRPr="00532B9F">
                      <w:rPr>
                        <w:rFonts w:ascii="Times New Roman" w:eastAsia="MS Mincho" w:hAnsi="Times New Roman"/>
                        <w:sz w:val="20"/>
                        <w:i/>
                        <w:iCs/>
                        <w:color w:val="0000FF" w:themeColor="hyperlink"/>
                        <w:u w:val="single"/>
                      </w:rPr>
                      <w:t>V-1181</w:t>
                    </w:r>
                  </w:fldSimple>
                  <w:r>
                    <w:rPr>
                      <w:rFonts w:ascii="Times New Roman" w:eastAsia="MS Mincho" w:hAnsi="Times New Roman"/>
                      <w:sz w:val="20"/>
                      <w:i/>
                      <w:iCs/>
                    </w:rPr>
                    <w:t>,
2025-12-19,
paskelbta TAR 2025-12-19, i. k. 2025-21996            </w:t>
                  </w:r>
                </w:p>
                <w:p/>
              </w:sdtContent>
            </w:sdt>
            <w:sdt>
              <w:sdtPr>
                <w:alias w:val="46 p."/>
                <w:tag w:val="part_40b1996f21d440bbb285f403b211758e"/>
                <w:lock w:val="sdtLocked"/>
                <w:richText/>
              </w:sdtPr>
              <w:sdtContent>
                <w:p>
                  <w:pPr>
                    <w:ind w:firstLine="567"/>
                    <w:jc w:val="both"/>
                  </w:pPr>
                  <w:sdt>
                    <w:sdtPr>
                      <w:alias w:val="Numeris"/>
                      <w:tag w:val="nr_40b1996f21d440bbb285f403b211758e"/>
                      <w:lock w:val="sdtLocked"/>
                      <w:richText/>
                    </w:sdtPr>
                    <w:sdtContent>
                      <w:r>
                        <w:rPr>
                          <w:szCs w:val="24"/>
                          <w:lang w:eastAsia="lt-LT"/>
                        </w:rPr>
                        <w:t>46</w:t>
                      </w:r>
                    </w:sdtContent>
                  </w:sdt>
                  <w:r>
                    <w:rPr>
                      <w:szCs w:val="24"/>
                      <w:lang w:eastAsia="lt-LT"/>
                    </w:rPr>
                    <w:t>. Už rentgenologinio tyrimo atlikimą mokama kaip už gydytojo radiologo (kai atliekamas rentgenologinis tyrimas) konsultaciją Gydytojų specialistų teikiamų ambulatorinių asmens sveikatos priežiūros paslaugų ir stacionarinių asmens sveikatos priežiūros paslaugų organizavimo tvarkos aprašo, patvirtinto Lietuvos Respublikos sveikatos apsaugos ministro 1998 m. birželio 18 d. įsakyme Nr. 329 „Dėl Gydytojų specialistų teikiamų ambulatorinių asmens sveikatos priežiūros paslaugų ir stacionarinių asmens sveikatos priežiūros paslaugų organizavimo tvarkos aprašo patvirtinimo“, nustatyta tvarka pagal bazinę kainą, nustatytą Asmens sveikatos priežiūros paslaugų (išskyrus aktyviojo gydymo), apmokamų Privalomojo sveikatos draudimo fondo biudžeto lėšomis, ir jų bazinių kainų sąraše bei Privalomojo sveikatos draudimo fondo biudžeto lėšomis mokamų priedų asmens sveikatos priežiūros įstaigų teikiamoms asmens sveikatos priežiūros paslaugoms užtikrinti ir priedų prie metinio bazinio mokėjimo už pirminės ambulatorinės asmens sveikatos priežiūros paslaugas bei gerus darbo rezultatus sąraše, patvirtintuose Lietuvos Respublikos sveikatos apsaugos ministro 2022 m. lapkričio 3 d. įsakymu Nr. V</w:t>
                    <w:noBreakHyphen/>
                    <w:t>1630 „Dėl asmens sveikatos priežiūros paslaugų ir jų bazinių kainų sąrašo bei su šiomis paslaugomis susijusių priedų, mokamų Privalomojo sveikatos draudimo fondo biudžeto lėšomis, sąrašų patvirtinimo“.</w:t>
                  </w:r>
                  <w:r>
                    <w:t xml:space="preserve"> </w:t>
                  </w:r>
                </w:p>
                <w:p>
                  <w:pPr>
                    <w:jc w:val="both"/>
                    <w:rPr>
                      <w:rFonts w:ascii="Segoe UI" w:hAnsi="Segoe UI" w:cs="Segoe UI"/>
                      <w:sz w:val="18"/>
                      <w:szCs w:val="18"/>
                      <w:lang w:eastAsia="lt-LT"/>
                    </w:rPr>
                  </w:pPr>
                  <w:r>
                    <w:rPr>
                      <w:b/>
                      <w:i/>
                      <w:sz w:val="20"/>
                    </w:rPr>
                    <w:t xml:space="preserve">TAR pastaba. </w:t>
                  </w:r>
                  <w:r>
                    <w:rPr>
                      <w:i/>
                      <w:sz w:val="20"/>
                    </w:rPr>
                    <w:t xml:space="preserve">Punkto nuostatos taikomos </w:t>
                  </w:r>
                  <w:r>
                    <w:rPr>
                      <w:i/>
                      <w:sz w:val="20"/>
                      <w:lang w:eastAsia="lt-LT"/>
                    </w:rPr>
                    <w:t>atsiskaitant už asmens sveikatos priežiūros paslaugas, suteiktas nuo</w:t>
                  </w:r>
                  <w:r>
                    <w:rPr>
                      <w:i/>
                      <w:sz w:val="20"/>
                    </w:rPr>
                    <w:t xml:space="preserve"> 2026 m. sausio 1 d</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3321dc9f11f08918e1adc7c5b1ec">
                    <w:r w:rsidRPr="00532B9F">
                      <w:rPr>
                        <w:rFonts w:ascii="Times New Roman" w:eastAsia="MS Mincho" w:hAnsi="Times New Roman"/>
                        <w:sz w:val="20"/>
                        <w:i/>
                        <w:iCs/>
                        <w:color w:val="0000FF" w:themeColor="hyperlink"/>
                        <w:u w:val="single"/>
                      </w:rPr>
                      <w:t>V-1181</w:t>
                    </w:r>
                  </w:fldSimple>
                  <w:r>
                    <w:rPr>
                      <w:rFonts w:ascii="Times New Roman" w:eastAsia="MS Mincho" w:hAnsi="Times New Roman"/>
                      <w:sz w:val="20"/>
                      <w:i/>
                      <w:iCs/>
                    </w:rPr>
                    <w:t>,
2025-12-19,
paskelbta TAR 2025-12-19, i. k. 2025-21996            </w:t>
                  </w:r>
                </w:p>
                <w:p/>
              </w:sdtContent>
            </w:sdt>
            <w:sdt>
              <w:sdtPr>
                <w:alias w:val="47 p."/>
                <w:tag w:val="part_5aebe5e3189a452eac76fedd782edeab"/>
                <w:lock w:val="sdtLocked"/>
                <w:richText/>
              </w:sdtPr>
              <w:sdtContent>
                <w:p>
                  <w:pPr>
                    <w:tabs>
                      <w:tab w:val="num" w:pos="720"/>
                    </w:tabs>
                    <w:ind w:firstLine="567"/>
                    <w:jc w:val="both"/>
                    <w:textAlignment w:val="baseline"/>
                    <w:rPr>
                      <w:rFonts w:ascii="Segoe UI" w:hAnsi="Segoe UI" w:cs="Segoe UI"/>
                      <w:sz w:val="18"/>
                      <w:szCs w:val="18"/>
                      <w:lang w:eastAsia="lt-LT"/>
                    </w:rPr>
                  </w:pPr>
                  <w:sdt>
                    <w:sdtPr>
                      <w:alias w:val="Numeris"/>
                      <w:tag w:val="nr_5aebe5e3189a452eac76fedd782edeab"/>
                      <w:lock w:val="sdtLocked"/>
                      <w:richText/>
                    </w:sdtPr>
                    <w:sdtContent>
                      <w:r>
                        <w:rPr>
                          <w:szCs w:val="24"/>
                          <w:lang w:eastAsia="lt-LT"/>
                        </w:rPr>
                        <w:t>47</w:t>
                      </w:r>
                    </w:sdtContent>
                  </w:sdt>
                  <w:r>
                    <w:rPr>
                      <w:szCs w:val="24"/>
                      <w:lang w:eastAsia="lt-LT"/>
                    </w:rPr>
                    <w:t>. Informacija apie suteiktą skubią ambulatorinę paslaugą įrašoma elektroniniame medicinos dokumente E025 „Ambulatorinio apsilankymo aprašymas“ ir užpildoma forma Nr. 025/a-LK „Asmens ambulatorinio gydymo statistinė kortelė“, patvirtinta Lietuvos Respublikos sveikatos apsaugos ministro 1998 m. lapkričio 26 d. įsakymu Nr. 687 „Dėl medicininės apskaitos dokumentų formų tvirtinimo“, taip pat pateikiami duomenys apie apsilankymo metu pacientui skirtus laboratorinius tyrimus Formos Nr. 025/a-LK „Asmens ambulatorinio gydymo statistinė kortelė“ pildymo, pateikimo ir tikslinimo taisyklėse, patvirtintose įsakymu Nr. 687, nustatyta tvarka. </w:t>
                  </w:r>
                </w:p>
              </w:sdtContent>
            </w:sdt>
            <w:sdt>
              <w:sdtPr>
                <w:alias w:val="48 p."/>
                <w:tag w:val="part_050c1485c24945cc99b85ed48dfa161c"/>
                <w:lock w:val="sdtLocked"/>
                <w:richText/>
              </w:sdtPr>
              <w:sdtContent>
                <w:p>
                  <w:pPr>
                    <w:tabs>
                      <w:tab w:val="num" w:pos="720"/>
                    </w:tabs>
                    <w:ind w:firstLine="567"/>
                    <w:jc w:val="both"/>
                    <w:textAlignment w:val="baseline"/>
                  </w:pPr>
                  <w:sdt>
                    <w:sdtPr>
                      <w:alias w:val="Numeris"/>
                      <w:tag w:val="nr_050c1485c24945cc99b85ed48dfa161c"/>
                      <w:lock w:val="sdtLocked"/>
                      <w:richText/>
                    </w:sdtPr>
                    <w:sdtContent>
                      <w:r>
                        <w:rPr>
                          <w:szCs w:val="24"/>
                          <w:lang w:eastAsia="lt-LT"/>
                        </w:rPr>
                        <w:t>48</w:t>
                      </w:r>
                    </w:sdtContent>
                  </w:sdt>
                  <w:r>
                    <w:rPr>
                      <w:szCs w:val="24"/>
                      <w:lang w:eastAsia="lt-LT"/>
                    </w:rPr>
                    <w:t>. Apie skubiosios medicinos pagalbos kabineto steigimą informuojama TLK, kurios teritorijoje įsteigtas kabinetas.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4e5046a72a11ef90b5ee8931e5ce5e">
                <w:r w:rsidRPr="00532B9F">
                  <w:rPr>
                    <w:rFonts w:ascii="Times New Roman" w:eastAsia="MS Mincho" w:hAnsi="Times New Roman"/>
                    <w:sz w:val="20"/>
                    <w:i/>
                    <w:iCs/>
                    <w:color w:val="0000FF" w:themeColor="hyperlink"/>
                    <w:u w:val="single"/>
                  </w:rPr>
                  <w:t>V-1133</w:t>
                </w:r>
              </w:fldSimple>
              <w:r>
                <w:rPr>
                  <w:rFonts w:ascii="Times New Roman" w:eastAsia="MS Mincho" w:hAnsi="Times New Roman"/>
                  <w:sz w:val="20"/>
                  <w:i/>
                  <w:iCs/>
                </w:rPr>
                <w:t>,
2024-11-20,
paskelbta TAR 2024-11-20, i. k. 2024-20192        </w:t>
              </w:r>
            </w:p>
            <w:p/>
          </w:sdtContent>
        </w:sdt>
        <w:sdt>
          <w:sdtPr>
            <w:alias w:val="pabaiga"/>
            <w:tag w:val="part_5062e9e88fb74425a5ac522a48a80de5"/>
            <w:lock w:val="sdtLocked"/>
            <w:richText/>
          </w:sdtPr>
          <w:sdtContent>
            <w:p>
              <w:pPr>
                <w:jc w:val="center"/>
              </w:pPr>
              <w:r>
                <w:rPr>
                  <w:strike/>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90d2700a8211e8a5fc9d9b3a58917b">
            <w:r w:rsidRPr="00532B9F">
              <w:rPr>
                <w:rFonts w:ascii="Times New Roman" w:eastAsia="MS Mincho" w:hAnsi="Times New Roman"/>
                <w:sz w:val="20"/>
                <w:i/>
                <w:iCs/>
                <w:color w:val="0000FF" w:themeColor="hyperlink"/>
                <w:u w:val="single"/>
              </w:rPr>
              <w:t>V-124</w:t>
            </w:r>
          </w:fldSimple>
          <w:r>
            <w:rPr>
              <w:rFonts w:ascii="Times New Roman" w:eastAsia="MS Mincho" w:hAnsi="Times New Roman"/>
              <w:sz w:val="20"/>
              <w:i/>
              <w:iCs/>
            </w:rPr>
            <w:t>,
2018-02-02,
paskelbta TAR 2018-02-06, i. k. 2018-01808            </w:t>
          </w:r>
        </w:p>
        <w:p/>
      </w:sdtContent>
    </w:sdt>
    <w:sdt>
      <w:sdtPr>
        <w:alias w:val="pr."/>
        <w:tag w:val="part_2a0f4315d26d4437965bf007a16206e2"/>
        <w:lock w:val="sdtLocked"/>
        <w:richText/>
      </w:sdtPr>
      <w:sdtContent>
        <w:p>
          <w:pPr>
            <w:ind w:firstLine="5103"/>
            <w:sectPr>
              <w:headerReference w:type="default" r:id="rId22"/>
              <w:pgSz w:w="11906" w:h="16838" w:code="9"/>
              <w:pgMar w:top="1418" w:right="709" w:bottom="1418" w:left="1418" w:header="709" w:footer="709" w:gutter="0"/>
              <w:pgNumType w:start="1"/>
              <w:cols w:space="708"/>
              <w:titlePg/>
              <w:docGrid w:linePitch="360"/>
            </w:sectPr>
          </w:pPr>
        </w:p>
        <w:p>
          <w:pPr>
            <w:ind w:firstLine="5103"/>
            <w:rPr>
              <w:color w:val="242424"/>
              <w:szCs w:val="24"/>
              <w:lang w:eastAsia="lt-LT"/>
            </w:rPr>
          </w:pPr>
          <w:r>
            <w:rPr>
              <w:color w:val="242424"/>
              <w:szCs w:val="24"/>
              <w:lang w:eastAsia="lt-LT"/>
            </w:rPr>
            <w:t>Pirminės ambulatorinės asmens sveikatos</w:t>
          </w:r>
        </w:p>
        <w:p>
          <w:pPr>
            <w:ind w:firstLine="5103"/>
            <w:rPr>
              <w:color w:val="242424"/>
              <w:szCs w:val="24"/>
              <w:lang w:eastAsia="lt-LT"/>
            </w:rPr>
          </w:pPr>
          <w:r>
            <w:rPr>
              <w:color w:val="242424"/>
              <w:szCs w:val="24"/>
              <w:lang w:eastAsia="lt-LT"/>
            </w:rPr>
            <w:t>priežiūros paslaugų teikimo organizavimo ir</w:t>
          </w:r>
        </w:p>
        <w:p>
          <w:pPr>
            <w:ind w:firstLine="5103"/>
            <w:rPr>
              <w:color w:val="242424"/>
              <w:szCs w:val="24"/>
              <w:lang w:eastAsia="lt-LT"/>
            </w:rPr>
          </w:pPr>
          <w:r>
            <w:rPr>
              <w:color w:val="242424"/>
              <w:szCs w:val="24"/>
              <w:lang w:eastAsia="lt-LT"/>
            </w:rPr>
            <w:t xml:space="preserve">šių paslaugų išlaidų apmokėjimo tvarkos </w:t>
          </w:r>
        </w:p>
        <w:p>
          <w:pPr>
            <w:ind w:firstLine="5103"/>
            <w:rPr>
              <w:color w:val="242424"/>
              <w:szCs w:val="24"/>
              <w:lang w:eastAsia="lt-LT"/>
            </w:rPr>
          </w:pPr>
          <w:r>
            <w:rPr>
              <w:color w:val="242424"/>
              <w:szCs w:val="24"/>
              <w:lang w:eastAsia="lt-LT"/>
            </w:rPr>
            <w:t xml:space="preserve">aprašo </w:t>
          </w:r>
        </w:p>
        <w:p>
          <w:pPr>
            <w:ind w:firstLine="5103"/>
            <w:rPr>
              <w:rFonts w:ascii="Segoe UI" w:hAnsi="Segoe UI" w:cs="Segoe UI"/>
              <w:color w:val="242424"/>
              <w:szCs w:val="24"/>
              <w:lang w:eastAsia="lt-LT"/>
            </w:rPr>
          </w:pPr>
          <w:r>
            <w:rPr>
              <w:color w:val="242424"/>
              <w:szCs w:val="24"/>
              <w:lang w:eastAsia="lt-LT"/>
            </w:rPr>
            <w:t xml:space="preserve">1 priedas </w:t>
          </w:r>
        </w:p>
        <w:p>
          <w:pPr>
            <w:rPr>
              <w:i/>
              <w:sz w:val="20"/>
            </w:rPr>
          </w:pPr>
          <w:r>
            <w:rPr>
              <w:i/>
              <w:sz w:val="20"/>
            </w:rPr>
            <w:t>Priedo žymos pakeitimai:</w:t>
          </w:r>
        </w:p>
        <w:p>
          <w:pPr>
            <w:rPr>
              <w:rFonts w:eastAsia="MS Mincho"/>
              <w:i/>
              <w:iCs/>
              <w:sz w:val="20"/>
            </w:rPr>
          </w:pPr>
          <w:r>
            <w:rPr>
              <w:rFonts w:eastAsia="MS Mincho"/>
              <w:i/>
              <w:iCs/>
              <w:sz w:val="20"/>
            </w:rPr>
            <w:t xml:space="preserve">Nr. </w:t>
          </w:r>
          <w:hyperlink r:id="rId23" w:history="1">
            <w:r>
              <w:rPr>
                <w:rStyle w:val="Hipersaitas"/>
                <w:rFonts w:eastAsia="MS Mincho"/>
                <w:i/>
                <w:iCs/>
                <w:sz w:val="20"/>
              </w:rPr>
              <w:t>V-293</w:t>
            </w:r>
          </w:hyperlink>
          <w:r>
            <w:rPr>
              <w:rFonts w:eastAsia="MS Mincho"/>
              <w:i/>
              <w:iCs/>
              <w:sz w:val="20"/>
            </w:rPr>
            <w:t>, 2023-03-03, paskelbta TAR 2023-03-03, i. k. 2023-03953</w:t>
          </w:r>
        </w:p>
        <w:p>
          <w:pPr>
            <w:rPr>
              <w:rFonts w:eastAsia="MS Mincho"/>
              <w:i/>
              <w:iCs/>
              <w:sz w:val="20"/>
            </w:rPr>
          </w:pPr>
        </w:p>
        <w:p>
          <w:pPr>
            <w:rPr>
              <w:sz w:val="20"/>
            </w:rPr>
          </w:pPr>
        </w:p>
        <w:p>
          <w:pPr>
            <w:jc w:val="center"/>
            <w:rPr>
              <w:b/>
              <w:bCs/>
              <w:szCs w:val="24"/>
              <w:lang w:eastAsia="lt-LT"/>
            </w:rPr>
          </w:pPr>
          <w:sdt>
            <w:sdtPr>
              <w:alias w:val="Pavadinimas"/>
              <w:tag w:val="title_2a0f4315d26d4437965bf007a16206e2"/>
              <w:lock w:val="sdtLocked"/>
              <w:richText/>
            </w:sdtPr>
            <w:sdtContent>
              <w:r>
                <w:rPr>
                  <w:b/>
                  <w:bCs/>
                  <w:szCs w:val="24"/>
                  <w:lang w:eastAsia="lt-LT"/>
                </w:rPr>
                <w:t>GERŲ PIRMINĖS AMBULATORINĖS ASMENS SVEIKATOS PRIEŽIŪROS REZULTATŲ RODIKLIŲ REIKŠMIŲ APSKAIČIAVIMO METODIKA</w:t>
              </w:r>
            </w:sdtContent>
          </w:sdt>
        </w:p>
        <w:p>
          <w:pPr>
            <w:rPr>
              <w:sz w:val="20"/>
            </w:rPr>
          </w:pPr>
        </w:p>
        <w:sdt>
          <w:sdtPr>
            <w:alias w:val="skyrius"/>
            <w:tag w:val="part_272e8bbf21ea42138c53a2ba97325c53"/>
            <w:lock w:val="sdtLocked"/>
            <w:richText/>
          </w:sdtPr>
          <w:sdtContent>
            <w:p>
              <w:pPr>
                <w:jc w:val="center"/>
                <w:rPr>
                  <w:szCs w:val="24"/>
                  <w:lang w:eastAsia="lt-LT"/>
                </w:rPr>
              </w:pPr>
              <w:sdt>
                <w:sdtPr>
                  <w:alias w:val="Numeris"/>
                  <w:tag w:val="nr_272e8bbf21ea42138c53a2ba97325c53"/>
                  <w:lock w:val="sdtLocked"/>
                  <w:richText/>
                </w:sdtPr>
                <w:sdtContent>
                  <w:r>
                    <w:rPr>
                      <w:b/>
                      <w:bCs/>
                      <w:szCs w:val="24"/>
                      <w:lang w:eastAsia="lt-LT"/>
                    </w:rPr>
                    <w:t>I</w:t>
                  </w:r>
                </w:sdtContent>
              </w:sdt>
              <w:r>
                <w:rPr>
                  <w:b/>
                  <w:bCs/>
                  <w:szCs w:val="24"/>
                  <w:lang w:eastAsia="lt-LT"/>
                </w:rPr>
                <w:t xml:space="preserve"> SKYRIUS</w:t>
              </w:r>
            </w:p>
            <w:p>
              <w:pPr>
                <w:tabs>
                  <w:tab w:val="left" w:pos="851"/>
                  <w:tab w:val="left" w:pos="1134"/>
                </w:tabs>
                <w:jc w:val="center"/>
                <w:rPr>
                  <w:szCs w:val="24"/>
                  <w:lang w:eastAsia="lt-LT"/>
                </w:rPr>
              </w:pPr>
              <w:sdt>
                <w:sdtPr>
                  <w:alias w:val="Pavadinimas"/>
                  <w:tag w:val="title_272e8bbf21ea42138c53a2ba97325c53"/>
                  <w:lock w:val="sdtLocked"/>
                  <w:richText/>
                </w:sdtPr>
                <w:sdtContent>
                  <w:r>
                    <w:rPr>
                      <w:b/>
                      <w:bCs/>
                      <w:szCs w:val="24"/>
                      <w:lang w:eastAsia="lt-LT"/>
                    </w:rPr>
                    <w:t>BENDROSIOS NUOSTATOS</w:t>
                  </w:r>
                </w:sdtContent>
              </w:sdt>
            </w:p>
            <w:p>
              <w:pPr>
                <w:rPr>
                  <w:sz w:val="8"/>
                  <w:szCs w:val="8"/>
                </w:rPr>
              </w:pPr>
            </w:p>
            <w:sdt>
              <w:sdtPr>
                <w:alias w:val="pr. 1 p."/>
                <w:tag w:val="part_e1148fa86cd04a56baff80bb689aead4"/>
                <w:lock w:val="sdtLocked"/>
                <w:richText/>
              </w:sdtPr>
              <w:sdtContent>
                <w:p>
                  <w:pPr>
                    <w:tabs>
                      <w:tab w:val="left" w:pos="1134"/>
                      <w:tab w:val="left" w:pos="1276"/>
                    </w:tabs>
                    <w:ind w:firstLine="851"/>
                    <w:jc w:val="both"/>
                    <w:rPr>
                      <w:rFonts w:eastAsia="Calibri"/>
                      <w:szCs w:val="24"/>
                    </w:rPr>
                  </w:pPr>
                  <w:sdt>
                    <w:sdtPr>
                      <w:alias w:val="Numeris"/>
                      <w:tag w:val="nr_e1148fa86cd04a56baff80bb689aead4"/>
                      <w:lock w:val="sdtLocked"/>
                      <w:richText/>
                    </w:sdtPr>
                    <w:sdtContent>
                      <w:r>
                        <w:rPr>
                          <w:szCs w:val="24"/>
                          <w:lang w:eastAsia="lt-LT"/>
                        </w:rPr>
                        <w:t>1</w:t>
                      </w:r>
                    </w:sdtContent>
                  </w:sdt>
                  <w:r>
                    <w:rPr>
                      <w:szCs w:val="24"/>
                      <w:lang w:eastAsia="lt-LT"/>
                    </w:rPr>
                    <w:t xml:space="preserve">. </w:t>
                  </w:r>
                  <w:r>
                    <w:rPr>
                      <w:rFonts w:eastAsia="Calibri"/>
                      <w:szCs w:val="24"/>
                    </w:rPr>
                    <w:t xml:space="preserve">Gerų pirminės ambulatorinės asmens sveikatos priežiūros rezultatų rodiklių reikšmių apskaičiavimo metodika (toliau – Metodika) nustato gerų pirminės </w:t>
                  </w:r>
                  <w:r>
                    <w:rPr>
                      <w:rFonts w:eastAsia="Calibri"/>
                      <w:color w:val="000000"/>
                      <w:szCs w:val="24"/>
                    </w:rPr>
                    <w:t xml:space="preserve">ambulatorinės asmens sveikatos priežiūros (toliau – PAASP) rezultatų rodiklių (toliau – PAASP rodikliai), taikomų PAASP įstaigai, </w:t>
                  </w:r>
                  <w:r>
                    <w:rPr>
                      <w:rFonts w:eastAsia="Calibri"/>
                      <w:szCs w:val="24"/>
                    </w:rPr>
                    <w:t>teikiančiai šeimos gydytojo komandos paslaugas</w:t>
                  </w:r>
                  <w:r>
                    <w:rPr>
                      <w:color w:val="000000"/>
                      <w:szCs w:val="24"/>
                    </w:rPr>
                    <w:t xml:space="preserve">, </w:t>
                  </w:r>
                  <w:r>
                    <w:rPr>
                      <w:rFonts w:eastAsia="Calibri"/>
                      <w:szCs w:val="24"/>
                    </w:rPr>
                    <w:t xml:space="preserve">pirminės ambulatorinės odontologinės asmens sveikatos priežiūros paslaugas teikiančiai įstaigai ir </w:t>
                  </w:r>
                  <w:r>
                    <w:rPr>
                      <w:color w:val="000000"/>
                      <w:szCs w:val="24"/>
                      <w:lang w:eastAsia="lt-LT"/>
                    </w:rPr>
                    <w:t xml:space="preserve">psichikos sveikatos centrui  (toliau kartu – įstaigos), reikšmių </w:t>
                  </w:r>
                  <w:r>
                    <w:rPr>
                      <w:rFonts w:eastAsia="Calibri"/>
                      <w:szCs w:val="24"/>
                    </w:rPr>
                    <w:t>apskaičiavimo tvarką.</w:t>
                  </w:r>
                </w:p>
              </w:sdtContent>
            </w:sdt>
            <w:sdt>
              <w:sdtPr>
                <w:alias w:val="pr. 2 p."/>
                <w:tag w:val="part_2d70790d2a904d66a478886a9f3f7385"/>
                <w:lock w:val="sdtLocked"/>
                <w:richText/>
              </w:sdtPr>
              <w:sdtContent>
                <w:p>
                  <w:pPr>
                    <w:spacing w:line="259" w:lineRule="auto"/>
                    <w:ind w:firstLine="851"/>
                    <w:jc w:val="both"/>
                    <w:rPr>
                      <w:rFonts w:eastAsia="Calibri"/>
                      <w:szCs w:val="24"/>
                    </w:rPr>
                  </w:pPr>
                  <w:sdt>
                    <w:sdtPr>
                      <w:alias w:val="Numeris"/>
                      <w:tag w:val="nr_2d70790d2a904d66a478886a9f3f7385"/>
                      <w:lock w:val="sdtLocked"/>
                      <w:richText/>
                    </w:sdtPr>
                    <w:sdtContent>
                      <w:r>
                        <w:t>2</w:t>
                      </w:r>
                    </w:sdtContent>
                  </w:sdt>
                  <w:r>
                    <w:t xml:space="preserve">. Metodika privalo vadovautis Valstybinė ligonių kasa prie Sveikatos apsaugos ministerijos ir PAASP įstaigos.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2967635fc11f08fdabd4950271e2c">
                    <w:r w:rsidRPr="00532B9F">
                      <w:rPr>
                        <w:rFonts w:ascii="Times New Roman" w:eastAsia="MS Mincho" w:hAnsi="Times New Roman"/>
                        <w:sz w:val="20"/>
                        <w:i/>
                        <w:iCs/>
                        <w:color w:val="0000FF" w:themeColor="hyperlink"/>
                        <w:u w:val="single"/>
                      </w:rPr>
                      <w:t>V-487</w:t>
                    </w:r>
                  </w:fldSimple>
                  <w:r>
                    <w:rPr>
                      <w:rFonts w:ascii="Times New Roman" w:eastAsia="MS Mincho" w:hAnsi="Times New Roman"/>
                      <w:sz w:val="20"/>
                      <w:i/>
                      <w:iCs/>
                    </w:rPr>
                    <w:t>,
2025-05-21,
paskelbta TAR 2025-05-21, i. k. 2025-08959            </w:t>
                  </w:r>
                </w:p>
                <w:p/>
              </w:sdtContent>
            </w:sdt>
            <w:sdt>
              <w:sdtPr>
                <w:alias w:val="pr. 3 p."/>
                <w:tag w:val="part_93fd3203f1fb4002b68dd73f5b46e5d7"/>
                <w:lock w:val="sdtLocked"/>
                <w:richText/>
              </w:sdtPr>
              <w:sdtContent>
                <w:p>
                  <w:pPr>
                    <w:ind w:firstLine="851"/>
                    <w:jc w:val="both"/>
                    <w:rPr>
                      <w:rFonts w:eastAsia="Calibri"/>
                      <w:szCs w:val="24"/>
                    </w:rPr>
                  </w:pPr>
                  <w:sdt>
                    <w:sdtPr>
                      <w:alias w:val="Numeris"/>
                      <w:tag w:val="nr_93fd3203f1fb4002b68dd73f5b46e5d7"/>
                      <w:lock w:val="sdtLocked"/>
                      <w:richText/>
                    </w:sdtPr>
                    <w:sdtContent>
                      <w:r>
                        <w:rPr>
                          <w:rFonts w:eastAsia="Calibri"/>
                          <w:szCs w:val="24"/>
                        </w:rPr>
                        <w:t>3</w:t>
                      </w:r>
                    </w:sdtContent>
                  </w:sdt>
                  <w:r>
                    <w:rPr>
                      <w:rFonts w:eastAsia="Calibri"/>
                      <w:szCs w:val="24"/>
                    </w:rPr>
                    <w:t>. Sąvokos:</w:t>
                  </w:r>
                </w:p>
                <w:sdt>
                  <w:sdtPr>
                    <w:alias w:val="pr. 3.1 pp."/>
                    <w:tag w:val="part_f72eed5ce2f04414acca03ba508e9fca"/>
                    <w:lock w:val="sdtLocked"/>
                    <w:richText/>
                  </w:sdtPr>
                  <w:sdtContent>
                    <w:p>
                      <w:pPr>
                        <w:ind w:firstLine="851"/>
                        <w:jc w:val="both"/>
                        <w:rPr>
                          <w:rFonts w:eastAsia="Calibri"/>
                          <w:szCs w:val="24"/>
                        </w:rPr>
                      </w:pPr>
                      <w:sdt>
                        <w:sdtPr>
                          <w:alias w:val="Numeris"/>
                          <w:tag w:val="nr_f72eed5ce2f04414acca03ba508e9fca"/>
                          <w:lock w:val="sdtLocked"/>
                          <w:richText/>
                        </w:sdtPr>
                        <w:sdtContent>
                          <w:r>
                            <w:rPr>
                              <w:rFonts w:eastAsia="Calibri"/>
                              <w:szCs w:val="24"/>
                            </w:rPr>
                            <w:t>3.1</w:t>
                          </w:r>
                        </w:sdtContent>
                      </w:sdt>
                      <w:r>
                        <w:rPr>
                          <w:rFonts w:eastAsia="Calibri"/>
                          <w:szCs w:val="24"/>
                        </w:rPr>
                        <w:t xml:space="preserve">. </w:t>
                      </w:r>
                      <w:r>
                        <w:rPr>
                          <w:rFonts w:eastAsia="Calibri"/>
                          <w:b/>
                          <w:bCs/>
                          <w:szCs w:val="24"/>
                        </w:rPr>
                        <w:t>tikslinė</w:t>
                      </w:r>
                      <w:r>
                        <w:rPr>
                          <w:rFonts w:eastAsia="Calibri"/>
                          <w:b/>
                          <w:szCs w:val="24"/>
                        </w:rPr>
                        <w:t xml:space="preserve"> grupė</w:t>
                      </w:r>
                      <w:r>
                        <w:rPr>
                          <w:rFonts w:eastAsia="Calibri"/>
                          <w:szCs w:val="24"/>
                        </w:rPr>
                        <w:t xml:space="preserve"> – asmenų, kurie yra tam tikro amžiaus ir (ar) serga tam tikromis ligomis, ir (ar) kuriems nustatyta tam tikra diagnozė, ir (ar) paskirti atitinkami vaistai, grupė;</w:t>
                      </w:r>
                    </w:p>
                  </w:sdtContent>
                </w:sdt>
                <w:sdt>
                  <w:sdtPr>
                    <w:alias w:val="pr. 3.2 pp."/>
                    <w:tag w:val="part_9e4766e2d59e4007931b63920343e9a0"/>
                    <w:lock w:val="sdtLocked"/>
                    <w:richText/>
                  </w:sdtPr>
                  <w:sdtContent>
                    <w:p>
                      <w:pPr>
                        <w:spacing w:line="259" w:lineRule="auto"/>
                        <w:ind w:firstLine="868"/>
                        <w:jc w:val="both"/>
                        <w:rPr>
                          <w:rFonts w:ascii="Arial" w:eastAsia="Calibri" w:hAnsi="Arial" w:cs="Arial"/>
                          <w:color w:val="000000"/>
                          <w:sz w:val="20"/>
                        </w:rPr>
                      </w:pPr>
                      <w:sdt>
                        <w:sdtPr>
                          <w:alias w:val="Numeris"/>
                          <w:tag w:val="nr_9e4766e2d59e4007931b63920343e9a0"/>
                          <w:lock w:val="sdtLocked"/>
                          <w:richText/>
                        </w:sdtPr>
                        <w:sdtContent>
                          <w:r>
                            <w:rPr>
                              <w:rFonts w:eastAsia="Calibri"/>
                              <w:szCs w:val="24"/>
                            </w:rPr>
                            <w:t>3.2</w:t>
                          </w:r>
                        </w:sdtContent>
                      </w:sdt>
                      <w:r>
                        <w:rPr>
                          <w:rFonts w:eastAsia="Calibri"/>
                          <w:szCs w:val="24"/>
                        </w:rPr>
                        <w:t>.</w:t>
                      </w:r>
                      <w:r>
                        <w:rPr>
                          <w:spacing w:val="-2"/>
                          <w:szCs w:val="24"/>
                          <w:lang w:eastAsia="lt-LT"/>
                        </w:rPr>
                        <w:t xml:space="preserve"> kitos Apraše vartojamos sąvokos suprantamos taip, kaip jos apibrėžtos Lietuvos Respublikos sveikatos draudimo įstatyme ir Lietuvos Respublikos sveikatos apsaugos ministro įsakymuose r</w:t>
                      </w:r>
                      <w:r>
                        <w:rPr>
                          <w:szCs w:val="24"/>
                        </w:rPr>
                        <w:t xml:space="preserve">eglamentuojančiuose asmens sveikatos priežiūros paslaugų teikimą ir apmokėjimą PSDF biudžeto lėšomis. </w:t>
                      </w:r>
                    </w:p>
                    <w:p>
                      <w:pPr>
                        <w:rPr>
                          <w:sz w:val="14"/>
                          <w:szCs w:val="14"/>
                        </w:rPr>
                      </w:pPr>
                    </w:p>
                  </w:sdtContent>
                </w:sdt>
              </w:sdtContent>
            </w:sdt>
          </w:sdtContent>
        </w:sdt>
        <w:sdt>
          <w:sdtPr>
            <w:alias w:val="skyrius"/>
            <w:tag w:val="part_1e0f9931856940b386b53cd58acf46b2"/>
            <w:lock w:val="sdtLocked"/>
            <w:richText/>
          </w:sdtPr>
          <w:sdtContent>
            <w:p>
              <w:pPr>
                <w:jc w:val="center"/>
                <w:rPr>
                  <w:szCs w:val="24"/>
                  <w:lang w:val="en-US" w:eastAsia="lt-LT"/>
                </w:rPr>
              </w:pPr>
              <w:sdt>
                <w:sdtPr>
                  <w:alias w:val="Numeris"/>
                  <w:tag w:val="nr_1e0f9931856940b386b53cd58acf46b2"/>
                  <w:lock w:val="sdtLocked"/>
                  <w:richText/>
                </w:sdtPr>
                <w:sdtContent>
                  <w:r>
                    <w:rPr>
                      <w:b/>
                      <w:bCs/>
                      <w:szCs w:val="24"/>
                      <w:lang w:eastAsia="lt-LT"/>
                    </w:rPr>
                    <w:t>II</w:t>
                  </w:r>
                </w:sdtContent>
              </w:sdt>
              <w:r>
                <w:rPr>
                  <w:b/>
                  <w:bCs/>
                  <w:szCs w:val="24"/>
                  <w:lang w:eastAsia="lt-LT"/>
                </w:rPr>
                <w:t xml:space="preserve"> SKYRIUS</w:t>
              </w:r>
            </w:p>
            <w:p>
              <w:pPr>
                <w:tabs>
                  <w:tab w:val="left" w:pos="851"/>
                  <w:tab w:val="left" w:pos="1134"/>
                </w:tabs>
                <w:jc w:val="center"/>
                <w:rPr>
                  <w:szCs w:val="24"/>
                  <w:lang w:eastAsia="lt-LT"/>
                </w:rPr>
              </w:pPr>
              <w:sdt>
                <w:sdtPr>
                  <w:alias w:val="Pavadinimas"/>
                  <w:tag w:val="title_1e0f9931856940b386b53cd58acf46b2"/>
                  <w:lock w:val="sdtLocked"/>
                  <w:richText/>
                </w:sdtPr>
                <w:sdtContent>
                  <w:r>
                    <w:rPr>
                      <w:rFonts w:eastAsia="Calibri"/>
                      <w:b/>
                      <w:bCs/>
                      <w:szCs w:val="24"/>
                    </w:rPr>
                    <w:t>PAASP RODIKLIŲ REIKŠMIŲ</w:t>
                  </w:r>
                  <w:r>
                    <w:rPr>
                      <w:rFonts w:eastAsia="Calibri"/>
                      <w:szCs w:val="24"/>
                    </w:rPr>
                    <w:t xml:space="preserve"> </w:t>
                  </w:r>
                  <w:r>
                    <w:rPr>
                      <w:b/>
                      <w:bCs/>
                      <w:szCs w:val="24"/>
                      <w:lang w:eastAsia="lt-LT"/>
                    </w:rPr>
                    <w:t>SKAIČIAVIMO PRINCIPAI</w:t>
                  </w:r>
                </w:sdtContent>
              </w:sdt>
            </w:p>
            <w:p>
              <w:pPr>
                <w:rPr>
                  <w:sz w:val="8"/>
                  <w:szCs w:val="8"/>
                </w:rPr>
              </w:pPr>
            </w:p>
            <w:sdt>
              <w:sdtPr>
                <w:alias w:val="pr. 4 p."/>
                <w:tag w:val="part_c690bdca974447139f062737a695f3f4"/>
                <w:lock w:val="sdtLocked"/>
                <w:richText/>
              </w:sdtPr>
              <w:sdtContent>
                <w:p>
                  <w:pPr>
                    <w:tabs>
                      <w:tab w:val="left" w:pos="709"/>
                      <w:tab w:val="left" w:pos="1134"/>
                    </w:tabs>
                    <w:ind w:firstLine="851"/>
                    <w:jc w:val="both"/>
                    <w:rPr>
                      <w:color w:val="000000"/>
                      <w:szCs w:val="24"/>
                      <w:lang w:eastAsia="lt-LT"/>
                    </w:rPr>
                  </w:pPr>
                  <w:sdt>
                    <w:sdtPr>
                      <w:alias w:val="Numeris"/>
                      <w:tag w:val="nr_c690bdca974447139f062737a695f3f4"/>
                      <w:lock w:val="sdtLocked"/>
                      <w:richText/>
                    </w:sdtPr>
                    <w:sdtContent>
                      <w:r>
                        <w:rPr>
                          <w:color w:val="000000"/>
                          <w:szCs w:val="24"/>
                          <w:lang w:eastAsia="lt-LT"/>
                        </w:rPr>
                        <w:t>4</w:t>
                      </w:r>
                    </w:sdtContent>
                  </w:sdt>
                  <w:r>
                    <w:rPr>
                      <w:color w:val="000000"/>
                      <w:szCs w:val="24"/>
                      <w:lang w:eastAsia="lt-LT"/>
                    </w:rPr>
                    <w:t>. Kiekvienos PAASP įstaigos PAASP rodiklių reikšmės apskaičiuojamos vieną kartą per metus (pasibaigus kalendoriniams metams).</w:t>
                  </w:r>
                </w:p>
              </w:sdtContent>
            </w:sdt>
            <w:sdt>
              <w:sdtPr>
                <w:alias w:val="pr. 5 p."/>
                <w:tag w:val="part_0819c8c733124406a0233d5ec23393f6"/>
                <w:lock w:val="sdtLocked"/>
                <w:richText/>
              </w:sdtPr>
              <w:sdtContent>
                <w:p>
                  <w:pPr>
                    <w:tabs>
                      <w:tab w:val="left" w:pos="709"/>
                    </w:tabs>
                    <w:ind w:firstLine="851"/>
                    <w:jc w:val="both"/>
                    <w:rPr>
                      <w:color w:val="000000"/>
                      <w:szCs w:val="24"/>
                      <w:lang w:eastAsia="lt-LT"/>
                    </w:rPr>
                  </w:pPr>
                  <w:sdt>
                    <w:sdtPr>
                      <w:alias w:val="Numeris"/>
                      <w:tag w:val="nr_0819c8c733124406a0233d5ec23393f6"/>
                      <w:lock w:val="sdtLocked"/>
                      <w:richText/>
                    </w:sdtPr>
                    <w:sdtContent>
                      <w:r>
                        <w:rPr>
                          <w:color w:val="000000"/>
                          <w:szCs w:val="24"/>
                          <w:lang w:eastAsia="lt-LT"/>
                        </w:rPr>
                        <w:t>5</w:t>
                      </w:r>
                    </w:sdtContent>
                  </w:sdt>
                  <w:r>
                    <w:rPr>
                      <w:color w:val="000000"/>
                      <w:szCs w:val="24"/>
                      <w:lang w:eastAsia="lt-LT"/>
                    </w:rPr>
                    <w:t>. Skaičiuojant kiekvieno PAASP rodiklio reikšmę (kiekvienas PAASP rodiklis vertinamas atskirai), neįtraukiami duomenys tų PAASP įstaigų, prie kurių prisirašiusių asmenų, priskiriamų tikslinei grupei, skaičius yra mažesnis nei minimalus tikslinės grupės asmenų skaičius.</w:t>
                  </w:r>
                  <w:r>
                    <w:rPr>
                      <w:rFonts w:eastAsia="Calibri"/>
                      <w:color w:val="000000"/>
                      <w:sz w:val="22"/>
                      <w:szCs w:val="22"/>
                    </w:rPr>
                    <w:t xml:space="preserve"> </w:t>
                  </w:r>
                </w:p>
              </w:sdtContent>
            </w:sdt>
            <w:sdt>
              <w:sdtPr>
                <w:alias w:val="pr. 6 p."/>
                <w:tag w:val="part_6281c9e976114f5fa2e1f973bc3cdcc4"/>
                <w:lock w:val="sdtLocked"/>
                <w:richText/>
              </w:sdtPr>
              <w:sdtContent>
                <w:p>
                  <w:pPr>
                    <w:ind w:firstLine="851"/>
                    <w:jc w:val="both"/>
                    <w:rPr>
                      <w:rFonts w:eastAsia="Calibri"/>
                      <w:color w:val="000000"/>
                      <w:szCs w:val="24"/>
                    </w:rPr>
                  </w:pPr>
                  <w:sdt>
                    <w:sdtPr>
                      <w:alias w:val="Numeris"/>
                      <w:tag w:val="nr_6281c9e976114f5fa2e1f973bc3cdcc4"/>
                      <w:lock w:val="sdtLocked"/>
                      <w:richText/>
                    </w:sdtPr>
                    <w:sdtContent>
                      <w:r>
                        <w:rPr>
                          <w:rFonts w:eastAsia="Calibri"/>
                          <w:color w:val="000000"/>
                          <w:szCs w:val="24"/>
                        </w:rPr>
                        <w:t>6</w:t>
                      </w:r>
                    </w:sdtContent>
                  </w:sdt>
                  <w:r>
                    <w:rPr>
                      <w:rFonts w:eastAsia="Calibri"/>
                      <w:color w:val="000000"/>
                      <w:szCs w:val="24"/>
                    </w:rPr>
                    <w:t xml:space="preserve">. Minimalus </w:t>
                  </w:r>
                  <w:r>
                    <w:rPr>
                      <w:color w:val="000000"/>
                      <w:szCs w:val="24"/>
                      <w:lang w:eastAsia="lt-LT"/>
                    </w:rPr>
                    <w:t xml:space="preserve">prisirašiusių prie PAASP įstaigos asmenų, priskiriamų tikslinei grupei, </w:t>
                  </w:r>
                  <w:r>
                    <w:rPr>
                      <w:rFonts w:eastAsia="Calibri"/>
                      <w:color w:val="000000"/>
                      <w:szCs w:val="24"/>
                    </w:rPr>
                    <w:t>imties dydis, kai tikimybė 0,9 (α= 0,1), apskaičiuojamas pagal formulę:</w:t>
                  </w:r>
                </w:p>
                <w:p>
                  <w:pPr>
                    <w:ind w:firstLine="851"/>
                    <w:jc w:val="both"/>
                    <w:rPr>
                      <w:rFonts w:eastAsia="Calibri"/>
                      <w:color w:val="000000"/>
                      <w:szCs w:val="24"/>
                    </w:rPr>
                  </w:pPr>
                </w:p>
                <w:p>
                  <w:pPr>
                    <w:jc w:val="center"/>
                    <w:rPr>
                      <w:rFonts w:eastAsia="Calibri"/>
                      <w:color w:val="000000"/>
                      <w:szCs w:val="24"/>
                    </w:rPr>
                  </w:pPr>
                  <m:oMath>
                    <m:r>
                      <w:rPr>
                        <w:rFonts w:ascii="Cambria Math" w:eastAsia="Calibri" w:hAnsi="Cambria Math"/>
                        <w:color w:val="000000"/>
                      </w:rPr>
                      <m:t>n</m:t>
                    </m:r>
                    <m:r>
                      <w:rPr>
                        <w:rFonts w:ascii="Cambria Math" w:eastAsia="Calibri" w:hAnsi="Cambria Math"/>
                        <w:color w:val="000000"/>
                      </w:rPr>
                      <m:t>=</m:t>
                    </m:r>
                    <m:f>
                      <m:fPr>
                        <m:ctrlPr>
                          <w:rPr>
                            <w:rFonts w:ascii="Cambria Math" w:eastAsia="Calibri" w:hAnsi="Cambria Math"/>
                            <w:i/>
                            <w:color w:val="000000"/>
                          </w:rPr>
                        </m:ctrlPr>
                      </m:fPr>
                      <m:num>
                        <m:sSub>
                          <m:sSubPr>
                            <m:ctrlPr>
                              <w:rPr>
                                <w:rFonts w:ascii="Cambria Math" w:eastAsia="Calibri" w:hAnsi="Cambria Math"/>
                                <w:i/>
                                <w:color w:val="000000"/>
                              </w:rPr>
                            </m:ctrlPr>
                          </m:sSubPr>
                          <m:e>
                            <m:r>
                              <w:rPr>
                                <w:rFonts w:ascii="Cambria Math" w:eastAsia="Calibri" w:hAnsi="Cambria Math"/>
                                <w:color w:val="000000"/>
                              </w:rPr>
                              <m:t>n</m:t>
                            </m:r>
                          </m:e>
                          <m:sub>
                            <m:r>
                              <w:rPr>
                                <w:rFonts w:ascii="Cambria Math" w:eastAsia="Calibri" w:hAnsi="Cambria Math"/>
                                <w:color w:val="000000"/>
                              </w:rPr>
                              <m:t>0</m:t>
                            </m:r>
                          </m:sub>
                        </m:sSub>
                      </m:num>
                      <m:den>
                        <m:r>
                          <w:rPr>
                            <w:rFonts w:ascii="Cambria Math" w:eastAsia="Calibri" w:hAnsi="Cambria Math"/>
                            <w:color w:val="000000"/>
                          </w:rPr>
                          <m:t xml:space="preserve">1+ </m:t>
                        </m:r>
                        <m:f>
                          <m:fPr>
                            <m:ctrlPr>
                              <w:rPr>
                                <w:rFonts w:ascii="Cambria Math" w:eastAsia="Calibri" w:hAnsi="Cambria Math"/>
                                <w:i/>
                                <w:color w:val="000000"/>
                              </w:rPr>
                            </m:ctrlPr>
                          </m:fPr>
                          <m:num>
                            <m:sSub>
                              <m:sSubPr>
                                <m:ctrlPr>
                                  <w:rPr>
                                    <w:rFonts w:ascii="Cambria Math" w:eastAsia="Calibri" w:hAnsi="Cambria Math"/>
                                    <w:i/>
                                    <w:color w:val="000000"/>
                                  </w:rPr>
                                </m:ctrlPr>
                              </m:sSubPr>
                              <m:e>
                                <m:r>
                                  <w:rPr>
                                    <w:rFonts w:ascii="Cambria Math" w:eastAsia="Calibri" w:hAnsi="Cambria Math"/>
                                    <w:color w:val="000000"/>
                                  </w:rPr>
                                  <m:t>n</m:t>
                                </m:r>
                              </m:e>
                              <m:sub>
                                <m:r>
                                  <w:rPr>
                                    <w:rFonts w:ascii="Cambria Math" w:eastAsia="Calibri" w:hAnsi="Cambria Math"/>
                                    <w:color w:val="000000"/>
                                  </w:rPr>
                                  <m:t>0</m:t>
                                </m:r>
                              </m:sub>
                            </m:sSub>
                          </m:num>
                          <m:den>
                            <m:r>
                              <w:rPr>
                                <w:rFonts w:ascii="Cambria Math" w:eastAsia="Calibri" w:hAnsi="Cambria Math"/>
                                <w:color w:val="000000"/>
                              </w:rPr>
                              <m:t>N</m:t>
                            </m:r>
                          </m:den>
                        </m:f>
                      </m:den>
                    </m:f>
                  </m:oMath>
                  <w:r>
                    <w:rPr>
                      <w:rFonts w:eastAsia="Calibri"/>
                      <w:color w:val="000000"/>
                      <w:szCs w:val="24"/>
                    </w:rPr>
                    <w:t>,</w:t>
                  </w:r>
                </w:p>
                <w:p>
                  <w:pPr>
                    <w:ind w:firstLine="851"/>
                    <w:jc w:val="both"/>
                    <w:rPr>
                      <w:rFonts w:eastAsia="Calibri"/>
                      <w:color w:val="000000"/>
                      <w:szCs w:val="24"/>
                    </w:rPr>
                  </w:pPr>
                  <w:r>
                    <w:rPr>
                      <w:rFonts w:eastAsia="Calibri"/>
                      <w:color w:val="000000"/>
                      <w:szCs w:val="24"/>
                    </w:rPr>
                    <w:t>čia:</w:t>
                  </w:r>
                </w:p>
                <w:p>
                  <w:pPr>
                    <w:ind w:firstLine="851"/>
                    <w:jc w:val="both"/>
                    <w:rPr>
                      <w:rFonts w:eastAsia="Calibri"/>
                      <w:color w:val="000000"/>
                      <w:szCs w:val="24"/>
                    </w:rPr>
                  </w:pPr>
                  <m:oMath>
                    <m:sSub>
                      <m:sSubPr>
                        <m:ctrlPr>
                          <w:rPr>
                            <w:rFonts w:ascii="Cambria Math" w:eastAsia="Calibri" w:hAnsi="Cambria Math"/>
                            <w:i/>
                            <w:color w:val="000000"/>
                          </w:rPr>
                        </m:ctrlPr>
                      </m:sSubPr>
                      <m:e>
                        <m:r>
                          <w:rPr>
                            <w:rFonts w:ascii="Cambria Math" w:eastAsia="Calibri" w:hAnsi="Cambria Math"/>
                            <w:color w:val="000000"/>
                          </w:rPr>
                          <m:t>n</m:t>
                        </m:r>
                      </m:e>
                      <m:sub>
                        <m:r>
                          <w:rPr>
                            <w:rFonts w:ascii="Cambria Math" w:eastAsia="Calibri" w:hAnsi="Cambria Math"/>
                            <w:color w:val="000000"/>
                          </w:rPr>
                          <m:t>0</m:t>
                        </m:r>
                      </m:sub>
                    </m:sSub>
                    <m:r>
                      <w:rPr>
                        <w:rFonts w:ascii="Cambria Math" w:eastAsia="Calibri" w:hAnsi="Cambria Math"/>
                        <w:color w:val="000000"/>
                      </w:rPr>
                      <m:t>=</m:t>
                    </m:r>
                    <m:f>
                      <m:fPr>
                        <m:ctrlPr>
                          <w:rPr>
                            <w:rFonts w:ascii="Cambria Math" w:eastAsia="Calibri" w:hAnsi="Cambria Math"/>
                            <w:i/>
                            <w:color w:val="000000"/>
                          </w:rPr>
                        </m:ctrlPr>
                      </m:fPr>
                      <m:num>
                        <m:sSup>
                          <m:sSupPr>
                            <m:ctrlPr>
                              <w:rPr>
                                <w:rFonts w:ascii="Cambria Math" w:eastAsia="Calibri" w:hAnsi="Cambria Math"/>
                                <w:i/>
                                <w:color w:val="000000"/>
                              </w:rPr>
                            </m:ctrlPr>
                          </m:sSupPr>
                          <m:e>
                            <m:r>
                              <w:rPr>
                                <w:rFonts w:ascii="Cambria Math" w:eastAsia="Calibri" w:hAnsi="Cambria Math"/>
                                <w:color w:val="000000"/>
                              </w:rPr>
                              <m:t>s</m:t>
                            </m:r>
                          </m:e>
                          <m:sup>
                            <m:r>
                              <w:rPr>
                                <w:rFonts w:ascii="Cambria Math" w:eastAsia="Calibri" w:hAnsi="Cambria Math"/>
                                <w:color w:val="000000"/>
                              </w:rPr>
                              <m:t>2</m:t>
                            </m:r>
                          </m:sup>
                        </m:sSup>
                        <m:r>
                          <w:rPr>
                            <w:rFonts w:ascii="Cambria Math" w:eastAsia="Calibri" w:hAnsi="Cambria Math"/>
                            <w:color w:val="000000"/>
                          </w:rPr>
                          <m:t>×</m:t>
                        </m:r>
                        <m:sSubSup>
                          <m:sSubSupPr>
                            <m:ctrlPr>
                              <w:rPr>
                                <w:rFonts w:ascii="Cambria Math" w:eastAsia="Calibri" w:hAnsi="Cambria Math"/>
                                <w:i/>
                                <w:color w:val="000000"/>
                              </w:rPr>
                            </m:ctrlPr>
                          </m:sSubSupPr>
                          <m:e>
                            <m:r>
                              <w:rPr>
                                <w:rFonts w:ascii="Cambria Math" w:eastAsia="Calibri" w:hAnsi="Cambria Math"/>
                                <w:color w:val="000000"/>
                              </w:rPr>
                              <m:t>z</m:t>
                            </m:r>
                          </m:e>
                          <m:sub>
                            <m:r>
                              <w:rPr>
                                <w:rFonts w:ascii="Cambria Math" w:eastAsia="Calibri" w:hAnsi="Cambria Math"/>
                                <w:color w:val="000000"/>
                              </w:rPr>
                              <m:t>α</m:t>
                            </m:r>
                            <m:r>
                              <w:rPr>
                                <w:rFonts w:ascii="Cambria Math" w:eastAsia="Calibri" w:hAnsi="Cambria Math"/>
                                <w:color w:val="000000"/>
                              </w:rPr>
                              <m:t>/2</m:t>
                            </m:r>
                          </m:sub>
                          <m:sup>
                            <m:r>
                              <w:rPr>
                                <w:rFonts w:ascii="Cambria Math" w:eastAsia="Calibri" w:hAnsi="Cambria Math"/>
                                <w:color w:val="000000"/>
                              </w:rPr>
                              <m:t>2</m:t>
                            </m:r>
                          </m:sup>
                        </m:sSubSup>
                      </m:num>
                      <m:den>
                        <m:sSup>
                          <m:sSupPr>
                            <m:ctrlPr>
                              <w:rPr>
                                <w:rFonts w:ascii="Cambria Math" w:eastAsia="Calibri" w:hAnsi="Cambria Math"/>
                                <w:i/>
                                <w:color w:val="000000"/>
                              </w:rPr>
                            </m:ctrlPr>
                          </m:sSupPr>
                          <m:e>
                            <m:r>
                              <w:rPr>
                                <w:rFonts w:ascii="Cambria Math" w:eastAsia="Calibri" w:hAnsi="Cambria Math"/>
                                <w:color w:val="000000"/>
                              </w:rPr>
                              <m:t>d</m:t>
                            </m:r>
                          </m:e>
                          <m:sup>
                            <m:r>
                              <w:rPr>
                                <w:rFonts w:ascii="Cambria Math" w:eastAsia="Calibri" w:hAnsi="Cambria Math"/>
                                <w:color w:val="000000"/>
                              </w:rPr>
                              <m:t>2</m:t>
                            </m:r>
                          </m:sup>
                        </m:sSup>
                      </m:den>
                    </m:f>
                  </m:oMath>
                  <w:r>
                    <w:rPr>
                      <w:rFonts w:eastAsia="Calibri"/>
                      <w:color w:val="000000"/>
                      <w:szCs w:val="24"/>
                    </w:rPr>
                    <w:t xml:space="preserve">; </w:t>
                  </w:r>
                </w:p>
                <w:p>
                  <w:pPr>
                    <w:ind w:firstLine="851"/>
                    <w:jc w:val="both"/>
                    <w:rPr>
                      <w:rFonts w:eastAsia="Calibri"/>
                      <w:color w:val="000000"/>
                      <w:szCs w:val="24"/>
                    </w:rPr>
                  </w:pPr>
                  <w:r>
                    <w:rPr>
                      <w:rFonts w:eastAsia="Calibri"/>
                      <w:color w:val="000000"/>
                      <w:szCs w:val="24"/>
                    </w:rPr>
                    <w:t>z</w:t>
                  </w:r>
                  <w:r>
                    <w:rPr>
                      <w:rFonts w:eastAsia="Calibri"/>
                      <w:color w:val="000000"/>
                      <w:szCs w:val="24"/>
                      <w:vertAlign w:val="subscript"/>
                    </w:rPr>
                    <w:t xml:space="preserve">α/2 </w:t>
                  </w:r>
                  <w:r>
                    <w:rPr>
                      <w:rFonts w:eastAsia="Calibri"/>
                      <w:color w:val="000000"/>
                      <w:szCs w:val="24"/>
                    </w:rPr>
                    <w:t>– kritinė normalaus skirstinio reikšmė;</w:t>
                  </w:r>
                </w:p>
                <w:p>
                  <w:pPr>
                    <w:ind w:firstLine="851"/>
                    <w:jc w:val="both"/>
                    <w:rPr>
                      <w:rFonts w:eastAsia="Calibri"/>
                      <w:color w:val="000000"/>
                      <w:szCs w:val="24"/>
                    </w:rPr>
                  </w:pPr>
                  <w:r>
                    <w:rPr>
                      <w:rFonts w:eastAsia="Calibri"/>
                      <w:color w:val="000000"/>
                      <w:szCs w:val="24"/>
                    </w:rPr>
                    <w:t>s</w:t>
                  </w:r>
                  <w:r>
                    <w:rPr>
                      <w:rFonts w:eastAsia="Calibri"/>
                      <w:color w:val="000000"/>
                      <w:szCs w:val="24"/>
                      <w:vertAlign w:val="superscript"/>
                    </w:rPr>
                    <w:t>2</w:t>
                  </w:r>
                  <w:r>
                    <w:rPr>
                      <w:rFonts w:eastAsia="Calibri"/>
                      <w:color w:val="000000"/>
                      <w:szCs w:val="24"/>
                    </w:rPr>
                    <w:t xml:space="preserve"> – dispersija; </w:t>
                  </w:r>
                </w:p>
                <w:p>
                  <w:pPr>
                    <w:ind w:firstLine="851"/>
                    <w:jc w:val="both"/>
                    <w:rPr>
                      <w:rFonts w:eastAsia="Calibri"/>
                      <w:color w:val="000000"/>
                      <w:szCs w:val="24"/>
                    </w:rPr>
                  </w:pPr>
                  <w:r>
                    <w:rPr>
                      <w:rFonts w:eastAsia="Calibri"/>
                      <w:color w:val="000000"/>
                      <w:szCs w:val="24"/>
                    </w:rPr>
                    <w:t xml:space="preserve">N – tikslinės grupės asmenų skaičius; </w:t>
                  </w:r>
                </w:p>
                <w:p>
                  <w:pPr>
                    <w:ind w:firstLine="851"/>
                    <w:jc w:val="both"/>
                    <w:rPr>
                      <w:rFonts w:eastAsia="Calibri"/>
                      <w:color w:val="000000"/>
                      <w:szCs w:val="24"/>
                    </w:rPr>
                  </w:pPr>
                  <w:r>
                    <w:rPr>
                      <w:rFonts w:eastAsia="Calibri"/>
                      <w:color w:val="000000"/>
                      <w:szCs w:val="24"/>
                    </w:rPr>
                    <w:t>d – leidžiamas paklaidos dydis, nustatomas pagal rodiklio reikšmių vidurkį (žr. lentelę).</w:t>
                  </w:r>
                </w:p>
                <w:p>
                  <w:pPr>
                    <w:ind w:firstLine="851"/>
                    <w:jc w:val="both"/>
                    <w:rPr>
                      <w:rFonts w:eastAsia="Calibri"/>
                      <w:color w:val="000000"/>
                      <w:szCs w:val="24"/>
                    </w:rPr>
                  </w:pPr>
                </w:p>
                <w:p>
                  <w:pPr>
                    <w:jc w:val="both"/>
                    <w:rPr>
                      <w:rFonts w:eastAsia="Calibri"/>
                      <w:color w:val="000000"/>
                      <w:szCs w:val="24"/>
                    </w:rPr>
                  </w:pPr>
                </w:p>
                <w:tbl>
                  <w:tblPr>
                    <w:tblW w:w="5000" w:type="pct"/>
                    <w:tblCellMar>
                      <w:left w:w="0" w:type="dxa"/>
                      <w:right w:w="0" w:type="dxa"/>
                    </w:tblCellMar>
                    <w:tblLook w:val="04A0" w:firstRow="1" w:lastRow="0" w:firstColumn="1" w:lastColumn="0" w:noHBand="0" w:noVBand="1"/>
                  </w:tblPr>
                  <w:tblGrid>
                    <w:gridCol w:w="705"/>
                    <w:gridCol w:w="6059"/>
                    <w:gridCol w:w="2894"/>
                  </w:tblGrid>
                  <w:tr>
                    <w:trPr>
                      <w:trHeight w:val="305"/>
                    </w:trPr>
                    <w:tc>
                      <w:tcPr>
                        <w:tcW w:w="365" w:type="pct"/>
                        <w:tcBorders>
                          <w:top w:val="single" w:sz="8" w:space="0" w:color="auto"/>
                          <w:left w:val="single" w:sz="8" w:space="0" w:color="auto"/>
                          <w:bottom w:val="single" w:sz="8" w:space="0" w:color="auto"/>
                          <w:right w:val="single" w:sz="8" w:space="0" w:color="auto"/>
                        </w:tcBorders>
                      </w:tcPr>
                      <w:p>
                        <w:pPr>
                          <w:jc w:val="center"/>
                          <w:rPr>
                            <w:rFonts w:eastAsia="Calibri"/>
                            <w:b/>
                            <w:bCs/>
                            <w:color w:val="000000"/>
                            <w:szCs w:val="24"/>
                            <w:lang w:eastAsia="lt-LT"/>
                          </w:rPr>
                        </w:pPr>
                        <w:r>
                          <w:rPr>
                            <w:rFonts w:eastAsia="Calibri"/>
                            <w:b/>
                            <w:bCs/>
                            <w:color w:val="000000"/>
                            <w:szCs w:val="24"/>
                            <w:lang w:eastAsia="lt-LT"/>
                          </w:rPr>
                          <w:t>Nr.</w:t>
                        </w:r>
                      </w:p>
                    </w:tc>
                    <w:tc>
                      <w:tcPr>
                        <w:tcW w:w="3137"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pPr>
                          <w:jc w:val="center"/>
                          <w:rPr>
                            <w:rFonts w:eastAsia="Calibri"/>
                            <w:b/>
                            <w:bCs/>
                            <w:color w:val="000000"/>
                            <w:szCs w:val="24"/>
                            <w:lang w:eastAsia="lt-LT"/>
                          </w:rPr>
                        </w:pPr>
                        <w:r>
                          <w:rPr>
                            <w:rFonts w:eastAsia="Calibri"/>
                            <w:b/>
                            <w:bCs/>
                            <w:color w:val="000000"/>
                            <w:szCs w:val="24"/>
                            <w:lang w:eastAsia="lt-LT"/>
                          </w:rPr>
                          <w:t>Vidurkio reikšmė</w:t>
                        </w:r>
                      </w:p>
                    </w:tc>
                    <w:tc>
                      <w:tcPr>
                        <w:tcW w:w="1498" w:type="pct"/>
                        <w:tcBorders>
                          <w:top w:val="single" w:sz="8" w:space="0" w:color="auto"/>
                          <w:left w:val="nil"/>
                          <w:bottom w:val="single" w:sz="8" w:space="0" w:color="auto"/>
                          <w:right w:val="single" w:sz="8" w:space="0" w:color="auto"/>
                        </w:tcBorders>
                        <w:hideMark/>
                      </w:tcPr>
                      <w:p>
                        <w:pPr>
                          <w:jc w:val="center"/>
                          <w:rPr>
                            <w:rFonts w:eastAsia="Calibri"/>
                            <w:b/>
                            <w:bCs/>
                            <w:color w:val="000000"/>
                            <w:szCs w:val="24"/>
                            <w:lang w:eastAsia="lt-LT"/>
                          </w:rPr>
                        </w:pPr>
                        <w:r>
                          <w:rPr>
                            <w:rFonts w:eastAsia="Calibri"/>
                            <w:b/>
                            <w:bCs/>
                            <w:color w:val="000000"/>
                            <w:szCs w:val="24"/>
                            <w:lang w:eastAsia="lt-LT"/>
                          </w:rPr>
                          <w:t>Paklaida (d)</w:t>
                        </w:r>
                      </w:p>
                    </w:tc>
                  </w:tr>
                  <w:tr>
                    <w:trPr>
                      <w:trHeight w:val="300"/>
                    </w:trPr>
                    <w:tc>
                      <w:tcPr>
                        <w:tcW w:w="365" w:type="pct"/>
                        <w:tcBorders>
                          <w:top w:val="nil"/>
                          <w:left w:val="single" w:sz="8" w:space="0" w:color="auto"/>
                          <w:bottom w:val="single" w:sz="8" w:space="0" w:color="auto"/>
                          <w:right w:val="single" w:sz="8" w:space="0" w:color="auto"/>
                        </w:tcBorders>
                      </w:tcPr>
                      <w:p>
                        <w:pPr>
                          <w:jc w:val="center"/>
                          <w:rPr>
                            <w:rFonts w:eastAsia="Calibri"/>
                            <w:color w:val="000000"/>
                            <w:szCs w:val="24"/>
                            <w:lang w:eastAsia="lt-LT"/>
                          </w:rPr>
                        </w:pPr>
                        <w:r>
                          <w:rPr>
                            <w:rFonts w:eastAsia="Calibri"/>
                            <w:color w:val="000000"/>
                            <w:szCs w:val="24"/>
                            <w:lang w:eastAsia="lt-LT"/>
                          </w:rPr>
                          <w:t>1</w:t>
                        </w:r>
                      </w:p>
                    </w:tc>
                    <w:tc>
                      <w:tcPr>
                        <w:tcW w:w="313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rPr>
                            <w:rFonts w:eastAsia="Calibri"/>
                            <w:color w:val="000000"/>
                            <w:szCs w:val="24"/>
                            <w:lang w:eastAsia="lt-LT"/>
                          </w:rPr>
                        </w:pPr>
                        <w:r>
                          <w:rPr>
                            <w:rFonts w:eastAsia="Calibri"/>
                            <w:color w:val="000000"/>
                            <w:szCs w:val="24"/>
                            <w:lang w:eastAsia="lt-LT"/>
                          </w:rPr>
                          <w:t>0–4 proc. arba 96–100 proc.</w:t>
                        </w:r>
                      </w:p>
                    </w:tc>
                    <w:tc>
                      <w:tcPr>
                        <w:tcW w:w="1498" w:type="pct"/>
                        <w:tcBorders>
                          <w:top w:val="nil"/>
                          <w:left w:val="nil"/>
                          <w:bottom w:val="single" w:sz="8" w:space="0" w:color="auto"/>
                          <w:right w:val="single" w:sz="8" w:space="0" w:color="auto"/>
                        </w:tcBorders>
                        <w:vAlign w:val="bottom"/>
                      </w:tcPr>
                      <w:p>
                        <w:pPr>
                          <w:jc w:val="center"/>
                          <w:rPr>
                            <w:rFonts w:eastAsia="Calibri"/>
                            <w:color w:val="000000"/>
                            <w:szCs w:val="24"/>
                            <w:lang w:eastAsia="lt-LT"/>
                          </w:rPr>
                        </w:pPr>
                        <w:r>
                          <w:rPr>
                            <w:rFonts w:eastAsia="Calibri"/>
                            <w:color w:val="000000"/>
                            <w:szCs w:val="24"/>
                            <w:lang w:eastAsia="lt-LT"/>
                          </w:rPr>
                          <w:t>0,1</w:t>
                        </w:r>
                      </w:p>
                    </w:tc>
                  </w:tr>
                  <w:tr>
                    <w:trPr>
                      <w:trHeight w:val="300"/>
                    </w:trPr>
                    <w:tc>
                      <w:tcPr>
                        <w:tcW w:w="365" w:type="pct"/>
                        <w:tcBorders>
                          <w:top w:val="nil"/>
                          <w:left w:val="single" w:sz="8" w:space="0" w:color="auto"/>
                          <w:bottom w:val="single" w:sz="8" w:space="0" w:color="auto"/>
                          <w:right w:val="single" w:sz="8" w:space="0" w:color="auto"/>
                        </w:tcBorders>
                      </w:tcPr>
                      <w:p>
                        <w:pPr>
                          <w:jc w:val="center"/>
                          <w:rPr>
                            <w:rFonts w:eastAsia="Calibri"/>
                            <w:color w:val="000000"/>
                            <w:szCs w:val="24"/>
                            <w:lang w:eastAsia="lt-LT"/>
                          </w:rPr>
                        </w:pPr>
                        <w:r>
                          <w:rPr>
                            <w:rFonts w:eastAsia="Calibri"/>
                            <w:color w:val="000000"/>
                            <w:szCs w:val="24"/>
                            <w:lang w:eastAsia="lt-LT"/>
                          </w:rPr>
                          <w:t>2</w:t>
                        </w:r>
                      </w:p>
                    </w:tc>
                    <w:tc>
                      <w:tcPr>
                        <w:tcW w:w="313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rPr>
                            <w:rFonts w:eastAsia="Calibri"/>
                            <w:color w:val="000000"/>
                            <w:szCs w:val="24"/>
                            <w:lang w:eastAsia="lt-LT"/>
                          </w:rPr>
                        </w:pPr>
                        <w:r>
                          <w:rPr>
                            <w:rFonts w:eastAsia="Calibri"/>
                            <w:color w:val="000000"/>
                            <w:szCs w:val="24"/>
                            <w:lang w:eastAsia="lt-LT"/>
                          </w:rPr>
                          <w:t>5–9 proc. arba 91–95 proc.</w:t>
                        </w:r>
                      </w:p>
                    </w:tc>
                    <w:tc>
                      <w:tcPr>
                        <w:tcW w:w="1498" w:type="pct"/>
                        <w:tcBorders>
                          <w:top w:val="nil"/>
                          <w:left w:val="nil"/>
                          <w:bottom w:val="single" w:sz="8" w:space="0" w:color="auto"/>
                          <w:right w:val="single" w:sz="8" w:space="0" w:color="auto"/>
                        </w:tcBorders>
                        <w:vAlign w:val="bottom"/>
                      </w:tcPr>
                      <w:p>
                        <w:pPr>
                          <w:jc w:val="center"/>
                          <w:rPr>
                            <w:rFonts w:eastAsia="Calibri"/>
                            <w:color w:val="000000"/>
                            <w:szCs w:val="24"/>
                            <w:lang w:eastAsia="lt-LT"/>
                          </w:rPr>
                        </w:pPr>
                        <w:r>
                          <w:rPr>
                            <w:rFonts w:eastAsia="Calibri"/>
                            <w:color w:val="000000"/>
                            <w:szCs w:val="24"/>
                            <w:lang w:eastAsia="lt-LT"/>
                          </w:rPr>
                          <w:t>0,15</w:t>
                        </w:r>
                      </w:p>
                    </w:tc>
                  </w:tr>
                  <w:tr>
                    <w:trPr>
                      <w:trHeight w:val="300"/>
                    </w:trPr>
                    <w:tc>
                      <w:tcPr>
                        <w:tcW w:w="365" w:type="pct"/>
                        <w:tcBorders>
                          <w:top w:val="nil"/>
                          <w:left w:val="single" w:sz="8" w:space="0" w:color="auto"/>
                          <w:bottom w:val="single" w:sz="8" w:space="0" w:color="auto"/>
                          <w:right w:val="single" w:sz="8" w:space="0" w:color="auto"/>
                        </w:tcBorders>
                      </w:tcPr>
                      <w:p>
                        <w:pPr>
                          <w:jc w:val="center"/>
                          <w:rPr>
                            <w:rFonts w:eastAsia="Calibri"/>
                            <w:color w:val="000000"/>
                            <w:szCs w:val="24"/>
                            <w:lang w:eastAsia="lt-LT"/>
                          </w:rPr>
                        </w:pPr>
                        <w:r>
                          <w:rPr>
                            <w:rFonts w:eastAsia="Calibri"/>
                            <w:color w:val="000000"/>
                            <w:szCs w:val="24"/>
                            <w:lang w:eastAsia="lt-LT"/>
                          </w:rPr>
                          <w:t>3</w:t>
                        </w:r>
                      </w:p>
                    </w:tc>
                    <w:tc>
                      <w:tcPr>
                        <w:tcW w:w="313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rPr>
                            <w:rFonts w:eastAsia="Calibri"/>
                            <w:color w:val="000000"/>
                            <w:szCs w:val="24"/>
                            <w:lang w:eastAsia="lt-LT"/>
                          </w:rPr>
                        </w:pPr>
                        <w:r>
                          <w:rPr>
                            <w:rFonts w:eastAsia="Calibri"/>
                            <w:color w:val="000000"/>
                            <w:szCs w:val="24"/>
                            <w:lang w:eastAsia="lt-LT"/>
                          </w:rPr>
                          <w:t xml:space="preserve">10–14 proc. arba </w:t>
                        </w:r>
                        <w:r>
                          <w:rPr>
                            <w:rFonts w:eastAsia="Calibri"/>
                            <w:color w:val="000000"/>
                            <w:szCs w:val="24"/>
                            <w:lang w:val="en-US" w:eastAsia="lt-LT"/>
                          </w:rPr>
                          <w:t>86</w:t>
                        </w:r>
                        <w:r>
                          <w:rPr>
                            <w:rFonts w:eastAsia="Calibri"/>
                            <w:color w:val="000000"/>
                            <w:szCs w:val="24"/>
                            <w:lang w:eastAsia="lt-LT"/>
                          </w:rPr>
                          <w:t>–90 proc.</w:t>
                        </w:r>
                      </w:p>
                    </w:tc>
                    <w:tc>
                      <w:tcPr>
                        <w:tcW w:w="1498" w:type="pct"/>
                        <w:tcBorders>
                          <w:top w:val="nil"/>
                          <w:left w:val="nil"/>
                          <w:bottom w:val="single" w:sz="8" w:space="0" w:color="auto"/>
                          <w:right w:val="single" w:sz="8" w:space="0" w:color="auto"/>
                        </w:tcBorders>
                        <w:vAlign w:val="bottom"/>
                      </w:tcPr>
                      <w:p>
                        <w:pPr>
                          <w:jc w:val="center"/>
                          <w:rPr>
                            <w:rFonts w:eastAsia="Calibri"/>
                            <w:color w:val="000000"/>
                            <w:szCs w:val="24"/>
                            <w:lang w:eastAsia="lt-LT"/>
                          </w:rPr>
                        </w:pPr>
                        <w:r>
                          <w:rPr>
                            <w:rFonts w:eastAsia="Calibri"/>
                            <w:color w:val="000000"/>
                            <w:szCs w:val="24"/>
                            <w:lang w:eastAsia="lt-LT"/>
                          </w:rPr>
                          <w:t>0,2</w:t>
                        </w:r>
                      </w:p>
                    </w:tc>
                  </w:tr>
                  <w:tr>
                    <w:trPr>
                      <w:trHeight w:val="300"/>
                    </w:trPr>
                    <w:tc>
                      <w:tcPr>
                        <w:tcW w:w="365" w:type="pct"/>
                        <w:tcBorders>
                          <w:top w:val="nil"/>
                          <w:left w:val="single" w:sz="8" w:space="0" w:color="auto"/>
                          <w:bottom w:val="single" w:sz="8" w:space="0" w:color="auto"/>
                          <w:right w:val="single" w:sz="8" w:space="0" w:color="auto"/>
                        </w:tcBorders>
                      </w:tcPr>
                      <w:p>
                        <w:pPr>
                          <w:jc w:val="center"/>
                          <w:rPr>
                            <w:rFonts w:eastAsia="Calibri"/>
                            <w:color w:val="000000"/>
                            <w:szCs w:val="24"/>
                            <w:lang w:eastAsia="lt-LT"/>
                          </w:rPr>
                        </w:pPr>
                        <w:r>
                          <w:rPr>
                            <w:rFonts w:eastAsia="Calibri"/>
                            <w:color w:val="000000"/>
                            <w:szCs w:val="24"/>
                            <w:lang w:eastAsia="lt-LT"/>
                          </w:rPr>
                          <w:t>4</w:t>
                        </w:r>
                      </w:p>
                    </w:tc>
                    <w:tc>
                      <w:tcPr>
                        <w:tcW w:w="3137" w:type="pct"/>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pPr>
                          <w:rPr>
                            <w:rFonts w:eastAsia="Calibri"/>
                            <w:color w:val="000000"/>
                            <w:szCs w:val="24"/>
                            <w:lang w:eastAsia="lt-LT"/>
                          </w:rPr>
                        </w:pPr>
                        <w:r>
                          <w:rPr>
                            <w:rFonts w:eastAsia="Calibri"/>
                            <w:color w:val="000000"/>
                            <w:szCs w:val="24"/>
                            <w:lang w:eastAsia="lt-LT"/>
                          </w:rPr>
                          <w:t>15–85 proc.</w:t>
                        </w:r>
                      </w:p>
                    </w:tc>
                    <w:tc>
                      <w:tcPr>
                        <w:tcW w:w="1498" w:type="pct"/>
                        <w:tcBorders>
                          <w:top w:val="nil"/>
                          <w:left w:val="nil"/>
                          <w:bottom w:val="single" w:sz="8" w:space="0" w:color="auto"/>
                          <w:right w:val="single" w:sz="8" w:space="0" w:color="auto"/>
                        </w:tcBorders>
                        <w:vAlign w:val="bottom"/>
                      </w:tcPr>
                      <w:p>
                        <w:pPr>
                          <w:jc w:val="center"/>
                          <w:rPr>
                            <w:rFonts w:eastAsia="Calibri"/>
                            <w:color w:val="000000"/>
                            <w:szCs w:val="24"/>
                            <w:lang w:eastAsia="lt-LT"/>
                          </w:rPr>
                        </w:pPr>
                        <w:r>
                          <w:rPr>
                            <w:rFonts w:eastAsia="Calibri"/>
                            <w:color w:val="000000"/>
                            <w:szCs w:val="24"/>
                            <w:lang w:eastAsia="lt-LT"/>
                          </w:rPr>
                          <w:t>0,25</w:t>
                        </w:r>
                      </w:p>
                    </w:tc>
                  </w:tr>
                </w:tbl>
                <w:p/>
              </w:sdtContent>
            </w:sdt>
            <w:sdt>
              <w:sdtPr>
                <w:alias w:val="pr. 7 p."/>
                <w:tag w:val="part_d98015a9dcdb4419af9c90ac208ed377"/>
                <w:lock w:val="sdtLocked"/>
                <w:richText/>
              </w:sdtPr>
              <w:sdtContent>
                <w:p>
                  <w:pPr>
                    <w:tabs>
                      <w:tab w:val="left" w:pos="709"/>
                    </w:tabs>
                    <w:spacing w:line="259" w:lineRule="auto"/>
                    <w:ind w:left="1070" w:hanging="219"/>
                    <w:jc w:val="both"/>
                    <w:rPr>
                      <w:szCs w:val="24"/>
                      <w:lang w:eastAsia="lt-LT"/>
                    </w:rPr>
                  </w:pPr>
                  <w:sdt>
                    <w:sdtPr>
                      <w:alias w:val="Numeris"/>
                      <w:tag w:val="nr_d98015a9dcdb4419af9c90ac208ed377"/>
                      <w:lock w:val="sdtLocked"/>
                      <w:richText/>
                    </w:sdtPr>
                    <w:sdtContent>
                      <w:r>
                        <w:rPr>
                          <w:szCs w:val="24"/>
                          <w:lang w:eastAsia="lt-LT"/>
                        </w:rPr>
                        <w:t>7</w:t>
                      </w:r>
                    </w:sdtContent>
                  </w:sdt>
                  <w:r>
                    <w:rPr>
                      <w:szCs w:val="24"/>
                      <w:lang w:eastAsia="lt-LT"/>
                    </w:rPr>
                    <w:t>.</w:t>
                    <w:tab/>
                    <w:t xml:space="preserve">Apskaičiuojama kiekvieno </w:t>
                  </w:r>
                  <w:r>
                    <w:rPr>
                      <w:color w:val="000000"/>
                      <w:szCs w:val="24"/>
                      <w:lang w:eastAsia="lt-LT"/>
                    </w:rPr>
                    <w:t>PAASP</w:t>
                  </w:r>
                  <w:r>
                    <w:rPr>
                      <w:szCs w:val="24"/>
                      <w:lang w:eastAsia="lt-LT"/>
                    </w:rPr>
                    <w:t xml:space="preserve"> rodiklio reikšmė.</w:t>
                  </w:r>
                </w:p>
              </w:sdtContent>
            </w:sdt>
            <w:sdt>
              <w:sdtPr>
                <w:alias w:val="pr. 8 p."/>
                <w:tag w:val="part_246a279a3d6e4b069770b0eb6520f5e9"/>
                <w:lock w:val="sdtLocked"/>
                <w:richText/>
              </w:sdtPr>
              <w:sdtContent>
                <w:p>
                  <w:pPr>
                    <w:tabs>
                      <w:tab w:val="left" w:pos="709"/>
                      <w:tab w:val="left" w:pos="1134"/>
                    </w:tabs>
                    <w:spacing w:line="259" w:lineRule="auto"/>
                    <w:ind w:firstLine="851"/>
                    <w:jc w:val="both"/>
                    <w:rPr>
                      <w:szCs w:val="24"/>
                      <w:lang w:eastAsia="lt-LT"/>
                    </w:rPr>
                  </w:pPr>
                  <w:sdt>
                    <w:sdtPr>
                      <w:alias w:val="Numeris"/>
                      <w:tag w:val="nr_246a279a3d6e4b069770b0eb6520f5e9"/>
                      <w:lock w:val="sdtLocked"/>
                      <w:richText/>
                    </w:sdtPr>
                    <w:sdtContent>
                      <w:r>
                        <w:rPr>
                          <w:szCs w:val="24"/>
                          <w:lang w:eastAsia="lt-LT"/>
                        </w:rPr>
                        <w:t>8</w:t>
                      </w:r>
                    </w:sdtContent>
                  </w:sdt>
                  <w:r>
                    <w:rPr>
                      <w:szCs w:val="24"/>
                      <w:lang w:eastAsia="lt-LT"/>
                    </w:rPr>
                    <w:t>.</w:t>
                    <w:tab/>
                    <w:t xml:space="preserve">Sudaromas visų atrinktų PAASP įstaigų sąrašas, atsižvelgiant į kiekvienos PAASP įstaigos pasiektas </w:t>
                  </w:r>
                  <w:r>
                    <w:rPr>
                      <w:color w:val="000000"/>
                      <w:szCs w:val="24"/>
                      <w:lang w:eastAsia="lt-LT"/>
                    </w:rPr>
                    <w:t>PAASP rodiklių reikšmes</w:t>
                  </w:r>
                  <w:r>
                    <w:rPr>
                      <w:szCs w:val="24"/>
                      <w:lang w:eastAsia="lt-LT"/>
                    </w:rPr>
                    <w:t xml:space="preserve"> (proc.) (kiekvienas </w:t>
                  </w:r>
                  <w:r>
                    <w:rPr>
                      <w:color w:val="000000"/>
                      <w:szCs w:val="24"/>
                      <w:lang w:eastAsia="lt-LT"/>
                    </w:rPr>
                    <w:t xml:space="preserve">PAASP </w:t>
                  </w:r>
                  <w:r>
                    <w:rPr>
                      <w:szCs w:val="24"/>
                      <w:lang w:eastAsia="lt-LT"/>
                    </w:rPr>
                    <w:t>rodiklis vertinamas atskirai), šių rodiklių reikšmių mažėjimo tvarka.</w:t>
                  </w:r>
                </w:p>
              </w:sdtContent>
            </w:sdt>
            <w:sdt>
              <w:sdtPr>
                <w:alias w:val="pr. 9 p."/>
                <w:tag w:val="part_65ad09ff0b0b4d0fa4860da042a8853c"/>
                <w:lock w:val="sdtLocked"/>
                <w:richText/>
              </w:sdtPr>
              <w:sdtContent>
                <w:p>
                  <w:pPr>
                    <w:ind w:firstLine="851"/>
                    <w:jc w:val="both"/>
                    <w:rPr>
                      <w:color w:val="000000"/>
                      <w:szCs w:val="24"/>
                      <w:lang w:eastAsia="lt-LT"/>
                    </w:rPr>
                  </w:pPr>
                  <w:sdt>
                    <w:sdtPr>
                      <w:alias w:val="Numeris"/>
                      <w:tag w:val="nr_65ad09ff0b0b4d0fa4860da042a8853c"/>
                      <w:lock w:val="sdtLocked"/>
                      <w:richText/>
                    </w:sdtPr>
                    <w:sdtContent>
                      <w:r>
                        <w:rPr>
                          <w:color w:val="000000"/>
                          <w:szCs w:val="24"/>
                          <w:lang w:eastAsia="lt-LT"/>
                        </w:rPr>
                        <w:t>9</w:t>
                      </w:r>
                    </w:sdtContent>
                  </w:sdt>
                  <w:r>
                    <w:rPr>
                      <w:color w:val="000000"/>
                      <w:szCs w:val="24"/>
                      <w:lang w:eastAsia="lt-LT"/>
                    </w:rPr>
                    <w:t xml:space="preserve">. Taikant medianą, atrinktų PAASP įstaigų sąrašas, sudarytas pagal pasiektas kiekvieno PAASP rodiklio, </w:t>
                  </w:r>
                  <w:r>
                    <w:rPr>
                      <w:szCs w:val="24"/>
                      <w:lang w:eastAsia="lt-LT"/>
                    </w:rPr>
                    <w:t xml:space="preserve">nurodyto Metodikos 12 punkte pateikto PAASP rodiklių sąrašo (toliau – PAASP rodiklių sąrašas) 1–8 punktuose, </w:t>
                  </w:r>
                  <w:r>
                    <w:rPr>
                      <w:color w:val="000000"/>
                      <w:szCs w:val="24"/>
                      <w:lang w:eastAsia="lt-LT"/>
                    </w:rPr>
                    <w:t>reikšmes (proc.), padalijamas į dvi lygias dalis. PAASP įstaigos, kurių pasiektos rodiklių reikšmės lygios medianai, yra priskiriamos tai sąrašo daliai, kuriai priklausančios įstaigos bus vertinamos (toliau – vertinamų PAASP įstaigų sąrašas).</w:t>
                  </w:r>
                </w:p>
                <w:p>
                  <w:pPr>
                    <w:jc w:val="both"/>
                    <w:rPr>
                      <w:szCs w:val="24"/>
                      <w:lang w:eastAsia="lt-LT"/>
                    </w:rPr>
                  </w:pPr>
                  <w:r>
                    <w:rPr>
                      <w:b/>
                      <w:i/>
                      <w:sz w:val="20"/>
                      <w:lang w:eastAsia="lt-LT"/>
                    </w:rPr>
                    <w:t>TAR pastaba</w:t>
                  </w:r>
                  <w:r>
                    <w:rPr>
                      <w:i/>
                      <w:sz w:val="20"/>
                      <w:lang w:eastAsia="lt-LT"/>
                    </w:rPr>
                    <w:t xml:space="preserve">: pakeitimo  </w:t>
                  </w:r>
                  <w:r>
                    <w:rPr>
                      <w:rFonts w:eastAsia="Calibri"/>
                      <w:i/>
                      <w:color w:val="000000"/>
                      <w:sz w:val="20"/>
                    </w:rPr>
                    <w:t>nuostata taikoma nuo 2023 m. sausio 1 d. atsiskaitant už pirminės ambulatorinės asmens sveikatos priežiūros paslaugas.</w:t>
                  </w:r>
                  <w:r>
                    <w:t xml:space="preserve"> </w:t>
                  </w:r>
                </w:p>
              </w:sdtContent>
            </w:sdt>
            <w:sdt>
              <w:sdtPr>
                <w:alias w:val="pr. 10 p."/>
                <w:tag w:val="part_6959bf1484b6425799757457cf8ae2ab"/>
                <w:lock w:val="sdtLocked"/>
                <w:richText/>
              </w:sdtPr>
              <w:sdtContent>
                <w:p>
                  <w:pPr>
                    <w:tabs>
                      <w:tab w:val="left" w:pos="709"/>
                      <w:tab w:val="left" w:pos="1134"/>
                      <w:tab w:val="left" w:pos="1276"/>
                    </w:tabs>
                    <w:spacing w:line="259" w:lineRule="auto"/>
                    <w:ind w:firstLine="851"/>
                    <w:jc w:val="both"/>
                    <w:rPr>
                      <w:szCs w:val="24"/>
                      <w:lang w:eastAsia="lt-LT"/>
                    </w:rPr>
                  </w:pPr>
                  <w:sdt>
                    <w:sdtPr>
                      <w:alias w:val="Numeris"/>
                      <w:tag w:val="nr_6959bf1484b6425799757457cf8ae2ab"/>
                      <w:lock w:val="sdtLocked"/>
                      <w:richText/>
                    </w:sdtPr>
                    <w:sdtContent>
                      <w:r>
                        <w:rPr>
                          <w:szCs w:val="24"/>
                          <w:lang w:eastAsia="lt-LT"/>
                        </w:rPr>
                        <w:t>10</w:t>
                      </w:r>
                    </w:sdtContent>
                  </w:sdt>
                  <w:r>
                    <w:rPr>
                      <w:szCs w:val="24"/>
                      <w:lang w:eastAsia="lt-LT"/>
                    </w:rPr>
                    <w:t>.</w:t>
                    <w:tab/>
                    <w:t xml:space="preserve">Vertinamų PAASP įstaigų sąrašas nuo medianos dalijamas į tris lygias dalis. </w:t>
                  </w:r>
                </w:p>
              </w:sdtContent>
            </w:sdt>
            <w:sdt>
              <w:sdtPr>
                <w:alias w:val="pr. 11 p."/>
                <w:tag w:val="part_a3565e2cd99449cbbbc9fd1f2aad910f"/>
                <w:lock w:val="sdtLocked"/>
                <w:richText/>
              </w:sdtPr>
              <w:sdtContent>
                <w:p>
                  <w:pPr>
                    <w:tabs>
                      <w:tab w:val="left" w:pos="709"/>
                      <w:tab w:val="left" w:pos="851"/>
                      <w:tab w:val="left" w:pos="1276"/>
                    </w:tabs>
                    <w:spacing w:line="259" w:lineRule="auto"/>
                    <w:ind w:firstLine="851"/>
                    <w:jc w:val="both"/>
                    <w:rPr>
                      <w:szCs w:val="24"/>
                      <w:lang w:eastAsia="lt-LT"/>
                    </w:rPr>
                  </w:pPr>
                  <w:sdt>
                    <w:sdtPr>
                      <w:alias w:val="Numeris"/>
                      <w:tag w:val="nr_a3565e2cd99449cbbbc9fd1f2aad910f"/>
                      <w:lock w:val="sdtLocked"/>
                      <w:richText/>
                    </w:sdtPr>
                    <w:sdtContent>
                      <w:r>
                        <w:rPr>
                          <w:color w:val="000000"/>
                          <w:szCs w:val="24"/>
                          <w:lang w:eastAsia="lt-LT"/>
                        </w:rPr>
                        <w:t>11</w:t>
                      </w:r>
                    </w:sdtContent>
                  </w:sdt>
                  <w:r>
                    <w:rPr>
                      <w:color w:val="000000"/>
                      <w:szCs w:val="24"/>
                      <w:lang w:eastAsia="lt-LT"/>
                    </w:rPr>
                    <w:t>. Atsižvelgiant į vertinamų PAASP įstaigų sąraše nurodytų PAASP įstaigų pasiektas PAASP rodiklių reikšmes, skiriami sąlyginiai vienetai:</w:t>
                  </w:r>
                  <w:r>
                    <w:t xml:space="preserve"> </w:t>
                  </w:r>
                </w:p>
                <w:sdt>
                  <w:sdtPr>
                    <w:alias w:val="pr. 11.1 pp."/>
                    <w:tag w:val="part_6aaf28f903dd43c3863d4f8819046169"/>
                    <w:lock w:val="sdtLocked"/>
                    <w:richText/>
                  </w:sdtPr>
                  <w:sdtContent>
                    <w:p>
                      <w:pPr>
                        <w:ind w:firstLine="851"/>
                        <w:jc w:val="both"/>
                        <w:rPr>
                          <w:szCs w:val="24"/>
                          <w:lang w:eastAsia="lt-LT"/>
                        </w:rPr>
                      </w:pPr>
                      <w:sdt>
                        <w:sdtPr>
                          <w:alias w:val="Numeris"/>
                          <w:tag w:val="nr_6aaf28f903dd43c3863d4f8819046169"/>
                          <w:lock w:val="sdtLocked"/>
                          <w:richText/>
                        </w:sdtPr>
                        <w:sdtContent>
                          <w:r>
                            <w:rPr>
                              <w:szCs w:val="24"/>
                              <w:lang w:eastAsia="lt-LT"/>
                            </w:rPr>
                            <w:t>11.1</w:t>
                          </w:r>
                        </w:sdtContent>
                      </w:sdt>
                      <w:r>
                        <w:rPr>
                          <w:szCs w:val="24"/>
                          <w:lang w:eastAsia="lt-LT"/>
                        </w:rPr>
                        <w:t>. PAASP įstaigoms, kurių rodiklio reikšmė yra lygi medianai arba yra vertinamų PAASP įstaigų sąrašo pirmajame trečdalyje nuo medianos iki šio trečdalio ribą atitinkančios reikšmės, skiriamas 1 sąlyginis vienetas;</w:t>
                      </w:r>
                    </w:p>
                  </w:sdtContent>
                </w:sdt>
                <w:sdt>
                  <w:sdtPr>
                    <w:alias w:val="pr. 11.2 pp."/>
                    <w:tag w:val="part_6d93429e89334751997fe2625e291a31"/>
                    <w:lock w:val="sdtLocked"/>
                    <w:richText/>
                  </w:sdtPr>
                  <w:sdtContent>
                    <w:p>
                      <w:pPr>
                        <w:ind w:firstLine="851"/>
                        <w:jc w:val="both"/>
                        <w:rPr>
                          <w:szCs w:val="24"/>
                          <w:lang w:eastAsia="lt-LT"/>
                        </w:rPr>
                      </w:pPr>
                      <w:sdt>
                        <w:sdtPr>
                          <w:alias w:val="Numeris"/>
                          <w:tag w:val="nr_6d93429e89334751997fe2625e291a31"/>
                          <w:lock w:val="sdtLocked"/>
                          <w:richText/>
                        </w:sdtPr>
                        <w:sdtContent>
                          <w:r>
                            <w:rPr>
                              <w:szCs w:val="24"/>
                              <w:lang w:eastAsia="lt-LT"/>
                            </w:rPr>
                            <w:t>11.2</w:t>
                          </w:r>
                        </w:sdtContent>
                      </w:sdt>
                      <w:r>
                        <w:rPr>
                          <w:szCs w:val="24"/>
                          <w:lang w:eastAsia="lt-LT"/>
                        </w:rPr>
                        <w:t>. PAASP įstaigoms, kurių rodiklio reikšmė sutampa su vertinamų PAASP įstaigų sąrašo pirmojo trečdalio riba arba yra antrajame šio sąrašo trečdalyje iki šio trečdalio ribą atitinkančios reikšmės, skiriami 2 sąlyginiai vienetai;</w:t>
                      </w:r>
                    </w:p>
                  </w:sdtContent>
                </w:sdt>
                <w:sdt>
                  <w:sdtPr>
                    <w:alias w:val="pr. 11.3 pp."/>
                    <w:tag w:val="part_0bc751a43ea64341b593b3e67a7224e5"/>
                    <w:lock w:val="sdtLocked"/>
                    <w:richText/>
                  </w:sdtPr>
                  <w:sdtContent>
                    <w:p>
                      <w:pPr>
                        <w:ind w:firstLine="851"/>
                        <w:jc w:val="both"/>
                      </w:pPr>
                      <w:sdt>
                        <w:sdtPr>
                          <w:alias w:val="Numeris"/>
                          <w:tag w:val="nr_0bc751a43ea64341b593b3e67a7224e5"/>
                          <w:lock w:val="sdtLocked"/>
                          <w:richText/>
                        </w:sdtPr>
                        <w:sdtContent>
                          <w:r>
                            <w:rPr>
                              <w:szCs w:val="24"/>
                              <w:lang w:eastAsia="lt-LT"/>
                            </w:rPr>
                            <w:t>11.3</w:t>
                          </w:r>
                        </w:sdtContent>
                      </w:sdt>
                      <w:r>
                        <w:rPr>
                          <w:szCs w:val="24"/>
                          <w:lang w:eastAsia="lt-LT"/>
                        </w:rPr>
                        <w:t>. PAASP įstaigoms, kurių rodiklio reikšmė sutampa su vertinamų PAASP įstaigų sąrašo antrojo trečdalio riba arba yra trečiajame šio sąrašo trečdalyje iki šio trečdalio ribą atitinkančios reikšmės, skiriami 3 sąlyginiai vienetai.</w:t>
                      </w:r>
                    </w:p>
                  </w:sdtContent>
                </w:sdt>
              </w:sdtContent>
            </w:sdt>
            <w:sdt>
              <w:sdtPr>
                <w:alias w:val="pr. 11-1 p."/>
                <w:tag w:val="part_7a61d5e038b940f7a091c51945b0e1dd"/>
                <w:lock w:val="sdtLocked"/>
                <w:richText/>
              </w:sdtPr>
              <w:sdtContent>
                <w:p>
                  <w:pPr>
                    <w:tabs>
                      <w:tab w:val="left" w:pos="0"/>
                      <w:tab w:val="left" w:pos="426"/>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7a61d5e038b940f7a091c51945b0e1dd"/>
                      <w:lock w:val="sdtLocked"/>
                      <w:richText/>
                    </w:sdtPr>
                    <w:sdtContent>
                      <w:r>
                        <w:rPr>
                          <w:szCs w:val="24"/>
                          <w:lang w:eastAsia="lt-LT"/>
                        </w:rPr>
                        <w:t>11</w:t>
                      </w:r>
                      <w:r>
                        <w:rPr>
                          <w:szCs w:val="24"/>
                          <w:vertAlign w:val="superscript"/>
                          <w:lang w:eastAsia="lt-LT"/>
                        </w:rPr>
                        <w:t>1</w:t>
                      </w:r>
                    </w:sdtContent>
                  </w:sdt>
                  <w:r>
                    <w:rPr>
                      <w:szCs w:val="24"/>
                      <w:lang w:eastAsia="lt-LT"/>
                    </w:rPr>
                    <w:t xml:space="preserve">. </w:t>
                  </w:r>
                  <w:r>
                    <w:rPr>
                      <w:szCs w:val="24"/>
                    </w:rPr>
                    <w:t xml:space="preserve">Atrinktų </w:t>
                  </w:r>
                  <w:r>
                    <w:rPr>
                      <w:szCs w:val="24"/>
                      <w:lang w:eastAsia="lt-LT"/>
                    </w:rPr>
                    <w:t xml:space="preserve">PAASP įstaigų </w:t>
                  </w:r>
                  <w:r>
                    <w:rPr>
                      <w:szCs w:val="24"/>
                    </w:rPr>
                    <w:t xml:space="preserve">sąrašas, sudarytas pagal pasiektą rodiklio, </w:t>
                  </w:r>
                  <w:r>
                    <w:t>nurodyto PAASP rodiklių sąrašo 9 punkte,</w:t>
                  </w:r>
                  <w:r>
                    <w:rPr>
                      <w:rFonts w:ascii="Arial" w:hAnsi="Arial" w:cs="Arial"/>
                      <w:color w:val="000000"/>
                      <w:sz w:val="22"/>
                      <w:szCs w:val="22"/>
                    </w:rPr>
                    <w:t xml:space="preserve"> </w:t>
                  </w:r>
                  <w:r>
                    <w:rPr>
                      <w:szCs w:val="24"/>
                    </w:rPr>
                    <w:t>reikšmę (proc.), padalijamas į 4 lygias dalis (kvartiliais).</w:t>
                  </w:r>
                  <w:r>
                    <w:t xml:space="preserve"> </w:t>
                  </w:r>
                </w:p>
                <w:p>
                  <w:pPr>
                    <w:tabs>
                      <w:tab w:val="left" w:pos="0"/>
                      <w:tab w:val="left" w:pos="426"/>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
                    <w:rPr>
                      <w:b/>
                      <w:i/>
                      <w:sz w:val="20"/>
                      <w:lang w:eastAsia="lt-LT"/>
                    </w:rPr>
                    <w:t>TAR pastaba</w:t>
                  </w:r>
                  <w:r>
                    <w:rPr>
                      <w:i/>
                      <w:sz w:val="20"/>
                      <w:lang w:eastAsia="lt-LT"/>
                    </w:rPr>
                    <w:t xml:space="preserve">: pakeitimo  </w:t>
                  </w:r>
                  <w:r>
                    <w:rPr>
                      <w:rFonts w:eastAsia="Calibri"/>
                      <w:i/>
                      <w:color w:val="000000"/>
                      <w:sz w:val="20"/>
                    </w:rPr>
                    <w:t>nuostata taikoma nuo 2023 m. sausio 1 d. atsiskaitant už pirminės ambulatorinės asmens sveikatos priežiūros paslaugas.</w:t>
                  </w:r>
                </w:p>
              </w:sdtContent>
            </w:sdt>
            <w:sdt>
              <w:sdtPr>
                <w:alias w:val="pr. 11-2 p."/>
                <w:tag w:val="part_9bb125497d95459f9e521421e8b95cbc"/>
                <w:lock w:val="sdtLocked"/>
                <w:richText/>
              </w:sdtPr>
              <w:sdtContent>
                <w:p>
                  <w:pPr>
                    <w:ind w:firstLine="806"/>
                    <w:jc w:val="both"/>
                    <w:rPr>
                      <w:szCs w:val="24"/>
                    </w:rPr>
                  </w:pPr>
                  <w:sdt>
                    <w:sdtPr>
                      <w:alias w:val="Numeris"/>
                      <w:tag w:val="nr_9bb125497d95459f9e521421e8b95cbc"/>
                      <w:lock w:val="sdtLocked"/>
                      <w:richText/>
                    </w:sdtPr>
                    <w:sdtContent>
                      <w:r>
                        <w:rPr>
                          <w:szCs w:val="24"/>
                        </w:rPr>
                        <w:t>11</w:t>
                      </w:r>
                      <w:r>
                        <w:rPr>
                          <w:szCs w:val="24"/>
                          <w:vertAlign w:val="superscript"/>
                        </w:rPr>
                        <w:t>2</w:t>
                      </w:r>
                    </w:sdtContent>
                  </w:sdt>
                  <w:r>
                    <w:rPr>
                      <w:szCs w:val="24"/>
                    </w:rPr>
                    <w:t>.</w:t>
                  </w:r>
                  <w:r>
                    <w:rPr>
                      <w:rFonts w:ascii="Arial" w:hAnsi="Arial" w:cs="Arial"/>
                      <w:sz w:val="32"/>
                      <w:szCs w:val="32"/>
                    </w:rPr>
                    <w:t xml:space="preserve"> </w:t>
                  </w:r>
                  <w:r>
                    <w:rPr>
                      <w:szCs w:val="24"/>
                    </w:rPr>
                    <w:t xml:space="preserve">Atsižvelgiant į PAASP įstaigų pasiektas rodiklio, </w:t>
                  </w:r>
                  <w:r>
                    <w:t>nurodyto PAASP rodiklių sąrašo 9 punkte,</w:t>
                  </w:r>
                  <w:r>
                    <w:rPr>
                      <w:rFonts w:ascii="Arial" w:hAnsi="Arial" w:cs="Arial"/>
                      <w:color w:val="000000"/>
                      <w:sz w:val="22"/>
                      <w:szCs w:val="22"/>
                    </w:rPr>
                    <w:t xml:space="preserve"> </w:t>
                  </w:r>
                  <w:r>
                    <w:rPr>
                      <w:szCs w:val="24"/>
                    </w:rPr>
                    <w:t>reikšmes, skiriami sąlyginiai vienetai:</w:t>
                  </w:r>
                </w:p>
                <w:sdt>
                  <w:sdtPr>
                    <w:alias w:val="pr. 11-2.1 pp."/>
                    <w:tag w:val="part_7c63559238a14defb0a9042086a4d11a"/>
                    <w:lock w:val="sdtLocked"/>
                    <w:richText/>
                  </w:sdtPr>
                  <w:sdtContent>
                    <w:p>
                      <w:pPr>
                        <w:ind w:firstLine="720"/>
                        <w:jc w:val="both"/>
                        <w:rPr>
                          <w:szCs w:val="24"/>
                          <w:lang w:eastAsia="lt-LT"/>
                        </w:rPr>
                      </w:pPr>
                      <w:sdt>
                        <w:sdtPr>
                          <w:alias w:val="Numeris"/>
                          <w:tag w:val="nr_7c63559238a14defb0a9042086a4d11a"/>
                          <w:lock w:val="sdtLocked"/>
                          <w:richText/>
                        </w:sdtPr>
                        <w:sdtContent>
                          <w:r>
                            <w:rPr>
                              <w:szCs w:val="24"/>
                              <w:lang w:eastAsia="lt-LT"/>
                            </w:rPr>
                            <w:t>11</w:t>
                          </w:r>
                          <w:r>
                            <w:rPr>
                              <w:szCs w:val="24"/>
                              <w:vertAlign w:val="superscript"/>
                              <w:lang w:eastAsia="lt-LT"/>
                            </w:rPr>
                            <w:t>2</w:t>
                          </w:r>
                          <w:r>
                            <w:rPr>
                              <w:szCs w:val="24"/>
                              <w:lang w:eastAsia="lt-LT"/>
                            </w:rPr>
                            <w:t>.1</w:t>
                          </w:r>
                        </w:sdtContent>
                      </w:sdt>
                      <w:r>
                        <w:rPr>
                          <w:szCs w:val="24"/>
                          <w:lang w:eastAsia="lt-LT"/>
                        </w:rPr>
                        <w:t xml:space="preserve">. PAASP įstaigoms, kurių pasiekta rodiklio reikšmė sutampa su vertinamų psichikos sveikatos centrų pirmojo kvartilio </w:t>
                      </w:r>
                      <w:r>
                        <w:rPr>
                          <w:szCs w:val="24"/>
                        </w:rPr>
                        <w:t>riba arba kurios yra šio sąrašo</w:t>
                      </w:r>
                      <w:r>
                        <w:rPr>
                          <w:szCs w:val="24"/>
                          <w:lang w:eastAsia="lt-LT"/>
                        </w:rPr>
                        <w:t xml:space="preserve"> </w:t>
                      </w:r>
                      <w:r>
                        <w:rPr>
                          <w:rFonts w:eastAsia="Calibri"/>
                          <w:szCs w:val="24"/>
                          <w:lang w:eastAsia="lt-LT"/>
                        </w:rPr>
                        <w:t>antrojoje</w:t>
                      </w:r>
                      <w:r>
                        <w:rPr>
                          <w:szCs w:val="24"/>
                          <w:lang w:eastAsia="lt-LT"/>
                        </w:rPr>
                        <w:t xml:space="preserve"> dalyje (nuo pirmojo kvartilio ribos iki antrojo kvartilio ribos), skiriamas 1 sąlyginis vienetas;</w:t>
                      </w:r>
                    </w:p>
                  </w:sdtContent>
                </w:sdt>
                <w:sdt>
                  <w:sdtPr>
                    <w:alias w:val="pr. 11-2.2 pp."/>
                    <w:tag w:val="part_ddfa45bcb2454970a5bbc16d78494e54"/>
                    <w:lock w:val="sdtLocked"/>
                    <w:richText/>
                  </w:sdtPr>
                  <w:sdtContent>
                    <w:p>
                      <w:pPr>
                        <w:ind w:firstLine="720"/>
                        <w:jc w:val="both"/>
                        <w:rPr>
                          <w:rFonts w:eastAsia="Calibri"/>
                          <w:szCs w:val="24"/>
                          <w:lang w:eastAsia="lt-LT"/>
                        </w:rPr>
                      </w:pPr>
                      <w:sdt>
                        <w:sdtPr>
                          <w:alias w:val="Numeris"/>
                          <w:tag w:val="nr_ddfa45bcb2454970a5bbc16d78494e54"/>
                          <w:lock w:val="sdtLocked"/>
                          <w:richText/>
                        </w:sdtPr>
                        <w:sdtContent>
                          <w:r>
                            <w:rPr>
                              <w:rFonts w:eastAsia="Calibri"/>
                              <w:szCs w:val="24"/>
                              <w:lang w:eastAsia="lt-LT"/>
                            </w:rPr>
                            <w:t>11</w:t>
                          </w:r>
                          <w:r>
                            <w:rPr>
                              <w:rFonts w:eastAsia="Calibri"/>
                              <w:szCs w:val="24"/>
                              <w:vertAlign w:val="superscript"/>
                              <w:lang w:eastAsia="lt-LT"/>
                            </w:rPr>
                            <w:t>2</w:t>
                          </w:r>
                          <w:r>
                            <w:rPr>
                              <w:rFonts w:eastAsia="Calibri"/>
                              <w:szCs w:val="24"/>
                              <w:lang w:eastAsia="lt-LT"/>
                            </w:rPr>
                            <w:t>.2</w:t>
                          </w:r>
                        </w:sdtContent>
                      </w:sdt>
                      <w:r>
                        <w:rPr>
                          <w:rFonts w:eastAsia="Calibri"/>
                          <w:szCs w:val="24"/>
                          <w:lang w:eastAsia="lt-LT"/>
                        </w:rPr>
                        <w:t>.  PAASP įstaigoms, kurių pasiekta rodiklio reikšmė sutampa su vertinamų psichikos sveikatos centrų sąrašo antrojo kvartilio riba arba kurios yra šio sąrašo trečiojoje dalyje (nuo antrojo kvartilio ribos iki trečiojo kvartilio ribos), skiriami 2 sąlyginiai vienetai;</w:t>
                      </w:r>
                    </w:p>
                  </w:sdtContent>
                </w:sdt>
                <w:sdt>
                  <w:sdtPr>
                    <w:alias w:val="pr. 11-2.3 pp."/>
                    <w:tag w:val="part_a8c6d2a5afec4d858eeba3cbfa0be3d2"/>
                    <w:lock w:val="sdtLocked"/>
                    <w:richText/>
                  </w:sdtPr>
                  <w:sdtContent>
                    <w:p>
                      <w:pPr>
                        <w:ind w:firstLine="720"/>
                        <w:jc w:val="both"/>
                      </w:pPr>
                      <w:sdt>
                        <w:sdtPr>
                          <w:alias w:val="Numeris"/>
                          <w:tag w:val="nr_a8c6d2a5afec4d858eeba3cbfa0be3d2"/>
                          <w:lock w:val="sdtLocked"/>
                          <w:richText/>
                        </w:sdtPr>
                        <w:sdtContent>
                          <w:r>
                            <w:rPr>
                              <w:szCs w:val="24"/>
                              <w:lang w:eastAsia="lt-LT"/>
                            </w:rPr>
                            <w:t>11</w:t>
                          </w:r>
                          <w:r>
                            <w:rPr>
                              <w:szCs w:val="24"/>
                              <w:vertAlign w:val="superscript"/>
                              <w:lang w:eastAsia="lt-LT"/>
                            </w:rPr>
                            <w:t>2</w:t>
                          </w:r>
                          <w:r>
                            <w:rPr>
                              <w:szCs w:val="24"/>
                              <w:lang w:eastAsia="lt-LT"/>
                            </w:rPr>
                            <w:t>.3</w:t>
                          </w:r>
                        </w:sdtContent>
                      </w:sdt>
                      <w:r>
                        <w:rPr>
                          <w:szCs w:val="24"/>
                          <w:lang w:eastAsia="lt-LT"/>
                        </w:rPr>
                        <w:t xml:space="preserve">. PAASP įstaigoms, kurių pasiekta rodiklio reikšmė sutampa su vertinamų psichikos sveikatos centrų sąrašo trečiojo kvartilio riba arba kurios yra </w:t>
                      </w:r>
                      <w:r>
                        <w:rPr>
                          <w:rFonts w:eastAsia="Calibri"/>
                          <w:szCs w:val="24"/>
                          <w:lang w:eastAsia="lt-LT"/>
                        </w:rPr>
                        <w:t xml:space="preserve">šio sąrašo </w:t>
                      </w:r>
                      <w:r>
                        <w:rPr>
                          <w:szCs w:val="24"/>
                          <w:lang w:eastAsia="lt-LT"/>
                        </w:rPr>
                        <w:t>ketvirtojoje dalyje (</w:t>
                      </w:r>
                      <w:r>
                        <w:rPr>
                          <w:rFonts w:eastAsia="Calibri"/>
                          <w:szCs w:val="24"/>
                          <w:lang w:eastAsia="lt-LT"/>
                        </w:rPr>
                        <w:t>nuo trečiojo</w:t>
                      </w:r>
                      <w:r>
                        <w:rPr>
                          <w:szCs w:val="24"/>
                          <w:lang w:eastAsia="lt-LT"/>
                        </w:rPr>
                        <w:t xml:space="preserve"> kvartilio </w:t>
                      </w:r>
                      <w:r>
                        <w:rPr>
                          <w:rFonts w:eastAsia="Calibri"/>
                          <w:szCs w:val="24"/>
                          <w:lang w:eastAsia="lt-LT"/>
                        </w:rPr>
                        <w:t>ribos iki maksimalios ribos</w:t>
                      </w:r>
                      <w:r>
                        <w:rPr>
                          <w:szCs w:val="24"/>
                          <w:lang w:eastAsia="lt-LT"/>
                        </w:rPr>
                        <w:t>), skiriami 3 sąlyginiai vienetai.</w:t>
                      </w:r>
                      <w:r>
                        <w:t xml:space="preserve"> </w:t>
                      </w:r>
                    </w:p>
                    <w:p>
                      <w:pPr>
                        <w:jc w:val="both"/>
                        <w:rPr>
                          <w:sz w:val="20"/>
                        </w:rPr>
                      </w:pPr>
                      <w:r>
                        <w:rPr>
                          <w:b/>
                          <w:i/>
                          <w:sz w:val="20"/>
                          <w:lang w:eastAsia="lt-LT"/>
                        </w:rPr>
                        <w:t>TAR pastaba</w:t>
                      </w:r>
                      <w:r>
                        <w:rPr>
                          <w:i/>
                          <w:sz w:val="20"/>
                          <w:lang w:eastAsia="lt-LT"/>
                        </w:rPr>
                        <w:t xml:space="preserve">: pakeitimo  </w:t>
                      </w:r>
                      <w:r>
                        <w:rPr>
                          <w:rFonts w:eastAsia="Calibri"/>
                          <w:i/>
                          <w:color w:val="000000"/>
                          <w:sz w:val="20"/>
                        </w:rPr>
                        <w:t>nuostata taikoma nuo 2023 m. sausio 1 d. atsiskaitant už pirminės ambulatorinės asmens sveikatos priežiūros paslaugas</w:t>
                      </w:r>
                    </w:p>
                  </w:sdtContent>
                </w:sdt>
              </w:sdtContent>
            </w:sdt>
          </w:sdtContent>
        </w:sdt>
        <w:sdt>
          <w:sdtPr>
            <w:alias w:val="skyrius"/>
            <w:tag w:val="part_851595eb54314e638032c4ffd2db47fe"/>
            <w:lock w:val="sdtLocked"/>
            <w:richText/>
          </w:sdtPr>
          <w:sdtContent>
            <w:p>
              <w:pPr>
                <w:ind w:firstLine="720"/>
                <w:jc w:val="center"/>
                <w:rPr>
                  <w:b/>
                  <w:bCs/>
                  <w:szCs w:val="24"/>
                  <w:lang w:eastAsia="lt-LT"/>
                </w:rPr>
              </w:pPr>
              <w:sdt>
                <w:sdtPr>
                  <w:alias w:val="Numeris"/>
                  <w:tag w:val="nr_851595eb54314e638032c4ffd2db47fe"/>
                  <w:lock w:val="sdtLocked"/>
                  <w:richText/>
                </w:sdtPr>
                <w:sdtContent>
                  <w:r>
                    <w:rPr>
                      <w:b/>
                      <w:bCs/>
                      <w:szCs w:val="24"/>
                      <w:lang w:eastAsia="lt-LT"/>
                    </w:rPr>
                    <w:t>III</w:t>
                  </w:r>
                </w:sdtContent>
              </w:sdt>
              <w:r>
                <w:rPr>
                  <w:b/>
                  <w:bCs/>
                  <w:szCs w:val="24"/>
                  <w:lang w:eastAsia="lt-LT"/>
                </w:rPr>
                <w:t xml:space="preserve"> SKYRIUS</w:t>
              </w:r>
            </w:p>
            <w:p>
              <w:pPr>
                <w:jc w:val="center"/>
                <w:rPr>
                  <w:b/>
                  <w:bCs/>
                  <w:szCs w:val="24"/>
                  <w:lang w:eastAsia="lt-LT"/>
                </w:rPr>
              </w:pPr>
              <w:sdt>
                <w:sdtPr>
                  <w:alias w:val="Pavadinimas"/>
                  <w:tag w:val="title_851595eb54314e638032c4ffd2db47fe"/>
                  <w:lock w:val="sdtLocked"/>
                  <w:richText/>
                </w:sdtPr>
                <w:sdtContent>
                  <w:r>
                    <w:rPr>
                      <w:b/>
                      <w:bCs/>
                      <w:szCs w:val="24"/>
                      <w:lang w:eastAsia="lt-LT"/>
                    </w:rPr>
                    <w:t>PAASP RODIKLIŲ SĄRAŠAS IR PAASP RODIKLIŲ REIKŠMIŲ SKAIČIAVIMO TAISYKLĖS</w:t>
                  </w:r>
                </w:sdtContent>
              </w:sdt>
            </w:p>
            <w:p>
              <w:pPr>
                <w:ind w:firstLine="851"/>
                <w:rPr>
                  <w:rFonts w:eastAsia="Calibri"/>
                  <w:szCs w:val="24"/>
                </w:rPr>
              </w:pPr>
            </w:p>
            <w:sdt>
              <w:sdtPr>
                <w:alias w:val="pr. 12 p."/>
                <w:tag w:val="part_d097dbba15664efab85b8a1ba9c7ad93"/>
                <w:lock w:val="sdtLocked"/>
                <w:richText/>
              </w:sdtPr>
              <w:sdtContent>
                <w:p>
                  <w:pPr>
                    <w:ind w:firstLine="851"/>
                    <w:rPr>
                      <w:rFonts w:eastAsia="Calibri"/>
                      <w:szCs w:val="24"/>
                    </w:rPr>
                  </w:pPr>
                  <w:sdt>
                    <w:sdtPr>
                      <w:alias w:val="Numeris"/>
                      <w:tag w:val="nr_d097dbba15664efab85b8a1ba9c7ad93"/>
                      <w:lock w:val="sdtLocked"/>
                      <w:richText/>
                    </w:sdtPr>
                    <w:sdtContent>
                      <w:r>
                        <w:rPr>
                          <w:rFonts w:eastAsia="Calibri"/>
                          <w:szCs w:val="24"/>
                        </w:rPr>
                        <w:t>12</w:t>
                      </w:r>
                    </w:sdtContent>
                  </w:sdt>
                  <w:r>
                    <w:rPr>
                      <w:rFonts w:eastAsia="Calibri"/>
                      <w:szCs w:val="24"/>
                    </w:rPr>
                    <w:t>. PAASP rodiklių sąrašas ir PAASP rodiklių reikšmių skaičiavimo taisyklės: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1260"/>
                    <w:gridCol w:w="589"/>
                    <w:gridCol w:w="10"/>
                    <w:gridCol w:w="2320"/>
                    <w:gridCol w:w="3002"/>
                    <w:gridCol w:w="67"/>
                    <w:gridCol w:w="61"/>
                    <w:gridCol w:w="1969"/>
                  </w:tblGrid>
                  <w:tr>
                    <w:tc>
                      <w:tcPr>
                        <w:tcW w:w="292" w:type="pct"/>
                      </w:tcPr>
                      <w:p>
                        <w:pPr>
                          <w:jc w:val="center"/>
                          <w:rPr>
                            <w:rFonts w:eastAsia="Calibri"/>
                            <w:b/>
                            <w:bCs/>
                            <w:szCs w:val="24"/>
                          </w:rPr>
                        </w:pPr>
                        <w:r>
                          <w:rPr>
                            <w:rFonts w:eastAsia="Calibri"/>
                            <w:b/>
                            <w:bCs/>
                            <w:szCs w:val="24"/>
                          </w:rPr>
                          <w:t>Eil. Nr.</w:t>
                        </w:r>
                      </w:p>
                    </w:tc>
                    <w:tc>
                      <w:tcPr>
                        <w:tcW w:w="939" w:type="pct"/>
                        <w:gridSpan w:val="2"/>
                      </w:tcPr>
                      <w:p>
                        <w:pPr>
                          <w:jc w:val="center"/>
                          <w:rPr>
                            <w:rFonts w:eastAsia="Calibri"/>
                            <w:b/>
                            <w:bCs/>
                            <w:szCs w:val="24"/>
                          </w:rPr>
                        </w:pPr>
                        <w:r>
                          <w:rPr>
                            <w:rFonts w:eastAsia="Calibri"/>
                            <w:b/>
                            <w:bCs/>
                            <w:szCs w:val="24"/>
                          </w:rPr>
                          <w:t>Rodiklio pavadinimas</w:t>
                        </w:r>
                      </w:p>
                    </w:tc>
                    <w:tc>
                      <w:tcPr>
                        <w:tcW w:w="1182" w:type="pct"/>
                        <w:gridSpan w:val="2"/>
                      </w:tcPr>
                      <w:p>
                        <w:pPr>
                          <w:jc w:val="center"/>
                          <w:rPr>
                            <w:rFonts w:eastAsia="Calibri"/>
                            <w:b/>
                            <w:bCs/>
                            <w:szCs w:val="24"/>
                          </w:rPr>
                        </w:pPr>
                        <w:r>
                          <w:rPr>
                            <w:rFonts w:eastAsia="Calibri"/>
                            <w:b/>
                            <w:bCs/>
                            <w:szCs w:val="24"/>
                          </w:rPr>
                          <w:t>Taisyklės aprašymas</w:t>
                        </w:r>
                      </w:p>
                    </w:tc>
                    <w:tc>
                      <w:tcPr>
                        <w:tcW w:w="1557" w:type="pct"/>
                        <w:gridSpan w:val="2"/>
                      </w:tcPr>
                      <w:p>
                        <w:pPr>
                          <w:jc w:val="center"/>
                          <w:rPr>
                            <w:rFonts w:eastAsia="Calibri"/>
                            <w:b/>
                            <w:bCs/>
                            <w:szCs w:val="24"/>
                          </w:rPr>
                        </w:pPr>
                        <w:r>
                          <w:rPr>
                            <w:rFonts w:eastAsia="Calibri"/>
                            <w:b/>
                            <w:bCs/>
                            <w:szCs w:val="24"/>
                          </w:rPr>
                          <w:t>Vardiklis</w:t>
                        </w:r>
                      </w:p>
                      <w:p>
                        <w:pPr>
                          <w:jc w:val="center"/>
                          <w:rPr>
                            <w:rFonts w:eastAsia="Calibri"/>
                            <w:b/>
                            <w:bCs/>
                            <w:szCs w:val="24"/>
                          </w:rPr>
                        </w:pPr>
                        <w:r>
                          <w:rPr>
                            <w:rFonts w:eastAsia="Calibri"/>
                            <w:b/>
                            <w:bCs/>
                            <w:szCs w:val="24"/>
                          </w:rPr>
                          <w:t>(tikslinė grupė)</w:t>
                        </w:r>
                      </w:p>
                    </w:tc>
                    <w:tc>
                      <w:tcPr>
                        <w:tcW w:w="1029" w:type="pct"/>
                        <w:gridSpan w:val="2"/>
                      </w:tcPr>
                      <w:p>
                        <w:pPr>
                          <w:ind w:firstLine="62"/>
                          <w:jc w:val="center"/>
                          <w:rPr>
                            <w:rFonts w:eastAsia="Calibri"/>
                            <w:b/>
                            <w:bCs/>
                            <w:szCs w:val="24"/>
                          </w:rPr>
                        </w:pPr>
                        <w:r>
                          <w:rPr>
                            <w:rFonts w:eastAsia="Calibri"/>
                            <w:b/>
                            <w:bCs/>
                            <w:szCs w:val="24"/>
                          </w:rPr>
                          <w:t>Skaitiklis</w:t>
                        </w:r>
                      </w:p>
                    </w:tc>
                  </w:tr>
                  <w:tr>
                    <w:tc>
                      <w:tcPr>
                        <w:tcW w:w="932" w:type="pct"/>
                        <w:gridSpan w:val="2"/>
                      </w:tcPr>
                      <w:p>
                        <w:pPr>
                          <w:rPr>
                            <w:rFonts w:eastAsia="Calibri"/>
                            <w:b/>
                            <w:bCs/>
                            <w:szCs w:val="24"/>
                          </w:rPr>
                        </w:pPr>
                      </w:p>
                    </w:tc>
                    <w:tc>
                      <w:tcPr>
                        <w:tcW w:w="4068" w:type="pct"/>
                        <w:gridSpan w:val="7"/>
                      </w:tcPr>
                      <w:p>
                        <w:pPr>
                          <w:rPr>
                            <w:rFonts w:eastAsia="Calibri"/>
                            <w:szCs w:val="24"/>
                            <w:lang w:eastAsia="lt-LT"/>
                          </w:rPr>
                        </w:pPr>
                        <w:r>
                          <w:rPr>
                            <w:rFonts w:eastAsia="Calibri"/>
                            <w:b/>
                            <w:bCs/>
                            <w:szCs w:val="24"/>
                          </w:rPr>
                          <w:t>Pirminės ambulatorinės asmens sveikatos priežiūros šeimos gydytojo komandos teikiamų paslaugų rodikliai</w:t>
                        </w:r>
                        <w:r>
                          <w:rPr>
                            <w:rFonts w:eastAsia="Calibri"/>
                            <w:szCs w:val="24"/>
                            <w:lang w:eastAsia="lt-LT"/>
                          </w:rPr>
                          <w:t xml:space="preserve"> </w:t>
                        </w:r>
                      </w:p>
                    </w:tc>
                  </w:tr>
                  <w:tr>
                    <w:tc>
                      <w:tcPr>
                        <w:tcW w:w="292"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1.</w:t>
                        </w:r>
                      </w:p>
                    </w:tc>
                    <w:tc>
                      <w:tcPr>
                        <w:tcW w:w="939" w:type="pct"/>
                        <w:gridSpan w:val="2"/>
                        <w:tcBorders>
                          <w:top w:val="single" w:sz="4" w:space="0" w:color="auto"/>
                          <w:left w:val="single" w:sz="4" w:space="0" w:color="auto"/>
                          <w:bottom w:val="single" w:sz="4" w:space="0" w:color="auto"/>
                          <w:right w:val="single" w:sz="4" w:space="0" w:color="auto"/>
                        </w:tcBorders>
                      </w:tcPr>
                      <w:p>
                        <w:pPr>
                          <w:rPr>
                            <w:rFonts w:eastAsia="Calibri"/>
                            <w:szCs w:val="24"/>
                            <w:highlight w:val="yellow"/>
                            <w:lang w:eastAsia="lt-LT"/>
                          </w:rPr>
                        </w:pPr>
                        <w:r>
                          <w:rPr>
                            <w:rFonts w:eastAsia="Calibri"/>
                            <w:szCs w:val="24"/>
                            <w:lang w:eastAsia="lt-LT"/>
                          </w:rPr>
                          <w:t>Vyresnių nei 65 metų asmenų skiepijimas gripo vakcina</w:t>
                        </w:r>
                      </w:p>
                    </w:tc>
                    <w:tc>
                      <w:tcPr>
                        <w:tcW w:w="1182" w:type="pct"/>
                        <w:gridSpan w:val="2"/>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Apskaičiuojama, kokią prirašytų prie PAASP įstaigos asmenų, vyresnių nei 65 metų, dalį sudaro asmenys, kurie per ataskaitinį laikotarpį buvo paskiepyti gripo vakcina (neatsižvelgiama į tai, ar šiems asmenims buvo suteikta PSDF biudžeto lėšomis apmokama paslauga, ar mokama paslauga)</w:t>
                        </w:r>
                      </w:p>
                    </w:tc>
                    <w:tc>
                      <w:tcPr>
                        <w:tcW w:w="1557"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lang w:eastAsia="lt-LT"/>
                          </w:rPr>
                        </w:pPr>
                        <w:r>
                          <w:rPr>
                            <w:rFonts w:eastAsia="Calibri"/>
                            <w:color w:val="000000"/>
                            <w:szCs w:val="24"/>
                            <w:lang w:eastAsia="lt-LT"/>
                          </w:rPr>
                          <w:t>Bendras prirašytų prie PAASP įstaigos asmenų, vyresnių nei</w:t>
                        </w:r>
                        <w:r>
                          <w:rPr>
                            <w:rFonts w:eastAsia="Calibri"/>
                            <w:szCs w:val="24"/>
                          </w:rPr>
                          <w:t xml:space="preserve"> 65 metų</w:t>
                        </w:r>
                        <w:r>
                          <w:rPr>
                            <w:rFonts w:eastAsia="Calibri"/>
                            <w:color w:val="000000"/>
                            <w:szCs w:val="24"/>
                            <w:lang w:eastAsia="lt-LT"/>
                          </w:rPr>
                          <w:t>, skaičius.</w:t>
                        </w: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r>
                          <w:rPr>
                            <w:rFonts w:eastAsia="Calibri"/>
                            <w:szCs w:val="24"/>
                          </w:rPr>
                          <w:t>Imami PAASP įstaigos duomenys apie visus prie šios įstaigos prirašytus vyresnius nei 65 metų apdraustuosius privalomuoju sveikatos draudimu (toliau – apdraustieji).*</w:t>
                        </w:r>
                      </w:p>
                    </w:tc>
                    <w:tc>
                      <w:tcPr>
                        <w:tcW w:w="1029" w:type="pct"/>
                        <w:gridSpan w:val="2"/>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 xml:space="preserve">Vyresnių nei 65 metų asmenų, kuriems per kalendorinius metus buvo suteikta bent viena iš paslaugų, žymimų pagal Asmens sveikatos priežiūros paslaugų ir sveikatos programose numatytų paslaugų, už kurias mokama iš PSDF biudžeto, klasifikatorių, </w:t>
                        </w:r>
                        <w:r>
                          <w:rPr>
                            <w:rFonts w:eastAsia="Calibri"/>
                            <w:color w:val="000000"/>
                            <w:szCs w:val="24"/>
                          </w:rPr>
                          <w:t>patvirtintą Valstybinės ligonių kasos prie Sveikatos apsaugos ministerijos direktoriaus 2005 m. birželio 30 d. įsakymu Nr. 1K-81 „Dėl Asmens sveikatos priežiūros paslaugų ir sveikatos programose numatytų paslaugų, už kurias mokama iš Privalomojo sveikatos draudimo fondo biudžeto, klasifikatoriaus patvirtinimo“</w:t>
                        </w:r>
                        <w:r>
                          <w:rPr>
                            <w:rFonts w:eastAsia="Calibri"/>
                            <w:szCs w:val="24"/>
                          </w:rPr>
                          <w:t xml:space="preserve"> (toliau – Klasifikatorius), kodu 4476 arba 4360 (kai skiepijama gripo vakcina), skaičius.</w:t>
                        </w:r>
                      </w:p>
                      <w:p>
                        <w:pPr>
                          <w:rPr>
                            <w:rFonts w:eastAsia="Calibri"/>
                            <w:szCs w:val="24"/>
                          </w:rPr>
                        </w:pPr>
                      </w:p>
                      <w:p>
                        <w:pPr>
                          <w:rPr>
                            <w:rFonts w:eastAsia="Calibri"/>
                            <w:szCs w:val="24"/>
                          </w:rPr>
                        </w:pPr>
                        <w:r>
                          <w:rPr>
                            <w:rFonts w:eastAsia="Calibri"/>
                            <w:szCs w:val="24"/>
                          </w:rPr>
                          <w:t>Imami duomenys apie visas paslaugas, pagal Klasifikatorių žymimas kodu 4476 arba 4360 (kai skiepijama gripo vakcina), neatsižvelgiant į tai, ar paslauga buvo apmokėta PSDF biudžeto lėšomis, ar asmuo už ją mokėjo pats.</w:t>
                        </w:r>
                      </w:p>
                    </w:tc>
                  </w:tr>
                  <w:tr>
                    <w:tc>
                      <w:tcPr>
                        <w:tcW w:w="292" w:type="pct"/>
                      </w:tcPr>
                      <w:p>
                        <w:pPr>
                          <w:rPr>
                            <w:rFonts w:eastAsia="Calibri"/>
                            <w:szCs w:val="24"/>
                          </w:rPr>
                        </w:pPr>
                        <w:r>
                          <w:rPr>
                            <w:rFonts w:eastAsia="Calibri"/>
                            <w:szCs w:val="24"/>
                          </w:rPr>
                          <w:t>2.</w:t>
                        </w:r>
                      </w:p>
                    </w:tc>
                    <w:tc>
                      <w:tcPr>
                        <w:tcW w:w="939" w:type="pct"/>
                        <w:gridSpan w:val="2"/>
                        <w:tcBorders>
                          <w:bottom w:val="single" w:sz="4" w:space="0" w:color="auto"/>
                        </w:tcBorders>
                      </w:tcPr>
                      <w:p>
                        <w:pPr>
                          <w:rPr>
                            <w:sz w:val="8"/>
                            <w:szCs w:val="8"/>
                          </w:rPr>
                        </w:pPr>
                      </w:p>
                      <w:p>
                        <w:pPr>
                          <w:rPr>
                            <w:rFonts w:eastAsia="Calibri"/>
                            <w:szCs w:val="24"/>
                            <w:lang w:eastAsia="lt-LT"/>
                          </w:rPr>
                        </w:pPr>
                        <w:r>
                          <w:rPr>
                            <w:rFonts w:eastAsia="Calibri"/>
                            <w:szCs w:val="24"/>
                            <w:lang w:eastAsia="lt-LT"/>
                          </w:rPr>
                          <w:t>Vaikų profilaktinių tikrinimų intensyvumas</w:t>
                        </w:r>
                      </w:p>
                      <w:p>
                        <w:pPr>
                          <w:rPr>
                            <w:rFonts w:eastAsia="Calibri"/>
                            <w:szCs w:val="24"/>
                            <w:lang w:eastAsia="lt-LT"/>
                          </w:rPr>
                        </w:pPr>
                      </w:p>
                      <w:p>
                        <w:pPr>
                          <w:rPr>
                            <w:rFonts w:eastAsia="Calibri"/>
                            <w:i/>
                            <w:sz w:val="18"/>
                            <w:szCs w:val="18"/>
                            <w:highlight w:val="yellow"/>
                            <w:lang w:eastAsia="lt-LT"/>
                          </w:rPr>
                        </w:pPr>
                        <w:r>
                          <w:rPr>
                            <w:rFonts w:eastAsia="Calibri"/>
                            <w:i/>
                            <w:sz w:val="18"/>
                            <w:szCs w:val="18"/>
                            <w:lang w:eastAsia="lt-LT"/>
                          </w:rPr>
                          <w:t>(Punkto redakcija iki 2027-01-01)</w:t>
                        </w:r>
                      </w:p>
                    </w:tc>
                    <w:tc>
                      <w:tcPr>
                        <w:tcW w:w="1182" w:type="pct"/>
                        <w:gridSpan w:val="2"/>
                        <w:tcBorders>
                          <w:bottom w:val="single" w:sz="4" w:space="0" w:color="auto"/>
                        </w:tcBorders>
                      </w:tcPr>
                      <w:p>
                        <w:pPr>
                          <w:rPr>
                            <w:rFonts w:eastAsia="Calibri"/>
                            <w:szCs w:val="24"/>
                            <w:lang w:eastAsia="lt-LT"/>
                          </w:rPr>
                        </w:pPr>
                        <w:r>
                          <w:rPr>
                            <w:rFonts w:eastAsia="Calibri"/>
                            <w:szCs w:val="24"/>
                          </w:rPr>
                          <w:t xml:space="preserve">Apskaičiuojama, kokią  prirašytų prie  PAASP įstaigos asmenų iki 18 metų dalį sudaro asmenys, kuriems bent vieną kartą per metus buvo suteikta šeimos gydytojo ar vaikų ligų gydytojo (dirbančio gydytojų komandoje), teikiančio PAASP paslaugas, profilaktinio asmens sveikatos tikrinimo paslauga.</w:t>
                        </w:r>
                      </w:p>
                    </w:tc>
                    <w:tc>
                      <w:tcPr>
                        <w:tcW w:w="1557" w:type="pct"/>
                        <w:gridSpan w:val="2"/>
                        <w:tcBorders>
                          <w:bottom w:val="single" w:sz="4" w:space="0" w:color="auto"/>
                        </w:tcBorders>
                      </w:tcPr>
                      <w:p>
                        <w:pPr>
                          <w:rPr>
                            <w:rFonts w:eastAsia="Calibri"/>
                            <w:color w:val="000000"/>
                            <w:szCs w:val="24"/>
                            <w:lang w:eastAsia="lt-LT"/>
                          </w:rPr>
                        </w:pPr>
                        <w:r>
                          <w:rPr>
                            <w:rFonts w:eastAsia="Calibri"/>
                            <w:color w:val="000000"/>
                            <w:szCs w:val="24"/>
                            <w:lang w:eastAsia="lt-LT"/>
                          </w:rPr>
                          <w:t>Bendras prirašytų prie PAASP įstaigos asmenų iki 18 metų skaičius.</w:t>
                        </w: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r>
                          <w:rPr>
                            <w:rFonts w:eastAsia="Calibri"/>
                            <w:color w:val="000000"/>
                            <w:szCs w:val="24"/>
                          </w:rPr>
                          <w:t>Imami duomenys apie visus prirašytus prie PAASP įstaigos vaikus.*</w:t>
                        </w:r>
                      </w:p>
                      <w:p>
                        <w:pPr>
                          <w:rPr>
                            <w:rFonts w:eastAsia="Calibri"/>
                            <w:color w:val="000000"/>
                            <w:szCs w:val="24"/>
                            <w:lang w:eastAsia="lt-LT"/>
                          </w:rPr>
                        </w:pPr>
                      </w:p>
                      <w:p>
                        <w:pPr>
                          <w:ind w:firstLine="782"/>
                          <w:rPr>
                            <w:rFonts w:eastAsia="Calibri"/>
                            <w:color w:val="000000"/>
                            <w:szCs w:val="24"/>
                            <w:lang w:eastAsia="lt-LT"/>
                          </w:rPr>
                        </w:pPr>
                      </w:p>
                    </w:tc>
                    <w:tc>
                      <w:tcPr>
                        <w:tcW w:w="1029" w:type="pct"/>
                        <w:gridSpan w:val="2"/>
                        <w:tcBorders>
                          <w:bottom w:val="single" w:sz="4" w:space="0" w:color="auto"/>
                        </w:tcBorders>
                      </w:tcPr>
                      <w:p>
                        <w:pPr>
                          <w:rPr>
                            <w:rFonts w:eastAsia="Calibri"/>
                            <w:color w:val="000000"/>
                            <w:szCs w:val="24"/>
                            <w:lang w:eastAsia="lt-LT"/>
                          </w:rPr>
                        </w:pPr>
                        <w:r>
                          <w:rPr>
                            <w:rFonts w:eastAsia="Calibri"/>
                            <w:color w:val="000000"/>
                            <w:szCs w:val="24"/>
                            <w:lang w:eastAsia="lt-LT"/>
                          </w:rPr>
                          <w:t xml:space="preserve">Prirašytų prie PAASP įstaigos asmenų iki 18 metų, kuriems per kalendorinius metus buvo suteikta bent viena iš paslaugų, </w:t>
                        </w:r>
                        <w:r>
                          <w:rPr>
                            <w:rFonts w:eastAsia="Calibri"/>
                            <w:szCs w:val="24"/>
                          </w:rPr>
                          <w:t>pagal</w:t>
                        </w:r>
                        <w:r>
                          <w:rPr>
                            <w:rFonts w:ascii="Arial" w:eastAsia="Calibri" w:hAnsi="Arial" w:cs="Arial"/>
                            <w:color w:val="000000"/>
                            <w:sz w:val="20"/>
                          </w:rPr>
                          <w:t xml:space="preserve"> </w:t>
                        </w:r>
                        <w:r>
                          <w:rPr>
                            <w:rFonts w:eastAsia="Calibri"/>
                            <w:color w:val="000000"/>
                            <w:szCs w:val="24"/>
                            <w:lang w:eastAsia="lt-LT"/>
                          </w:rPr>
                          <w:t xml:space="preserve">Klasifikatorių žymimų kodu 2272 arba kodu 2274, skaičius. </w:t>
                        </w:r>
                      </w:p>
                      <w:p>
                        <w:pPr>
                          <w:rPr>
                            <w:rFonts w:eastAsia="Calibri"/>
                            <w:color w:val="000000"/>
                            <w:szCs w:val="24"/>
                            <w:lang w:eastAsia="lt-LT"/>
                          </w:rPr>
                        </w:pPr>
                      </w:p>
                      <w:p>
                        <w:pPr>
                          <w:rPr>
                            <w:rFonts w:eastAsia="Calibri"/>
                            <w:color w:val="000000"/>
                            <w:szCs w:val="24"/>
                            <w:lang w:eastAsia="lt-LT"/>
                          </w:rPr>
                        </w:pPr>
                        <w:r>
                          <w:rPr>
                            <w:rFonts w:eastAsia="Calibri"/>
                            <w:color w:val="000000"/>
                            <w:szCs w:val="24"/>
                            <w:lang w:eastAsia="lt-LT"/>
                          </w:rPr>
                          <w:t xml:space="preserve">Imamos visos paslaugos, </w:t>
                        </w:r>
                        <w:r>
                          <w:rPr>
                            <w:rFonts w:eastAsia="Calibri"/>
                            <w:szCs w:val="24"/>
                          </w:rPr>
                          <w:t xml:space="preserve"> pagal</w:t>
                        </w:r>
                        <w:r>
                          <w:rPr>
                            <w:rFonts w:ascii="Arial" w:eastAsia="Calibri" w:hAnsi="Arial" w:cs="Arial"/>
                            <w:color w:val="000000"/>
                            <w:sz w:val="20"/>
                          </w:rPr>
                          <w:t xml:space="preserve"> </w:t>
                        </w:r>
                        <w:r>
                          <w:rPr>
                            <w:rFonts w:eastAsia="Calibri"/>
                            <w:color w:val="000000"/>
                            <w:szCs w:val="24"/>
                            <w:lang w:eastAsia="lt-LT"/>
                          </w:rPr>
                          <w:t xml:space="preserve">Klasifikatorių  žymimos kodu 2272 arba kodu 2274, neatsižvelgiant į tai, ar paslauga buvo apmokėta PSDF biudžeto lėšomis, ar asmuo už ją mokėjo pats.</w:t>
                        </w:r>
                      </w:p>
                    </w:tc>
                  </w:tr>
                  <w:tr>
                    <w:tc>
                      <w:tcPr>
                        <w:tcW w:w="292" w:type="pct"/>
                        <w:shd w:val="clear" w:color="auto" w:fill="FFFFFF"/>
                      </w:tcPr>
                      <w:p>
                        <w:pPr>
                          <w:rPr>
                            <w:color w:val="000000"/>
                            <w:szCs w:val="24"/>
                            <w:lang w:eastAsia="lt-LT"/>
                          </w:rPr>
                        </w:pPr>
                        <w:r>
                          <w:rPr>
                            <w:color w:val="000000"/>
                            <w:szCs w:val="24"/>
                            <w:lang w:eastAsia="lt-LT"/>
                          </w:rPr>
                          <w:t>2.</w:t>
                        </w:r>
                      </w:p>
                    </w:tc>
                    <w:tc>
                      <w:tcPr>
                        <w:tcW w:w="939" w:type="pct"/>
                        <w:gridSpan w:val="2"/>
                        <w:shd w:val="clear" w:color="auto" w:fill="FFFFFF"/>
                      </w:tcPr>
                      <w:p>
                        <w:pPr>
                          <w:rPr>
                            <w:color w:val="000000"/>
                            <w:szCs w:val="24"/>
                            <w:lang w:eastAsia="lt-LT"/>
                          </w:rPr>
                        </w:pPr>
                        <w:r>
                          <w:rPr>
                            <w:color w:val="000000"/>
                            <w:szCs w:val="24"/>
                            <w:lang w:eastAsia="lt-LT"/>
                          </w:rPr>
                          <w:t>Vaikų profilaktinių tikrinimų intensyvumas</w:t>
                        </w:r>
                      </w:p>
                      <w:p>
                        <w:pPr>
                          <w:rPr>
                            <w:color w:val="000000"/>
                            <w:szCs w:val="24"/>
                            <w:lang w:eastAsia="lt-LT"/>
                          </w:rPr>
                        </w:pPr>
                      </w:p>
                      <w:p>
                        <w:pPr>
                          <w:rPr>
                            <w:color w:val="000000"/>
                            <w:szCs w:val="24"/>
                            <w:lang w:eastAsia="lt-LT"/>
                          </w:rPr>
                        </w:pPr>
                        <w:r>
                          <w:rPr>
                            <w:rFonts w:eastAsia="Calibri"/>
                            <w:i/>
                            <w:sz w:val="18"/>
                            <w:szCs w:val="18"/>
                            <w:lang w:eastAsia="lt-LT"/>
                          </w:rPr>
                          <w:t>(Punkto redakcija nuo 2027-01-01)</w:t>
                        </w:r>
                      </w:p>
                    </w:tc>
                    <w:tc>
                      <w:tcPr>
                        <w:tcW w:w="1182" w:type="pct"/>
                        <w:gridSpan w:val="2"/>
                        <w:shd w:val="clear" w:color="auto" w:fill="FFFFFF"/>
                      </w:tcPr>
                      <w:p>
                        <w:pPr>
                          <w:rPr>
                            <w:color w:val="000000"/>
                            <w:szCs w:val="24"/>
                            <w:lang w:eastAsia="lt-LT"/>
                          </w:rPr>
                        </w:pPr>
                        <w:r>
                          <w:rPr>
                            <w:color w:val="000000"/>
                            <w:szCs w:val="24"/>
                            <w:lang w:eastAsia="lt-LT"/>
                          </w:rPr>
                          <w:t>Apskaičiuojama, kokią prirašytų prie PAASP įstaigos asmenų iki 18 metų dalį sudaro asmenys, kuriems bent vieną kartą per metus buvo suteikta šeimos gydytojo profilaktinio asmens sveikatos tikrinimo paslauga.</w:t>
                        </w:r>
                      </w:p>
                    </w:tc>
                    <w:tc>
                      <w:tcPr>
                        <w:tcW w:w="1557" w:type="pct"/>
                        <w:gridSpan w:val="2"/>
                        <w:shd w:val="clear" w:color="auto" w:fill="FFFFFF"/>
                      </w:tcPr>
                      <w:p>
                        <w:pPr>
                          <w:rPr>
                            <w:color w:val="000000"/>
                            <w:szCs w:val="24"/>
                            <w:lang w:eastAsia="lt-LT"/>
                          </w:rPr>
                        </w:pPr>
                        <w:r>
                          <w:rPr>
                            <w:color w:val="000000"/>
                            <w:szCs w:val="24"/>
                            <w:lang w:eastAsia="lt-LT"/>
                          </w:rPr>
                          <w:t>Bendras prirašytų prie PAASP įstaigos asmenų iki 18 metų skaičius.</w:t>
                        </w: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Imami duomenys apie visus prirašytus prie PAASP įstaigos vaikus.*</w:t>
                        </w:r>
                      </w:p>
                      <w:p>
                        <w:pPr>
                          <w:ind w:firstLine="62"/>
                          <w:rPr>
                            <w:color w:val="000000"/>
                            <w:szCs w:val="24"/>
                            <w:lang w:eastAsia="lt-LT"/>
                          </w:rPr>
                        </w:pPr>
                      </w:p>
                      <w:p>
                        <w:pPr>
                          <w:ind w:firstLine="62"/>
                          <w:rPr>
                            <w:color w:val="000000"/>
                            <w:szCs w:val="24"/>
                            <w:lang w:eastAsia="lt-LT"/>
                          </w:rPr>
                        </w:pPr>
                      </w:p>
                    </w:tc>
                    <w:tc>
                      <w:tcPr>
                        <w:tcW w:w="1029" w:type="pct"/>
                        <w:gridSpan w:val="2"/>
                        <w:shd w:val="clear" w:color="auto" w:fill="FFFFFF"/>
                      </w:tcPr>
                      <w:p>
                        <w:pPr>
                          <w:rPr>
                            <w:color w:val="000000"/>
                            <w:szCs w:val="24"/>
                            <w:lang w:eastAsia="lt-LT"/>
                          </w:rPr>
                        </w:pPr>
                        <w:r>
                          <w:rPr>
                            <w:color w:val="000000"/>
                            <w:szCs w:val="24"/>
                            <w:lang w:eastAsia="lt-LT"/>
                          </w:rPr>
                          <w:t>Prirašytų prie PAASP įstaigos asmenų iki 18 metų, kuriems per kalendorinius metus buvo suteikta bent viena iš paslaugų, pagal Klasifikatorių žymima kodu 2272 skaičius.</w:t>
                        </w:r>
                      </w:p>
                      <w:p>
                        <w:pPr>
                          <w:ind w:firstLine="62"/>
                          <w:rPr>
                            <w:color w:val="000000"/>
                            <w:szCs w:val="24"/>
                            <w:lang w:eastAsia="lt-LT"/>
                          </w:rPr>
                        </w:pPr>
                      </w:p>
                      <w:p>
                        <w:pPr>
                          <w:rPr>
                            <w:color w:val="000000"/>
                            <w:szCs w:val="24"/>
                            <w:lang w:eastAsia="lt-LT"/>
                          </w:rPr>
                        </w:pPr>
                        <w:r>
                          <w:rPr>
                            <w:color w:val="000000"/>
                            <w:szCs w:val="24"/>
                            <w:lang w:eastAsia="lt-LT"/>
                          </w:rPr>
                          <w:t>Imamos visos paslaugos, pagal Klasifikatorių žymima kodu 2272, neatsižvelgiant į tai, ar paslauga buvo apmokėta PSDF biudžeto lėšomis, ar asmuo už ją mokėjo pats.“</w:t>
                        </w:r>
                      </w:p>
                    </w:tc>
                  </w:tr>
                  <w:tr>
                    <w:tc>
                      <w:tcPr>
                        <w:tcW w:w="292" w:type="pct"/>
                      </w:tcPr>
                      <w:p>
                        <w:pPr>
                          <w:rPr>
                            <w:rFonts w:eastAsia="Calibri"/>
                            <w:szCs w:val="24"/>
                          </w:rPr>
                        </w:pPr>
                        <w:r>
                          <w:rPr>
                            <w:rFonts w:eastAsia="Calibri"/>
                            <w:szCs w:val="24"/>
                          </w:rPr>
                          <w:t>3.</w:t>
                        </w:r>
                      </w:p>
                    </w:tc>
                    <w:tc>
                      <w:tcPr>
                        <w:tcW w:w="944" w:type="pct"/>
                        <w:gridSpan w:val="3"/>
                      </w:tcPr>
                      <w:p>
                        <w:pPr>
                          <w:rPr>
                            <w:rFonts w:eastAsia="Calibri"/>
                            <w:szCs w:val="24"/>
                          </w:rPr>
                        </w:pPr>
                      </w:p>
                    </w:tc>
                    <w:tc>
                      <w:tcPr>
                        <w:tcW w:w="3763" w:type="pct"/>
                        <w:gridSpan w:val="5"/>
                      </w:tcPr>
                      <w:p>
                        <w:pPr>
                          <w:rPr>
                            <w:rFonts w:eastAsia="Calibri"/>
                            <w:szCs w:val="24"/>
                          </w:rPr>
                        </w:pPr>
                        <w:r>
                          <w:rPr>
                            <w:rFonts w:eastAsia="Calibri"/>
                            <w:szCs w:val="24"/>
                          </w:rPr>
                          <w:t>Prevencinių programų vykdymo intensyvumas</w:t>
                        </w:r>
                      </w:p>
                    </w:tc>
                  </w:tr>
                  <w:tr>
                    <w:tc>
                      <w:tcPr>
                        <w:tcW w:w="292" w:type="pct"/>
                        <w:tcBorders>
                          <w:top w:val="single" w:sz="4" w:space="0" w:color="auto"/>
                          <w:left w:val="single" w:sz="4" w:space="0" w:color="auto"/>
                          <w:bottom w:val="single" w:sz="4" w:space="0" w:color="auto"/>
                          <w:right w:val="single" w:sz="4" w:space="0" w:color="auto"/>
                        </w:tcBorders>
                        <w:hideMark/>
                      </w:tcPr>
                      <w:p>
                        <w:pPr>
                          <w:rPr>
                            <w:szCs w:val="24"/>
                          </w:rPr>
                        </w:pPr>
                        <w:r>
                          <w:rPr>
                            <w:szCs w:val="24"/>
                          </w:rPr>
                          <w:t>3.1</w:t>
                        </w:r>
                      </w:p>
                    </w:tc>
                    <w:tc>
                      <w:tcPr>
                        <w:tcW w:w="939" w:type="pct"/>
                        <w:gridSpan w:val="2"/>
                        <w:tcBorders>
                          <w:top w:val="single" w:sz="4" w:space="0" w:color="auto"/>
                          <w:left w:val="single" w:sz="4" w:space="0" w:color="auto"/>
                          <w:bottom w:val="single" w:sz="4" w:space="0" w:color="auto"/>
                          <w:right w:val="single" w:sz="4" w:space="0" w:color="auto"/>
                        </w:tcBorders>
                      </w:tcPr>
                      <w:p>
                        <w:pPr>
                          <w:rPr>
                            <w:szCs w:val="24"/>
                          </w:rPr>
                        </w:pPr>
                        <w:r>
                          <w:rPr>
                            <w:szCs w:val="24"/>
                          </w:rPr>
                          <w:t>Gimdos kaklelio</w:t>
                        </w:r>
                      </w:p>
                      <w:p>
                        <w:pPr>
                          <w:rPr>
                            <w:szCs w:val="24"/>
                          </w:rPr>
                        </w:pPr>
                        <w:r>
                          <w:rPr>
                            <w:szCs w:val="24"/>
                          </w:rPr>
                          <w:t>vėžio ankstyvosios diagnostikos programos, patvirtintos</w:t>
                        </w:r>
                      </w:p>
                      <w:p>
                        <w:pPr>
                          <w:rPr>
                            <w:szCs w:val="24"/>
                          </w:rPr>
                        </w:pPr>
                        <w:r>
                          <w:rPr>
                            <w:szCs w:val="24"/>
                          </w:rPr>
                          <w:t xml:space="preserve">Lietuvos Respublikos sveikatos apsaugos ministro 2004 m. birželio 30 d. įsakymu Nr. V-482 „Dėl Gimdos kaklelio piktybinio naviko ankstyvosios diagnostikos programos organizavimo, vykdymo ir kokybės reikalavimų aprašo ir Gimdos kaklelio vėžio ankstyvosios diagnostikos programos patvirtinimo“  (toliau – GKV programa), vykdymo intensyvumas</w:t>
                        </w:r>
                      </w:p>
                      <w:p>
                        <w:pPr>
                          <w:rPr>
                            <w:szCs w:val="24"/>
                          </w:rPr>
                        </w:pPr>
                      </w:p>
                      <w:p>
                        <w:pPr>
                          <w:rPr>
                            <w:szCs w:val="24"/>
                          </w:rPr>
                        </w:pPr>
                      </w:p>
                    </w:tc>
                    <w:tc>
                      <w:tcPr>
                        <w:tcW w:w="1182" w:type="pct"/>
                        <w:gridSpan w:val="2"/>
                        <w:tcBorders>
                          <w:top w:val="single" w:sz="4" w:space="0" w:color="auto"/>
                          <w:left w:val="single" w:sz="4" w:space="0" w:color="auto"/>
                          <w:bottom w:val="single" w:sz="4" w:space="0" w:color="auto"/>
                          <w:right w:val="single" w:sz="4" w:space="0" w:color="auto"/>
                        </w:tcBorders>
                      </w:tcPr>
                      <w:p>
                        <w:pPr>
                          <w:rPr>
                            <w:szCs w:val="24"/>
                          </w:rPr>
                        </w:pPr>
                        <w:r>
                          <w:rPr>
                            <w:szCs w:val="24"/>
                          </w:rPr>
                          <w:t>Apskaičiuojama, kokią prirašytų prie atitinkamos PAASP įstaigos moterų, pagal amžių turinčių teisę gauti GKV programoje numatytas paslaugas, dalį sudaro moterys, kurioms buvo suteikta gimdos kaklelio citologinio tepinėlio paėmimo ir rezultatų įvertinimo paslauga arba gimdos kaklelio medžiagos paėmimo aukštos rizikos žmogaus papilomos viruso (toliau – AR ŽPV) tyrimui ir gimdos kaklelio citologinio tepinėlio tyrimui atlikti (kai AR ŽPV tyrimo rezultatas teigiamas) bei rezultatų įvertinimo paslauga per GKV programoje numatytą laikotarpį.</w:t>
                        </w:r>
                      </w:p>
                    </w:tc>
                    <w:tc>
                      <w:tcPr>
                        <w:tcW w:w="1588" w:type="pct"/>
                        <w:gridSpan w:val="3"/>
                        <w:tcBorders>
                          <w:top w:val="single" w:sz="4" w:space="0" w:color="auto"/>
                          <w:left w:val="single" w:sz="4" w:space="0" w:color="auto"/>
                          <w:bottom w:val="single" w:sz="4" w:space="0" w:color="auto"/>
                          <w:right w:val="single" w:sz="4" w:space="0" w:color="auto"/>
                        </w:tcBorders>
                      </w:tcPr>
                      <w:p>
                        <w:pPr>
                          <w:rPr>
                            <w:szCs w:val="24"/>
                          </w:rPr>
                        </w:pPr>
                        <w:r>
                          <w:rPr>
                            <w:szCs w:val="24"/>
                          </w:rPr>
                          <w:t xml:space="preserve">Bendras prirašytų prie PAASP įstaigos moterų nuo 25 iki 34 metų (imtinai), pagal amžių turėjusių teisę gauti GKV programoje numatytas paslaugas per pastaruosius 3 metus, skaičius, ir bendras prirašytų prie PAASP įstaigos moterų nuo 35 iki 59 metų (imtinai), pagal amžių turėjusių teisę gauti GKV programoje numatytas paslaugas per pastaruosius 5 metus, skaičius. </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color w:val="000000"/>
                            <w:szCs w:val="24"/>
                            <w:shd w:val="clear" w:color="auto" w:fill="FFFFFF"/>
                            <w:lang w:eastAsia="lt-LT"/>
                          </w:rPr>
                        </w:pPr>
                      </w:p>
                      <w:p>
                        <w:pPr>
                          <w:rPr>
                            <w:szCs w:val="24"/>
                          </w:rPr>
                        </w:pPr>
                        <w:r>
                          <w:rPr>
                            <w:color w:val="000000"/>
                            <w:szCs w:val="24"/>
                            <w:shd w:val="clear" w:color="auto" w:fill="FFFFFF"/>
                            <w:lang w:eastAsia="lt-LT"/>
                          </w:rPr>
                          <w:t xml:space="preserve">Imami duomenys apie visas prirašytas prie PAASP įstaigos apdraustąsias moteris </w:t>
                        </w:r>
                      </w:p>
                      <w:p>
                        <w:pPr>
                          <w:rPr>
                            <w:szCs w:val="24"/>
                          </w:rPr>
                        </w:pPr>
                        <w:r>
                          <w:rPr>
                            <w:szCs w:val="24"/>
                          </w:rPr>
                          <w:t>nuo 25 iki 34 metų (imtinai) ir nuo 35 iki 59 metų (imtinai).**</w:t>
                        </w:r>
                      </w:p>
                      <w:p>
                        <w:pPr>
                          <w:rPr>
                            <w:szCs w:val="24"/>
                          </w:rPr>
                        </w:pPr>
                        <w:r>
                          <w:rPr>
                            <w:szCs w:val="24"/>
                          </w:rPr>
                          <w:t>Tikslinės grupės moterų skaičius sumuojamas. Imami unikalūs asmenys.</w:t>
                        </w:r>
                      </w:p>
                    </w:tc>
                    <w:tc>
                      <w:tcPr>
                        <w:tcW w:w="998" w:type="pct"/>
                        <w:tcBorders>
                          <w:top w:val="single" w:sz="4" w:space="0" w:color="auto"/>
                          <w:left w:val="single" w:sz="4" w:space="0" w:color="auto"/>
                          <w:bottom w:val="single" w:sz="4" w:space="0" w:color="auto"/>
                          <w:right w:val="single" w:sz="4" w:space="0" w:color="auto"/>
                        </w:tcBorders>
                      </w:tcPr>
                      <w:p>
                        <w:pPr>
                          <w:rPr>
                            <w:sz w:val="8"/>
                            <w:szCs w:val="8"/>
                          </w:rPr>
                        </w:pPr>
                      </w:p>
                      <w:p>
                        <w:pPr>
                          <w:rPr>
                            <w:szCs w:val="24"/>
                          </w:rPr>
                        </w:pPr>
                        <w:r>
                          <w:rPr>
                            <w:szCs w:val="24"/>
                          </w:rPr>
                          <w:t>Moterų nuo 25 iki 34 metų (imtinai), kurioms per pastaruosius 3 metus buvo suteikta bent viena gimdos kaklelio citologinio tepinėlio paėmimo ir rezultatų įvertinimo paslauga, pagal Klasifikatorių žymima kodu 1844, arba moterų nuo 35 iki 59 metų (imtinai), kurioms per pastaruosius 5 metus buvo suteikta bent viena gimdos kaklelio citologinio tepinėlio paėmimo ir rezultatų įvertinimo paslauga arba gimdos kaklelio medžiagos paėmimo AR ŽPV tyrimui ir gimdos kaklelio citologinio tepinėlio tyrimui atlikti (kai AR ŽPV tyrimo rezultatas teigiamas) bei rezultatų įvertinimo paslauga, pagal Klasifikatorių žymima kodais 1844, 3920–3922**.</w:t>
                        </w:r>
                      </w:p>
                      <w:p>
                        <w:pPr>
                          <w:rPr>
                            <w:sz w:val="8"/>
                            <w:szCs w:val="8"/>
                          </w:rPr>
                        </w:pPr>
                      </w:p>
                      <w:p>
                        <w:pPr>
                          <w:rPr>
                            <w:szCs w:val="24"/>
                          </w:rPr>
                        </w:pPr>
                        <w:r>
                          <w:rPr>
                            <w:szCs w:val="24"/>
                          </w:rPr>
                          <w:t>Imami duomenys apie visas prirašytas prie PAASP įstaigos apdraustąsias moteris nuo 25 iki 34 metų (imtinai), kurioms per pastaruosius 3 metus buvo suteikta bent viena gimdos kaklelio citologinio tepinėlio paėmimo ir rezultatų įvertinimo paslauga, pagal Klasifikatorių žymima kodu 1844, arba moterų nuo 35 iki 59 metų (imtinai), kurioms per pastaruosius 5 metus buvo suteikta bent viena gimdos kaklelio citologinio tepinėlio paėmimo ir rezultatų įvertinimo paslauga arba gimdos kaklelio medžiagos paėmimo AR ŽPV tyrimui ir gimdos kaklelio citologinio tepinėlio tyrimui atlikti (kai AR ŽPV tyrimo rezultatas teigiamas) bei rezultatų įvertinimo paslauga, pagal Klasifikatorių žymima kodais 1844, 3920–3922.**</w:t>
                        </w:r>
                      </w:p>
                    </w:tc>
                  </w:tr>
                  <w:tr>
                    <w:tc>
                      <w:tcPr>
                        <w:tcW w:w="292" w:type="pct"/>
                      </w:tcPr>
                      <w:p>
                        <w:pPr>
                          <w:rPr>
                            <w:rFonts w:eastAsia="Calibri"/>
                            <w:szCs w:val="24"/>
                          </w:rPr>
                        </w:pPr>
                        <w:r>
                          <w:rPr>
                            <w:rFonts w:eastAsia="Calibri"/>
                            <w:szCs w:val="24"/>
                          </w:rPr>
                          <w:t>3.2.</w:t>
                        </w:r>
                      </w:p>
                    </w:tc>
                    <w:tc>
                      <w:tcPr>
                        <w:tcW w:w="939" w:type="pct"/>
                        <w:gridSpan w:val="2"/>
                      </w:tcPr>
                      <w:p>
                        <w:pPr>
                          <w:rPr>
                            <w:sz w:val="8"/>
                            <w:szCs w:val="8"/>
                          </w:rPr>
                        </w:pPr>
                      </w:p>
                      <w:p>
                        <w:pPr>
                          <w:rPr>
                            <w:rFonts w:eastAsia="Calibri"/>
                            <w:szCs w:val="24"/>
                            <w:lang w:eastAsia="lt-LT"/>
                          </w:rPr>
                        </w:pPr>
                        <w:r>
                          <w:rPr>
                            <w:rFonts w:eastAsia="Calibri"/>
                            <w:szCs w:val="24"/>
                            <w:lang w:eastAsia="lt-LT"/>
                          </w:rPr>
                          <w:t>Atrankinės mamografinės patikros dėl krūties vėžio finansavimo programos, patvirtintos Lietuvos Respublikos sveikatos apsaugos ministro 2005 m. rugsėjo 23 d. įsakymu Nr. V-729 „Dėl Atrankinės mamografinės patikros dėl krūties vėžio finansavimo programos patvirtinimo“ (toliau – AMP programa), vykdymo intensyvumas</w:t>
                        </w:r>
                      </w:p>
                    </w:tc>
                    <w:tc>
                      <w:tcPr>
                        <w:tcW w:w="1182" w:type="pct"/>
                        <w:gridSpan w:val="2"/>
                      </w:tcPr>
                      <w:p>
                        <w:pPr>
                          <w:rPr>
                            <w:rFonts w:eastAsia="Calibri"/>
                            <w:szCs w:val="24"/>
                            <w:lang w:eastAsia="lt-LT"/>
                          </w:rPr>
                        </w:pPr>
                        <w:r>
                          <w:rPr>
                            <w:rFonts w:eastAsia="Calibri"/>
                            <w:szCs w:val="24"/>
                            <w:lang w:eastAsia="lt-LT"/>
                          </w:rPr>
                          <w:t xml:space="preserve">Apskaičiuojama, kokią prirašytų prie atitinkamos PAASP įstaigos moterų,  pagal amžių turinčių teisę gauti AMP programoje numatytas paslaugas, dalį sudaro moterys, kurioms buvo suteikta informavimo apie krūties piktybinių navikų profilaktiką ir siuntimo atlikti mamografiją paslauga per AMP programoje numatytą laikotarpį.</w:t>
                        </w:r>
                      </w:p>
                    </w:tc>
                    <w:tc>
                      <w:tcPr>
                        <w:tcW w:w="1557" w:type="pct"/>
                        <w:gridSpan w:val="2"/>
                      </w:tcPr>
                      <w:p>
                        <w:pPr>
                          <w:rPr>
                            <w:rFonts w:eastAsia="Calibri"/>
                            <w:szCs w:val="24"/>
                          </w:rPr>
                        </w:pPr>
                        <w:r>
                          <w:rPr>
                            <w:rFonts w:eastAsia="Calibri"/>
                            <w:szCs w:val="24"/>
                          </w:rPr>
                          <w:t xml:space="preserve">Bendras prirašytų prie PAASP  įstaigos moterų nuo 50 iki 69 metų (imtinai), pagal amžių turinčių teisę gauti AMP programoje numatytas paslaugas, skaičius.</w:t>
                        </w:r>
                      </w:p>
                      <w:p>
                        <w:pPr>
                          <w:rPr>
                            <w:rFonts w:eastAsia="Calibri"/>
                            <w:szCs w:val="24"/>
                          </w:rPr>
                        </w:pPr>
                      </w:p>
                      <w:p>
                        <w:pPr>
                          <w:rPr>
                            <w:rFonts w:eastAsia="Calibri"/>
                            <w:szCs w:val="24"/>
                          </w:rPr>
                        </w:pPr>
                        <w:r>
                          <w:rPr>
                            <w:rFonts w:eastAsia="Calibri"/>
                            <w:szCs w:val="24"/>
                          </w:rPr>
                          <w:t xml:space="preserve">Imami duomenys apie visas  prirašytas prie PAASP įstaigos apdraustąsias</w:t>
                        </w:r>
                        <w:r>
                          <w:rPr>
                            <w:rFonts w:eastAsia="Calibri"/>
                            <w:color w:val="000000"/>
                            <w:szCs w:val="24"/>
                          </w:rPr>
                          <w:t xml:space="preserve"> </w:t>
                        </w:r>
                        <w:r>
                          <w:rPr>
                            <w:rFonts w:eastAsia="Calibri"/>
                            <w:szCs w:val="24"/>
                          </w:rPr>
                          <w:t xml:space="preserve"> moteris nuo 50 iki 69 m. (imtinai).***</w:t>
                        </w:r>
                      </w:p>
                    </w:tc>
                    <w:tc>
                      <w:tcPr>
                        <w:tcW w:w="1029" w:type="pct"/>
                        <w:gridSpan w:val="2"/>
                      </w:tcPr>
                      <w:p>
                        <w:pPr>
                          <w:rPr>
                            <w:rFonts w:eastAsia="Calibri"/>
                            <w:szCs w:val="24"/>
                          </w:rPr>
                        </w:pPr>
                        <w:r>
                          <w:rPr>
                            <w:rFonts w:eastAsia="Calibri"/>
                            <w:szCs w:val="24"/>
                          </w:rPr>
                          <w:t>Moterų nuo 50 iki 69 metų (imtinai), kurioms per 2 metus buvo suteikta bent viena siuntimo atlikti mamografijos tyrimą paslauga, pagal</w:t>
                        </w:r>
                        <w:r>
                          <w:rPr>
                            <w:rFonts w:ascii="Arial" w:eastAsia="Calibri" w:hAnsi="Arial" w:cs="Arial"/>
                            <w:color w:val="000000"/>
                            <w:sz w:val="20"/>
                          </w:rPr>
                          <w:t xml:space="preserve"> </w:t>
                        </w:r>
                        <w:r>
                          <w:rPr>
                            <w:rFonts w:eastAsia="Calibri"/>
                            <w:szCs w:val="24"/>
                          </w:rPr>
                          <w:t>Klasifikatorių žymima kodu 1959 arba kodu 3903, skaičius.</w:t>
                        </w:r>
                      </w:p>
                      <w:p>
                        <w:pPr>
                          <w:rPr>
                            <w:rFonts w:eastAsia="Calibri"/>
                            <w:szCs w:val="24"/>
                            <w:highlight w:val="yellow"/>
                          </w:rPr>
                        </w:pPr>
                      </w:p>
                      <w:p>
                        <w:pPr>
                          <w:rPr>
                            <w:rFonts w:eastAsia="Calibri"/>
                            <w:szCs w:val="24"/>
                            <w:highlight w:val="yellow"/>
                          </w:rPr>
                        </w:pPr>
                        <w:r>
                          <w:rPr>
                            <w:rFonts w:eastAsia="Calibri"/>
                            <w:color w:val="000000"/>
                            <w:szCs w:val="24"/>
                          </w:rPr>
                          <w:t xml:space="preserve">Imami duomenys apie </w:t>
                        </w:r>
                        <w:r>
                          <w:rPr>
                            <w:rFonts w:eastAsia="Calibri"/>
                            <w:szCs w:val="24"/>
                          </w:rPr>
                          <w:t xml:space="preserve"> </w:t>
                        </w:r>
                        <w:r>
                          <w:rPr>
                            <w:rFonts w:eastAsia="Calibri"/>
                            <w:color w:val="000000"/>
                            <w:szCs w:val="24"/>
                          </w:rPr>
                          <w:t xml:space="preserve"> prirašytas prie PAASP įstaigos</w:t>
                        </w:r>
                        <w:r>
                          <w:rPr>
                            <w:rFonts w:eastAsia="Calibri"/>
                            <w:szCs w:val="24"/>
                          </w:rPr>
                          <w:t xml:space="preserve"> apdraustąsias</w:t>
                        </w:r>
                        <w:r>
                          <w:rPr>
                            <w:rFonts w:eastAsia="Calibri"/>
                            <w:color w:val="000000"/>
                            <w:szCs w:val="24"/>
                          </w:rPr>
                          <w:t xml:space="preserve"> </w:t>
                        </w:r>
                        <w:r>
                          <w:rPr>
                            <w:rFonts w:eastAsia="Calibri"/>
                            <w:szCs w:val="24"/>
                          </w:rPr>
                          <w:t xml:space="preserve"> </w:t>
                        </w:r>
                        <w:r>
                          <w:rPr>
                            <w:rFonts w:eastAsia="Calibri"/>
                            <w:color w:val="000000"/>
                            <w:szCs w:val="24"/>
                          </w:rPr>
                          <w:t>moteris nuo 50 iki 69 m. (imtinai), kurioms</w:t>
                        </w:r>
                        <w:r>
                          <w:rPr>
                            <w:rFonts w:ascii="Calibri" w:eastAsia="Calibri" w:hAnsi="Calibri"/>
                            <w:sz w:val="22"/>
                            <w:szCs w:val="22"/>
                          </w:rPr>
                          <w:t xml:space="preserve"> </w:t>
                        </w:r>
                        <w:r>
                          <w:rPr>
                            <w:rFonts w:eastAsia="Calibri"/>
                            <w:color w:val="000000"/>
                            <w:szCs w:val="24"/>
                          </w:rPr>
                          <w:t>per 2 metus</w:t>
                        </w:r>
                        <w:r>
                          <w:rPr>
                            <w:rFonts w:ascii="Calibri" w:eastAsia="Calibri" w:hAnsi="Calibri"/>
                            <w:sz w:val="22"/>
                            <w:szCs w:val="22"/>
                          </w:rPr>
                          <w:t xml:space="preserve"> </w:t>
                        </w:r>
                        <w:r>
                          <w:rPr>
                            <w:rFonts w:eastAsia="Calibri"/>
                            <w:color w:val="000000"/>
                            <w:szCs w:val="24"/>
                          </w:rPr>
                          <w:t>buvo</w:t>
                        </w:r>
                        <w:r>
                          <w:rPr>
                            <w:rFonts w:ascii="Calibri" w:eastAsia="Calibri" w:hAnsi="Calibri"/>
                            <w:sz w:val="22"/>
                            <w:szCs w:val="22"/>
                          </w:rPr>
                          <w:t xml:space="preserve"> </w:t>
                        </w:r>
                        <w:r>
                          <w:rPr>
                            <w:rFonts w:eastAsia="Calibri"/>
                            <w:color w:val="000000"/>
                            <w:szCs w:val="24"/>
                          </w:rPr>
                          <w:t xml:space="preserve">suteikta bent viena informavimo apie krūties piktybinių navikų profilaktiką ir siuntimo atlikti mamografiją  paslauga, </w:t>
                        </w:r>
                        <w:r>
                          <w:rPr>
                            <w:rFonts w:eastAsia="Calibri"/>
                            <w:szCs w:val="24"/>
                          </w:rPr>
                          <w:t xml:space="preserve">pagal </w:t>
                        </w:r>
                        <w:r>
                          <w:rPr>
                            <w:rFonts w:eastAsia="Calibri"/>
                            <w:color w:val="000000"/>
                            <w:szCs w:val="24"/>
                          </w:rPr>
                          <w:t>Klasifikatorių žymima kodu 1959 arba kodu 3903.</w:t>
                        </w:r>
                        <w:r>
                          <w:rPr>
                            <w:rFonts w:eastAsia="Calibri"/>
                            <w:szCs w:val="24"/>
                          </w:rPr>
                          <w:t>***</w:t>
                        </w:r>
                      </w:p>
                    </w:tc>
                  </w:tr>
                  <w:tr>
                    <w:tc>
                      <w:tcPr>
                        <w:tcW w:w="292"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3.3.</w:t>
                        </w:r>
                      </w:p>
                    </w:tc>
                    <w:tc>
                      <w:tcPr>
                        <w:tcW w:w="939" w:type="pct"/>
                        <w:gridSpan w:val="2"/>
                        <w:tcBorders>
                          <w:top w:val="single" w:sz="4" w:space="0" w:color="auto"/>
                          <w:left w:val="single" w:sz="4" w:space="0" w:color="auto"/>
                          <w:bottom w:val="single" w:sz="4" w:space="0" w:color="auto"/>
                          <w:right w:val="single" w:sz="4" w:space="0" w:color="auto"/>
                        </w:tcBorders>
                      </w:tcPr>
                      <w:p>
                        <w:pPr>
                          <w:spacing w:line="259" w:lineRule="auto"/>
                          <w:rPr>
                            <w:rFonts w:eastAsia="Calibri"/>
                            <w:color w:val="000000"/>
                            <w:szCs w:val="24"/>
                            <w:highlight w:val="red"/>
                          </w:rPr>
                        </w:pPr>
                        <w:r>
                          <w:rPr>
                            <w:color w:val="000000"/>
                            <w:kern w:val="2"/>
                            <w:szCs w:val="24"/>
                            <w:shd w:val="clear" w:color="auto" w:fill="FFFFFF"/>
                          </w:rPr>
                          <w:t>Storosios žarnos vėžio ankstyvosios diagnostikos finansavimo programos, patvirtintos Lietuvos Respublikos sveikatos apsaugos ministro 2009 m. birželio 23 d. įsakymu Nr. V-508 „</w:t>
                        </w:r>
                        <w:r>
                          <w:rPr>
                            <w:rFonts w:eastAsia="Calibri"/>
                            <w:color w:val="000000"/>
                            <w:szCs w:val="24"/>
                          </w:rPr>
                          <w:t>Dėl storosios žarnos piktybinio naviko ankstyvosios diagnostikos programos organizavimo, vykdymo ir kokybės reikalavimų aprašo ir storosios žarnos vėžio ankstyvosios diagnostikos finansavimo programos patvirtinimo</w:t>
                        </w:r>
                        <w:r>
                          <w:rPr>
                            <w:color w:val="000000"/>
                            <w:kern w:val="2"/>
                            <w:szCs w:val="24"/>
                            <w:shd w:val="clear" w:color="auto" w:fill="FFFFFF"/>
                          </w:rPr>
                          <w:t>“ (toliau – SŽV programa), vykdymo intensyvumas</w:t>
                        </w:r>
                      </w:p>
                    </w:tc>
                    <w:tc>
                      <w:tcPr>
                        <w:tcW w:w="1182"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lang w:eastAsia="lt-LT"/>
                          </w:rPr>
                        </w:pPr>
                        <w:r>
                          <w:rPr>
                            <w:color w:val="000000"/>
                            <w:kern w:val="2"/>
                            <w:szCs w:val="24"/>
                            <w:shd w:val="clear" w:color="auto" w:fill="FFFFFF"/>
                          </w:rPr>
                          <w:t>Apskaičiuojama, kokią prirašytų prie atitinkamos PAASP įstaigos asmenų, pagal amžių turinčių teisę gauti SŽV programoje numatytas paslaugas, dalį sudaro asmenys, kuriems buvo suteikta informavimo apie storosios žarnos vėžio ankstyvąją diagnostiką ir imunocheminio slapto kraujavimo testo išmatose (toliau – iFOBT) rezultatų įvertinimo paslauga per SŽV programoje numatytą laikotarpį.</w:t>
                        </w:r>
                      </w:p>
                    </w:tc>
                    <w:tc>
                      <w:tcPr>
                        <w:tcW w:w="1557" w:type="pct"/>
                        <w:gridSpan w:val="2"/>
                        <w:tcBorders>
                          <w:top w:val="single" w:sz="4" w:space="0" w:color="auto"/>
                          <w:left w:val="single" w:sz="4" w:space="0" w:color="auto"/>
                          <w:bottom w:val="single" w:sz="4" w:space="0" w:color="auto"/>
                          <w:right w:val="single" w:sz="4" w:space="0" w:color="auto"/>
                        </w:tcBorders>
                      </w:tcPr>
                      <w:p>
                        <w:pPr>
                          <w:rPr>
                            <w:color w:val="000000"/>
                            <w:szCs w:val="24"/>
                            <w:lang w:eastAsia="lt-LT"/>
                          </w:rPr>
                        </w:pPr>
                        <w:r>
                          <w:rPr>
                            <w:color w:val="000000"/>
                            <w:szCs w:val="24"/>
                            <w:lang w:eastAsia="lt-LT"/>
                          </w:rPr>
                          <w:t>Bendras prirašytų prie PAASP įstaigos asmenų nuo 50 iki 74 metų (imtinai) skaičius.</w:t>
                        </w: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p>
                      <w:p>
                        <w:pPr>
                          <w:rPr>
                            <w:color w:val="000000"/>
                            <w:szCs w:val="24"/>
                            <w:lang w:eastAsia="lt-LT"/>
                          </w:rPr>
                        </w:pPr>
                        <w:r>
                          <w:rPr>
                            <w:color w:val="000000"/>
                            <w:szCs w:val="24"/>
                            <w:lang w:eastAsia="lt-LT"/>
                          </w:rPr>
                          <w:t>Imami duomenys apie visus prirašytus prie PAASP įstaigos apdraustuosius nuo 50 iki 74 metų (imtinai).***</w:t>
                        </w: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highlight w:val="yellow"/>
                            <w:lang w:eastAsia="lt-LT"/>
                          </w:rPr>
                        </w:pPr>
                      </w:p>
                    </w:tc>
                    <w:tc>
                      <w:tcPr>
                        <w:tcW w:w="1029" w:type="pct"/>
                        <w:gridSpan w:val="2"/>
                        <w:tcBorders>
                          <w:top w:val="single" w:sz="4" w:space="0" w:color="auto"/>
                          <w:left w:val="single" w:sz="4" w:space="0" w:color="auto"/>
                          <w:bottom w:val="single" w:sz="4" w:space="0" w:color="auto"/>
                          <w:right w:val="single" w:sz="4" w:space="0" w:color="auto"/>
                        </w:tcBorders>
                      </w:tcPr>
                      <w:p>
                        <w:pPr>
                          <w:rPr>
                            <w:color w:val="000000"/>
                            <w:szCs w:val="24"/>
                            <w:lang w:eastAsia="lt-LT"/>
                          </w:rPr>
                        </w:pPr>
                        <w:r>
                          <w:rPr>
                            <w:color w:val="000000"/>
                            <w:szCs w:val="24"/>
                            <w:lang w:eastAsia="lt-LT"/>
                          </w:rPr>
                          <w:t>Asmenų nuo 50 iki 74 metų (imtinai), kuriems per 2 metus buvo suteikta bent viena informavimo apie storosios žarnos vėžio ankstyvąją diagnostiką ir iFOBT rezultatų įvertinimo paslauga ir nustatytas neigiamas rezultatas (pagal Klasifikatorių žymima kodu 4679) arba informavimo apie storosios žarnos vėžio ankstyvąją diagnostiką ir iFOBT rezultatų įvertinimo paslauga ir nustatytas teigiamas rezultatas (pagal Klasifikatorių žymima kodu 4680), skaičius.</w:t>
                        </w:r>
                      </w:p>
                      <w:p>
                        <w:pPr>
                          <w:ind w:firstLine="62"/>
                          <w:rPr>
                            <w:color w:val="000000"/>
                            <w:szCs w:val="24"/>
                            <w:lang w:eastAsia="lt-LT"/>
                          </w:rPr>
                        </w:pPr>
                      </w:p>
                      <w:p>
                        <w:pPr>
                          <w:rPr>
                            <w:color w:val="000000"/>
                            <w:szCs w:val="24"/>
                            <w:lang w:eastAsia="lt-LT"/>
                          </w:rPr>
                        </w:pPr>
                        <w:r>
                          <w:rPr>
                            <w:color w:val="000000"/>
                            <w:szCs w:val="24"/>
                            <w:lang w:eastAsia="lt-LT"/>
                          </w:rPr>
                          <w:t>Imami duomenys apie prirašytus prie PAASP įstaigos apdraustuosius nuo 50 iki 74 metų (imtinai), kuriems per 2 metus buvo suteikta bent viena informavimo apie storosios žarnos vėžio ankstyvąją diagnostiką ir iFOBT rezultatų įvertinimo paslauga ir nustatytas neigiamas rezultatas (pagal Klasifikatorių žymima kodu 4679) arba informavimo apie storosios žarnos vėžio ankstyvąją diagnostiką ir iFOBT rezultatų įvertinimo paslauga ir nustatytas teigiamas rezultatas (pagal Klasifikatorių žymima kodu 4680).***</w:t>
                        </w:r>
                      </w:p>
                    </w:tc>
                  </w:tr>
                  <w:tr>
                    <w:tc>
                      <w:tcPr>
                        <w:tcW w:w="292"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4.</w:t>
                        </w:r>
                      </w:p>
                    </w:tc>
                    <w:tc>
                      <w:tcPr>
                        <w:tcW w:w="939" w:type="pct"/>
                        <w:gridSpan w:val="2"/>
                        <w:tcBorders>
                          <w:top w:val="single" w:sz="4" w:space="0" w:color="auto"/>
                          <w:left w:val="single" w:sz="4" w:space="0" w:color="auto"/>
                          <w:bottom w:val="single" w:sz="4" w:space="0" w:color="auto"/>
                          <w:right w:val="single" w:sz="4" w:space="0" w:color="auto"/>
                        </w:tcBorders>
                      </w:tcPr>
                      <w:p>
                        <w:pPr>
                          <w:rPr>
                            <w:rFonts w:eastAsia="Calibri"/>
                            <w:szCs w:val="24"/>
                            <w:lang w:eastAsia="lt-LT"/>
                          </w:rPr>
                        </w:pPr>
                        <w:r>
                          <w:rPr>
                            <w:rFonts w:eastAsia="Calibri"/>
                            <w:color w:val="000000"/>
                            <w:szCs w:val="24"/>
                            <w:lang w:eastAsia="lt-LT"/>
                          </w:rPr>
                          <w:t>Sergančiųjų lėtinėmis ligomis (arterine hipertenzija, cukriniu diabetu, astma, pneumonija, staziniu širdies nepakankamu-mu, ausų, nosies, gerklės infekcijomis, pielonefritu, obstrukcine plaučių liga) hospitalizacijos dažnis </w:t>
                        </w:r>
                      </w:p>
                    </w:tc>
                    <w:tc>
                      <w:tcPr>
                        <w:tcW w:w="1182" w:type="pct"/>
                        <w:gridSpan w:val="2"/>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color w:val="000000"/>
                            <w:szCs w:val="24"/>
                          </w:rPr>
                          <w:t>Apskaičiuojama, kokią prirašytų prie atitinkamos PAASP įstaigos asmenų, kuriems diagnozuota arterinė hipertenzija (kodai pagal Tarptautinės statistinės ligų ir sveikatos sutrikimų klasifikacijos dešimtąjį pataisytą ir papildytą leidimą „Sisteminis ligų sąrašas“ (Australijos modifikacija, TLK-10-AM), įdiegtą Lietuvos Respublikos sveikatos apsaugos ministro 2011 m. vasario 23 d. įsakymu Nr. V-164 „Dėl Tarptautinės statistinės ligų ir sveikatos sutrikimų klasifikacijos dešimtojo pataisyto ir papildyto leidimo „Sisteminis ligų sąrašas“ (Australijos modifikacija, TLK-10-AM) įdiegimo“, – I10–I15) arba cukrinis diabetas (kodai pagal TLK-10-AM – E10–E14), arba astma (kodai pagal TLK-10-AM – J45 ir J46), arba pneumonija (kodai pagal TLK-10-AM – J13, J14, J15.3, J15.4, J15.7, J15.9, J16.8, J18.1, J18.8, J18.9), arba stazinis širdies nepakankamu-mas (kodas I50 pagal TLK-10-AM), arba ausų, nosies, gerklės infekcijos (kodai pagal TLK-10-AM – H66, H67, J02, J03, J06, J10, J11, J31.2), arba pielonefritas (kodai pagal TLK-10-AM – N10, N11, N1, N39.0), arba obstrukcinė plaučių liga (kodai pagal TLK-10-AM – J41, J42, J43, J44, J47), dalį sudaro asmenys, ataskaitiniu laikotarpiu hospitalizuoti dėl šių ligų (hospitalizavimo atvejai).</w:t>
                        </w:r>
                      </w:p>
                    </w:tc>
                    <w:tc>
                      <w:tcPr>
                        <w:tcW w:w="1523" w:type="pct"/>
                        <w:tcBorders>
                          <w:top w:val="single" w:sz="4" w:space="0" w:color="auto"/>
                          <w:left w:val="single" w:sz="4" w:space="0" w:color="auto"/>
                          <w:bottom w:val="single" w:sz="4" w:space="0" w:color="auto"/>
                          <w:right w:val="single" w:sz="4" w:space="0" w:color="auto"/>
                        </w:tcBorders>
                      </w:tcPr>
                      <w:p>
                        <w:pPr>
                          <w:rPr>
                            <w:rFonts w:eastAsia="Calibri"/>
                            <w:color w:val="000000"/>
                            <w:szCs w:val="24"/>
                          </w:rPr>
                        </w:pPr>
                        <w:r>
                          <w:rPr>
                            <w:rFonts w:eastAsia="Calibri"/>
                            <w:color w:val="000000"/>
                            <w:szCs w:val="24"/>
                          </w:rPr>
                          <w:t xml:space="preserve">Bendras prirašytų prie PAASP įstaigos asmenų, kuriems diagnozuota  arterinė hipertenzija (kodai pagal TLK-10-AM) – I10–I15), arba cukrinis diabetas (kodai pagal TLK-10-AM – E10–E14), arba astma (kodai pagal TLK-10-AM – J45 ir J46), arba pneumonija (kodai pagal TLK-10-AM – J13, J14, J15.3, J15.4, J15.7, J15.9, J16.8, J18.1, J18.8, J18.9), arba stazinis širdies nepakankamumas (kodas I50 pagal TLK-10-AM), arba ausų, nosies, gerklės infekcijos (kodai pagal TLK-10-AM – H66, H67, J02, J03, J06, J10, J11, J31.2), arba pielonefritas (kodai pagal TLK-10-AM – N10, N11, N1, N39.0), arba obstrukcinė plaučių liga (kodai pagal TLK-10-AM – J41, J42, J43, J44, J47), skaičius. </w:t>
                        </w:r>
                      </w:p>
                      <w:p>
                        <w:pPr>
                          <w:rPr>
                            <w:rFonts w:eastAsia="Calibri"/>
                            <w:szCs w:val="24"/>
                          </w:rPr>
                        </w:pPr>
                        <w:r>
                          <w:rPr>
                            <w:rFonts w:eastAsia="Calibri"/>
                            <w:color w:val="000000"/>
                            <w:szCs w:val="24"/>
                          </w:rPr>
                          <w:t>Imamas asmenų, kurių ambulatorinėje statistinėje kortelėje (forma Nr. 025/a-LK) per kalendorinius metus bent vieną kartą buvo įrašyta viena iš pirmiau išvardytų diagnozių, skaičius.</w:t>
                        </w:r>
                        <w:r>
                          <w:rPr>
                            <w:rFonts w:eastAsia="Calibri"/>
                            <w:b/>
                            <w:bCs/>
                            <w:color w:val="000000"/>
                            <w:szCs w:val="24"/>
                          </w:rPr>
                          <w:t>****</w:t>
                        </w:r>
                      </w:p>
                    </w:tc>
                    <w:tc>
                      <w:tcPr>
                        <w:tcW w:w="1063" w:type="pct"/>
                        <w:gridSpan w:val="3"/>
                        <w:tcBorders>
                          <w:top w:val="single" w:sz="4" w:space="0" w:color="auto"/>
                          <w:left w:val="single" w:sz="4" w:space="0" w:color="auto"/>
                          <w:bottom w:val="single" w:sz="4" w:space="0" w:color="auto"/>
                          <w:right w:val="single" w:sz="4" w:space="0" w:color="auto"/>
                        </w:tcBorders>
                      </w:tcPr>
                      <w:p>
                        <w:pPr>
                          <w:rPr>
                            <w:rFonts w:eastAsia="Calibri"/>
                            <w:color w:val="000000"/>
                            <w:szCs w:val="24"/>
                          </w:rPr>
                        </w:pPr>
                        <w:r>
                          <w:rPr>
                            <w:rFonts w:eastAsia="Calibri"/>
                            <w:color w:val="000000"/>
                            <w:szCs w:val="24"/>
                          </w:rPr>
                          <w:t>Hospitalizavimo dėl atitinkamos ligos – arterinės hipertenzijos (kodai pagal TLK-10-AM) – I10–I15), arba cukrinio diabeto (kodai pagal TLK-10-AM – E10–E14), arba astmos (kodai pagal TLK-10-AM – J45 ir J46), arba pneumonijos (kodai pagal TLK-10-AM – J13, J14, J15.3, J15.4, J15.7, J15.9, J16.8, J18.1, J18.8, J18.9), arba stazinio širdies nepakankamumo (kodas I50 pagal TLK-10-AM), arba ausų, nosies, gerklės infekcijos (kodai pagal TLK-10-AM – H66, H67, J02, J03, J06, J10, J11, J31.2), arba pielonefrito (kodai pagal TLK-10-AM – N10, N11, N1, N39.0), arba obstrukcinės plaučių ligos (kodai pagal TLK-10-AM – J41, J42, J43, J44, J47) – atvejų, tenkančių konkrečiai PAASP įstaigai, skaičius.</w:t>
                        </w:r>
                      </w:p>
                      <w:p>
                        <w:pPr>
                          <w:rPr>
                            <w:rFonts w:eastAsia="Calibri"/>
                            <w:szCs w:val="24"/>
                          </w:rPr>
                        </w:pPr>
                        <w:r>
                          <w:rPr>
                            <w:rFonts w:eastAsia="Calibri"/>
                            <w:color w:val="000000"/>
                            <w:szCs w:val="24"/>
                          </w:rPr>
                          <w:t>Naudojami formos Nr. 066/a-LK „Stacionare gydomo asmens statistinė kortelė“, patvirtintos Lietuvos Respublikos sveikatos apsaugos ministro 1998 m. lapkričio 26 d. įsakymu Nr. 687 „Dėl medicininės apskaitos dokumentų formų tvirtinimo“(toliau – forma Nr. 066/a-LK), duomenys apie hospitalizacijos atvejų skaičių. Tikrinama, ar prisirašiusiam prie PAASP įstaigos asmeniui, kuriam nustatyta atitinkama diagnozė, per kalendorinius metus bent kartą formoje Nr. 066/a-LK ši diagnozė buvo nurodyta kaip pagrindinė. Jeigu formoje Nr. 066/a-LK ši diagnozė nurodoma kaip pagrindinė ir nurodoma, kad buvo suteikta bent viena iš stacionarinių asmens sveikatos priežiūros paslaugų (be dienos chirurgijos ir reabilitacijos paslaugų), tas atvejis skaičiuojamas kaip hospitalizavimo atvejis.</w:t>
                        </w:r>
                        <w:r>
                          <w:rPr>
                            <w:rFonts w:eastAsia="Calibri"/>
                            <w:b/>
                            <w:bCs/>
                            <w:color w:val="000000"/>
                            <w:szCs w:val="24"/>
                          </w:rPr>
                          <w:t>*****</w:t>
                        </w:r>
                      </w:p>
                    </w:tc>
                  </w:tr>
                  <w:tr>
                    <w:tc>
                      <w:tcPr>
                        <w:tcW w:w="292" w:type="pct"/>
                      </w:tcPr>
                      <w:p>
                        <w:pPr>
                          <w:rPr>
                            <w:rFonts w:eastAsia="Calibri"/>
                            <w:szCs w:val="24"/>
                          </w:rPr>
                        </w:pPr>
                        <w:r>
                          <w:rPr>
                            <w:rFonts w:eastAsia="Calibri"/>
                            <w:szCs w:val="24"/>
                          </w:rPr>
                          <w:t>5.</w:t>
                        </w:r>
                      </w:p>
                    </w:tc>
                    <w:tc>
                      <w:tcPr>
                        <w:tcW w:w="944" w:type="pct"/>
                        <w:gridSpan w:val="3"/>
                      </w:tcPr>
                      <w:p>
                        <w:pPr>
                          <w:rPr>
                            <w:rFonts w:eastAsia="Calibri"/>
                            <w:szCs w:val="24"/>
                          </w:rPr>
                        </w:pPr>
                      </w:p>
                    </w:tc>
                    <w:tc>
                      <w:tcPr>
                        <w:tcW w:w="3763" w:type="pct"/>
                        <w:gridSpan w:val="5"/>
                      </w:tcPr>
                      <w:p>
                        <w:pPr>
                          <w:rPr>
                            <w:rFonts w:eastAsia="Calibri"/>
                            <w:szCs w:val="24"/>
                          </w:rPr>
                        </w:pPr>
                        <w:r>
                          <w:rPr>
                            <w:rFonts w:eastAsia="Calibri"/>
                            <w:szCs w:val="24"/>
                          </w:rPr>
                          <w:t>Racionalus antimikrobinių vaistų skyrimas vaikams:</w:t>
                        </w:r>
                      </w:p>
                    </w:tc>
                  </w:tr>
                  <w:tr>
                    <w:tc>
                      <w:tcPr>
                        <w:tcW w:w="292" w:type="pct"/>
                      </w:tcPr>
                      <w:p>
                        <w:pPr>
                          <w:rPr>
                            <w:rFonts w:eastAsia="Calibri"/>
                            <w:szCs w:val="24"/>
                          </w:rPr>
                        </w:pPr>
                        <w:r>
                          <w:rPr>
                            <w:rFonts w:eastAsia="Calibri"/>
                            <w:szCs w:val="24"/>
                          </w:rPr>
                          <w:t>5.1.</w:t>
                        </w:r>
                      </w:p>
                    </w:tc>
                    <w:tc>
                      <w:tcPr>
                        <w:tcW w:w="939" w:type="pct"/>
                        <w:gridSpan w:val="2"/>
                      </w:tcPr>
                      <w:p>
                        <w:pPr>
                          <w:rPr>
                            <w:sz w:val="8"/>
                            <w:szCs w:val="8"/>
                          </w:rPr>
                        </w:pPr>
                      </w:p>
                      <w:p>
                        <w:pPr>
                          <w:rPr>
                            <w:rFonts w:eastAsia="Calibri"/>
                            <w:szCs w:val="24"/>
                            <w:lang w:eastAsia="lt-LT"/>
                          </w:rPr>
                        </w:pPr>
                        <w:r>
                          <w:rPr>
                            <w:rFonts w:eastAsia="Calibri"/>
                            <w:szCs w:val="24"/>
                            <w:lang w:eastAsia="lt-LT"/>
                          </w:rPr>
                          <w:t>Siauro spektro antimikrobinių vaistų (fenoksimetilpe –nicilino) skyrimo dažnis</w:t>
                        </w:r>
                      </w:p>
                    </w:tc>
                    <w:tc>
                      <w:tcPr>
                        <w:tcW w:w="1182" w:type="pct"/>
                        <w:gridSpan w:val="2"/>
                      </w:tcPr>
                      <w:p>
                        <w:pPr>
                          <w:spacing w:line="216" w:lineRule="auto"/>
                          <w:rPr>
                            <w:rFonts w:eastAsia="Calibri"/>
                            <w:color w:val="000000"/>
                            <w:szCs w:val="24"/>
                            <w:lang w:eastAsia="lt-LT"/>
                          </w:rPr>
                        </w:pPr>
                        <w:r>
                          <w:rPr>
                            <w:rFonts w:eastAsia="Calibri"/>
                            <w:color w:val="000000"/>
                            <w:szCs w:val="24"/>
                            <w:lang w:eastAsia="lt-LT"/>
                          </w:rPr>
                          <w:t xml:space="preserve">Apskaičiuojama, kokią kompensuoja –mųjų antimikrobinių vaistų receptų, ataskaitiniu laikotarpiu išrašytų  prirašytiems prie atitinkamos PAASP įstaigos 0–7 metų vaikams, dalį sudaro ataskaitiniu laikotarpiu išrašyti kompensuoja – mųjų siauro veikimo spektro antimikrobinių vaistų (fenoksimetilpe –nicilino) receptai. </w:t>
                        </w:r>
                      </w:p>
                    </w:tc>
                    <w:tc>
                      <w:tcPr>
                        <w:tcW w:w="1557" w:type="pct"/>
                        <w:gridSpan w:val="2"/>
                      </w:tcPr>
                      <w:p>
                        <w:pPr>
                          <w:spacing w:line="216" w:lineRule="auto"/>
                          <w:rPr>
                            <w:rFonts w:eastAsia="Calibri"/>
                            <w:color w:val="000000"/>
                            <w:szCs w:val="24"/>
                            <w:lang w:eastAsia="lt-LT"/>
                          </w:rPr>
                        </w:pPr>
                        <w:r>
                          <w:rPr>
                            <w:rFonts w:eastAsia="Calibri"/>
                            <w:color w:val="000000"/>
                            <w:szCs w:val="24"/>
                            <w:lang w:eastAsia="lt-LT"/>
                          </w:rPr>
                          <w:t xml:space="preserve">Bendras kompensuojamųjų antimikrobinių vaistų  (vaistinio preparato grupės kodas pagal Anatominę terapinę cheminę klasifikaciją (toliau – ATC) – J01) receptų (popierinių  ir elektroninių),    išrašytų prirašytiems prie PAASP įstaigos 0–7 metų vaikams, skaičius.</w:t>
                        </w: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rPr>
                        </w:pPr>
                        <w:r>
                          <w:rPr>
                            <w:rFonts w:eastAsia="Calibri"/>
                            <w:color w:val="000000"/>
                            <w:szCs w:val="24"/>
                          </w:rPr>
                          <w:t xml:space="preserve">Imami duomenys apie  išrašytų per kalendorinius metus 0–7 metų vaikams  kompensuojamųjų antimikrobinių vaistų receptų skaičių.</w:t>
                        </w:r>
                      </w:p>
                    </w:tc>
                    <w:tc>
                      <w:tcPr>
                        <w:tcW w:w="1029" w:type="pct"/>
                        <w:gridSpan w:val="2"/>
                      </w:tcPr>
                      <w:p>
                        <w:pPr>
                          <w:rPr>
                            <w:rFonts w:eastAsia="Calibri"/>
                            <w:color w:val="000000"/>
                            <w:szCs w:val="24"/>
                            <w:lang w:eastAsia="lt-LT"/>
                          </w:rPr>
                        </w:pPr>
                        <w:r>
                          <w:rPr>
                            <w:rFonts w:eastAsia="Calibri"/>
                            <w:color w:val="000000"/>
                            <w:szCs w:val="24"/>
                            <w:lang w:eastAsia="lt-LT"/>
                          </w:rPr>
                          <w:t xml:space="preserve">Prie PAASP įstaigos prirašytų 0–7 metų vaikų, kuriems buvo išrašytas siauro spektro antimikrobinis vaistas (ATC kodas  J01CE02), skaičius.</w:t>
                        </w: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lang w:eastAsia="lt-LT"/>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rPr>
                        </w:pPr>
                        <w:r>
                          <w:rPr>
                            <w:rFonts w:eastAsia="Calibri"/>
                            <w:color w:val="000000"/>
                            <w:szCs w:val="24"/>
                          </w:rPr>
                          <w:t xml:space="preserve">Imami duomenys apie  išrašytų per kalendorinius metus  prirašytiems prie PAASP įstaigos 0–7 metų vaikams kompensuojamųjų siauro spektro antimikrobinių vaistų (ATC kodas J01CE02) receptų skaičių.</w:t>
                        </w:r>
                      </w:p>
                    </w:tc>
                  </w:tr>
                  <w:tr>
                    <w:tc>
                      <w:tcPr>
                        <w:tcW w:w="292" w:type="pct"/>
                      </w:tcPr>
                      <w:p>
                        <w:pPr>
                          <w:rPr>
                            <w:rFonts w:eastAsia="Calibri"/>
                            <w:szCs w:val="24"/>
                          </w:rPr>
                        </w:pPr>
                        <w:r>
                          <w:rPr>
                            <w:rFonts w:eastAsia="Calibri"/>
                            <w:szCs w:val="24"/>
                          </w:rPr>
                          <w:t>5.2.</w:t>
                        </w:r>
                      </w:p>
                    </w:tc>
                    <w:tc>
                      <w:tcPr>
                        <w:tcW w:w="939" w:type="pct"/>
                        <w:gridSpan w:val="2"/>
                      </w:tcPr>
                      <w:p>
                        <w:pPr>
                          <w:rPr>
                            <w:sz w:val="8"/>
                            <w:szCs w:val="8"/>
                          </w:rPr>
                        </w:pPr>
                      </w:p>
                      <w:p>
                        <w:pPr>
                          <w:rPr>
                            <w:rFonts w:eastAsia="Calibri"/>
                            <w:color w:val="000000"/>
                            <w:szCs w:val="24"/>
                            <w:lang w:eastAsia="lt-LT"/>
                          </w:rPr>
                        </w:pPr>
                        <w:r>
                          <w:rPr>
                            <w:rFonts w:eastAsia="Calibri"/>
                            <w:color w:val="000000"/>
                            <w:szCs w:val="24"/>
                            <w:lang w:eastAsia="lt-LT"/>
                          </w:rPr>
                          <w:t>Bendras antimikrobinių vaistų skyrimo dažnis</w:t>
                        </w:r>
                      </w:p>
                    </w:tc>
                    <w:tc>
                      <w:tcPr>
                        <w:tcW w:w="1182" w:type="pct"/>
                        <w:gridSpan w:val="2"/>
                      </w:tcPr>
                      <w:p>
                        <w:pPr>
                          <w:rPr>
                            <w:rFonts w:eastAsia="Calibri"/>
                            <w:color w:val="000000"/>
                            <w:szCs w:val="24"/>
                          </w:rPr>
                        </w:pPr>
                        <w:r>
                          <w:rPr>
                            <w:rFonts w:eastAsia="Calibri"/>
                            <w:color w:val="000000"/>
                            <w:szCs w:val="24"/>
                          </w:rPr>
                          <w:t xml:space="preserve">Apskaičiuojama, kokią  ataskaitiniu laikotarpiu viršutinių kvėpavimo takų infekcija (kodai  pagal TLK-10-AM – J00–J06) sirgusių 0–7 metų vaikų, prirašytų prie atitinkamos PAASP įstaigos, dalį sudaro vaikai, kuriems ataskaitiniu laikotarpiu buvo išrašyti kompensuoja –mųjų antimikrobinių vaistų receptai. </w:t>
                        </w:r>
                      </w:p>
                    </w:tc>
                    <w:tc>
                      <w:tcPr>
                        <w:tcW w:w="1557" w:type="pct"/>
                        <w:gridSpan w:val="2"/>
                      </w:tcPr>
                      <w:p>
                        <w:pPr>
                          <w:rPr>
                            <w:rFonts w:eastAsia="Calibri"/>
                            <w:color w:val="000000"/>
                            <w:szCs w:val="24"/>
                          </w:rPr>
                        </w:pPr>
                        <w:r>
                          <w:rPr>
                            <w:rFonts w:eastAsia="Calibri"/>
                            <w:color w:val="000000"/>
                            <w:szCs w:val="24"/>
                          </w:rPr>
                          <w:t xml:space="preserve">Bendras prirašytų prie PAASP įstaigos 0–7 metų vaikų, sirgusių viršutinių kvėpavimo takų infekcija (kodai  pagal TLK-10-AM – J00–J06), skaičius.</w:t>
                        </w:r>
                      </w:p>
                      <w:p>
                        <w:pPr>
                          <w:rPr>
                            <w:sz w:val="18"/>
                            <w:szCs w:val="18"/>
                          </w:rPr>
                        </w:pPr>
                      </w:p>
                      <w:p>
                        <w:pPr>
                          <w:spacing w:line="216" w:lineRule="auto"/>
                          <w:rPr>
                            <w:rFonts w:eastAsia="Calibri"/>
                            <w:color w:val="000000"/>
                            <w:szCs w:val="24"/>
                            <w:lang w:eastAsia="lt-LT"/>
                          </w:rPr>
                        </w:pPr>
                      </w:p>
                      <w:p>
                        <w:pPr>
                          <w:rPr>
                            <w:sz w:val="18"/>
                            <w:szCs w:val="18"/>
                          </w:rPr>
                        </w:pPr>
                      </w:p>
                      <w:p>
                        <w:pPr>
                          <w:spacing w:line="216" w:lineRule="auto"/>
                          <w:ind w:firstLine="1612"/>
                          <w:rPr>
                            <w:rFonts w:ascii="Calibri" w:eastAsia="Calibri" w:hAnsi="Calibri" w:cs="+mn-cs"/>
                            <w:color w:val="000000"/>
                            <w:kern w:val="24"/>
                            <w:szCs w:val="24"/>
                            <w:lang w:eastAsia="lt-LT"/>
                          </w:rPr>
                        </w:pPr>
                        <w:r>
                          <w:rPr>
                            <w:rFonts w:eastAsia="Calibri"/>
                            <w:color w:val="000000"/>
                            <w:szCs w:val="24"/>
                            <w:lang w:eastAsia="lt-LT"/>
                          </w:rPr>
                          <w:t xml:space="preserve">Imami prirašytų prie PAASP įstaigos 0–7 metų vaikų, kurių  formoje 025/a-LK </w:t>
                        </w:r>
                        <w:r>
                          <w:rPr>
                            <w:rFonts w:eastAsia="Calibri"/>
                            <w:szCs w:val="24"/>
                            <w:lang w:eastAsia="lt-LT"/>
                          </w:rPr>
                          <w:t>„Asmens ambulatorinio gydymo statistinė kortelė“, patvirtintoje Lietuvos Respublikos sveikatos apsaugos ministro 1998 m. lapkričio 26 d. įsakymu Nr. 687 „Dėl medicininės apskaitos dokumentų formų tvirtinimo“ (toliau – forma Nr. 025/a-LK) arba formoje Nr. 066/a-LK ataskaitiniu</w:t>
                        </w:r>
                        <w:r>
                          <w:rPr>
                            <w:rFonts w:eastAsia="Calibri"/>
                            <w:color w:val="000000"/>
                            <w:szCs w:val="24"/>
                            <w:lang w:eastAsia="lt-LT"/>
                          </w:rPr>
                          <w:t xml:space="preserve"> laikotarpiu (kalendoriniais metais) bent vieną kartą  buvo nurodyta viršutinių kvėpavimo takų infekcijos diagnozė, duomenys.</w:t>
                        </w:r>
                      </w:p>
                      <w:p>
                        <w:pPr>
                          <w:rPr>
                            <w:sz w:val="18"/>
                            <w:szCs w:val="18"/>
                          </w:rPr>
                        </w:pPr>
                      </w:p>
                      <w:p>
                        <w:pPr>
                          <w:spacing w:line="216" w:lineRule="auto"/>
                          <w:rPr>
                            <w:rFonts w:eastAsia="Calibri"/>
                            <w:color w:val="000000"/>
                            <w:szCs w:val="24"/>
                            <w:lang w:eastAsia="lt-LT"/>
                          </w:rPr>
                        </w:pPr>
                      </w:p>
                    </w:tc>
                    <w:tc>
                      <w:tcPr>
                        <w:tcW w:w="1029" w:type="pct"/>
                        <w:gridSpan w:val="2"/>
                      </w:tcPr>
                      <w:p>
                        <w:pPr>
                          <w:rPr>
                            <w:rFonts w:eastAsia="Calibri"/>
                            <w:color w:val="000000"/>
                            <w:szCs w:val="24"/>
                          </w:rPr>
                        </w:pPr>
                        <w:r>
                          <w:rPr>
                            <w:rFonts w:eastAsia="Calibri"/>
                            <w:color w:val="000000"/>
                            <w:szCs w:val="24"/>
                          </w:rPr>
                          <w:t xml:space="preserve">Prirašytų prie PAASP įstaigos 0–7 metų vaikų, sirgusių viršutinių kvėpavimo takų infekcija (kodai  pagal TLK-10-AM – J00–J06), kuriems buvo išrašyti kompensuojamųjų antimikrobinių vaistų  (ATC kodas J01) receptai, skaičius.</w:t>
                        </w:r>
                      </w:p>
                      <w:p>
                        <w:pPr>
                          <w:rPr>
                            <w:rFonts w:eastAsia="Calibri"/>
                            <w:color w:val="000000"/>
                            <w:szCs w:val="24"/>
                          </w:rPr>
                        </w:pPr>
                      </w:p>
                      <w:p>
                        <w:pPr>
                          <w:tabs>
                            <w:tab w:val="left" w:pos="1134"/>
                            <w:tab w:val="left" w:pos="1276"/>
                            <w:tab w:val="left" w:pos="1418"/>
                            <w:tab w:val="left" w:pos="1560"/>
                            <w:tab w:val="left" w:pos="184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
                          <w:rPr>
                            <w:rFonts w:eastAsia="Calibri"/>
                            <w:color w:val="000000"/>
                            <w:szCs w:val="24"/>
                          </w:rPr>
                        </w:pPr>
                        <w:r>
                          <w:rPr>
                            <w:rFonts w:eastAsia="Calibri"/>
                            <w:color w:val="000000"/>
                            <w:szCs w:val="24"/>
                          </w:rPr>
                          <w:t xml:space="preserve">Imamas  atvejų, kai prie PAASP įstaigos prirašytiems 0–7 metų vaikams, kurių formoje Nr. 025/a-LK arba formoje Nr. 066/a-LK ataskaitiniu laikotarpiu (kalendoriniais metais) bent vieną kartą buvo</w:t>
                        </w:r>
                        <w:r>
                          <w:rPr>
                            <w:rFonts w:ascii="Calibri" w:eastAsia="Calibri" w:hAnsi="Calibri"/>
                            <w:color w:val="000000"/>
                            <w:sz w:val="22"/>
                            <w:szCs w:val="22"/>
                          </w:rPr>
                          <w:t xml:space="preserve"> </w:t>
                        </w:r>
                        <w:r>
                          <w:rPr>
                            <w:rFonts w:eastAsia="Calibri"/>
                            <w:color w:val="000000"/>
                            <w:szCs w:val="24"/>
                          </w:rPr>
                          <w:t xml:space="preserve">nurodyta viršutinių kvėpavimo takų infekcijos diagnozė (kodai  pagal TLK-10-AM – J00–J06), buvo išrašomi kompensuojamųjų antimikrobinių vaistų  (ATC kodas J01) receptai, skaičius. Atvejai, kai vieno gydymo epizodo metu išrašomas daugiau nei vienas kompensuojamųjų antimikrobinių vaistų receptas, nesumuojami.</w:t>
                        </w:r>
                      </w:p>
                    </w:tc>
                  </w:tr>
                  <w:tr>
                    <w:tc>
                      <w:tcPr>
                        <w:tcW w:w="292" w:type="pct"/>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6.</w:t>
                        </w:r>
                      </w:p>
                    </w:tc>
                    <w:tc>
                      <w:tcPr>
                        <w:tcW w:w="939" w:type="pct"/>
                        <w:gridSpan w:val="2"/>
                        <w:tcBorders>
                          <w:top w:val="single" w:sz="4" w:space="0" w:color="auto"/>
                          <w:left w:val="single" w:sz="4" w:space="0" w:color="auto"/>
                          <w:bottom w:val="single" w:sz="4" w:space="0" w:color="auto"/>
                          <w:right w:val="single" w:sz="4" w:space="0" w:color="auto"/>
                        </w:tcBorders>
                      </w:tcPr>
                      <w:p>
                        <w:pPr>
                          <w:rPr>
                            <w:kern w:val="2"/>
                            <w:szCs w:val="24"/>
                            <w:lang w:eastAsia="lt-LT"/>
                          </w:rPr>
                        </w:pPr>
                        <w:r>
                          <w:rPr>
                            <w:szCs w:val="24"/>
                            <w:lang w:eastAsia="lt-LT"/>
                          </w:rPr>
                          <w:t xml:space="preserve">Efektyvi sergančiųjų 1 arba 2 tipo cukriniu diabetu (kodai pagal TLK-10-AM – E10 arba E11)  HbA1c kontrolė</w:t>
                        </w:r>
                      </w:p>
                    </w:tc>
                    <w:tc>
                      <w:tcPr>
                        <w:tcW w:w="1182" w:type="pct"/>
                        <w:gridSpan w:val="2"/>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 xml:space="preserve">Apskaičiuojama, kokią prirašytų prie PAASP įstaigos asmenų, kuriems diagnozuotas 1 arba 2 tipo cukrinis diabetas (kodai pagal TLK-10-AM – E10 arba E11), dalį sudaro asmenys, kurių HbA1c reikšmė per ataskaitinį laikotarpį 2 kartus atitiko individualizuotą tikslinę HbA1c reikšmę. </w:t>
                        </w:r>
                      </w:p>
                    </w:tc>
                    <w:tc>
                      <w:tcPr>
                        <w:tcW w:w="1557" w:type="pct"/>
                        <w:gridSpan w:val="2"/>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Bendras prirašytų prie PAASP įstaigos asmenų, kuriems diagnozuotas 1 arba 2 tipo cukrinis diabetas (kodai pagal TLK-10-AM – E10 arba E11), skaičius.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Imami prirašytų prie PAASP įstaigos asmenų, kurių formoje Nr. 025/a-LK arba formoje Nr. 066/a-LK ataskaitiniu laikotarpiu (kalendoriniais metais) buvo nurodyta 1 arba 2 tipo cukrinio diabeto diagnozė (kodai pagal TLK-10-AM – E10 arba E11), duomenys.*</w:t>
                        </w:r>
                      </w:p>
                    </w:tc>
                    <w:tc>
                      <w:tcPr>
                        <w:tcW w:w="1029" w:type="pct"/>
                        <w:gridSpan w:val="2"/>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Prirašytų prie PAASP įstaigos gyventojų, sergančių 1 arba 2 tipo cukriniu diabetu (kodai pagal TLK-10-AM – E10 arba E11), kurių HbA1c reikšmė per ataskaitinį laikotarpį 2 kartus atitiko individualizuotą tikslinę HbA1c reikšmę (pagal Klasifikatorių HbA1c nustatymas, kai atlikto tyrimo rezultato reikšmė atitinka individualizuotą tikslinę HbA1c reikšmę,</w:t>
                        </w:r>
                        <w:r>
                          <w:rPr>
                            <w:b/>
                            <w:bCs/>
                            <w:szCs w:val="24"/>
                            <w:lang w:eastAsia="lt-LT"/>
                          </w:rPr>
                          <w:t xml:space="preserve"> </w:t>
                        </w:r>
                        <w:r>
                          <w:rPr>
                            <w:szCs w:val="24"/>
                            <w:lang w:eastAsia="lt-LT"/>
                          </w:rPr>
                          <w:t>žymimas kodu 4470).</w:t>
                        </w:r>
                      </w:p>
                      <w:p>
                        <w:pPr>
                          <w:rPr>
                            <w:szCs w:val="24"/>
                            <w:lang w:eastAsia="lt-LT"/>
                          </w:rPr>
                        </w:pPr>
                      </w:p>
                      <w:p>
                        <w:pPr>
                          <w:rPr>
                            <w:szCs w:val="24"/>
                            <w:lang w:eastAsia="lt-LT"/>
                          </w:rPr>
                        </w:pPr>
                        <w:r>
                          <w:rPr>
                            <w:szCs w:val="24"/>
                            <w:lang w:eastAsia="lt-LT"/>
                          </w:rPr>
                          <w:t>Imami duomenys apie prirašytus prie PAASP įstaigos asmenis, sergančius 1 arba 2 tipo cukriniu diabetu (kodai pagal TLK-10-AM – E10 arba E11), kurių HbA1c reikšmė per ataskaitinį laikotarpį (kalendorinius metus) 2 kartus atitiko individualizuotą tikslinę HbA1c reikšmę (pagal Klasifikatorių HbA1c nustatymas, kai atlikto tyrimo rezultato reikšmė atitinka individualizuotą tikslinę HbA1c reikšmę,</w:t>
                        </w:r>
                        <w:r>
                          <w:rPr>
                            <w:b/>
                            <w:bCs/>
                            <w:szCs w:val="24"/>
                            <w:lang w:eastAsia="lt-LT"/>
                          </w:rPr>
                          <w:t xml:space="preserve"> </w:t>
                        </w:r>
                        <w:r>
                          <w:rPr>
                            <w:szCs w:val="24"/>
                            <w:lang w:eastAsia="lt-LT"/>
                          </w:rPr>
                          <w:t>žymimas kodu 4470).“</w:t>
                        </w:r>
                      </w:p>
                    </w:tc>
                  </w:tr>
                  <w:tr>
                    <w:tc>
                      <w:tcPr>
                        <w:tcW w:w="932" w:type="pct"/>
                        <w:gridSpan w:val="2"/>
                      </w:tcPr>
                      <w:p>
                        <w:pPr>
                          <w:rPr>
                            <w:rFonts w:eastAsia="Calibri"/>
                            <w:b/>
                            <w:bCs/>
                            <w:szCs w:val="24"/>
                          </w:rPr>
                        </w:pPr>
                      </w:p>
                    </w:tc>
                    <w:tc>
                      <w:tcPr>
                        <w:tcW w:w="4068" w:type="pct"/>
                        <w:gridSpan w:val="7"/>
                      </w:tcPr>
                      <w:p>
                        <w:pPr>
                          <w:rPr>
                            <w:rFonts w:ascii="Calibri" w:eastAsia="Calibri" w:hAnsi="Calibri"/>
                            <w:color w:val="000000"/>
                            <w:szCs w:val="24"/>
                          </w:rPr>
                        </w:pPr>
                        <w:r>
                          <w:rPr>
                            <w:rFonts w:eastAsia="Calibri"/>
                            <w:b/>
                            <w:bCs/>
                            <w:szCs w:val="24"/>
                          </w:rPr>
                          <w:t>Pirminės ambulatorinės odontologinės sveikatos priežiūros rodikliai</w:t>
                        </w:r>
                      </w:p>
                    </w:tc>
                  </w:tr>
                  <w:tr>
                    <w:tc>
                      <w:tcPr>
                        <w:tcW w:w="292"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7.</w:t>
                        </w:r>
                      </w:p>
                    </w:tc>
                    <w:tc>
                      <w:tcPr>
                        <w:tcW w:w="939"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highlight w:val="red"/>
                          </w:rPr>
                        </w:pPr>
                        <w:r>
                          <w:rPr>
                            <w:rFonts w:eastAsia="Calibri"/>
                            <w:color w:val="000000"/>
                            <w:szCs w:val="24"/>
                          </w:rPr>
                          <w:t>Vaikų dantų profilaktinių tikrinimų intensyvumas</w:t>
                        </w:r>
                      </w:p>
                    </w:tc>
                    <w:tc>
                      <w:tcPr>
                        <w:tcW w:w="1182"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lang w:eastAsia="lt-LT"/>
                          </w:rPr>
                        </w:pPr>
                        <w:r>
                          <w:rPr>
                            <w:rFonts w:eastAsia="Calibri"/>
                            <w:color w:val="000000"/>
                            <w:szCs w:val="24"/>
                          </w:rPr>
                          <w:t>Apskaičiuojama, kokią prisirašiusių prie PAASP įstaigos asmenų iki 18 metų dalį sudaro asmenys, kuriems ataskaitiniu laikotarpiu (kalendoriniais metais) buvo suteikta bent viena profilaktinio tikrinimo paslauga.</w:t>
                        </w:r>
                      </w:p>
                    </w:tc>
                    <w:tc>
                      <w:tcPr>
                        <w:tcW w:w="1557"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lang w:eastAsia="lt-LT"/>
                          </w:rPr>
                        </w:pPr>
                        <w:r>
                          <w:rPr>
                            <w:rFonts w:eastAsia="Calibri"/>
                            <w:color w:val="000000"/>
                            <w:szCs w:val="24"/>
                            <w:lang w:eastAsia="lt-LT"/>
                          </w:rPr>
                          <w:t>Bendras prirašytų prie PAASP įstaigos asmenų iki 18 metų skaičius.</w:t>
                        </w: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p>
                      <w:p>
                        <w:pPr>
                          <w:rPr>
                            <w:rFonts w:eastAsia="Calibri"/>
                            <w:color w:val="000000"/>
                            <w:szCs w:val="24"/>
                            <w:lang w:eastAsia="lt-LT"/>
                          </w:rPr>
                        </w:pPr>
                        <w:r>
                          <w:rPr>
                            <w:rFonts w:eastAsia="Calibri"/>
                            <w:color w:val="000000"/>
                            <w:szCs w:val="24"/>
                            <w:lang w:eastAsia="lt-LT"/>
                          </w:rPr>
                          <w:t>Imami duomenys apie visus prirašytus prie PAASP įstaigos vaikus.*</w:t>
                        </w:r>
                      </w:p>
                      <w:p>
                        <w:pPr>
                          <w:rPr>
                            <w:rFonts w:eastAsia="Calibri"/>
                            <w:color w:val="000000"/>
                            <w:szCs w:val="24"/>
                            <w:highlight w:val="yellow"/>
                            <w:lang w:eastAsia="lt-LT"/>
                          </w:rPr>
                        </w:pPr>
                      </w:p>
                    </w:tc>
                    <w:tc>
                      <w:tcPr>
                        <w:tcW w:w="1029"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lang w:eastAsia="lt-LT"/>
                          </w:rPr>
                        </w:pPr>
                        <w:r>
                          <w:rPr>
                            <w:rFonts w:eastAsia="Calibri"/>
                            <w:color w:val="000000"/>
                            <w:szCs w:val="24"/>
                            <w:lang w:eastAsia="lt-LT"/>
                          </w:rPr>
                          <w:t xml:space="preserve">Prirašytų prie PAASP įstaigos asmenų iki 18 metų, kuriems ataskaitiniu laikotarpiu (kalendoriniais metais) buvo suteikta bent viena paslauga, </w:t>
                        </w:r>
                        <w:r>
                          <w:rPr>
                            <w:rFonts w:eastAsia="Calibri"/>
                            <w:szCs w:val="24"/>
                          </w:rPr>
                          <w:t>pagal</w:t>
                        </w:r>
                        <w:r>
                          <w:rPr>
                            <w:rFonts w:eastAsia="Calibri"/>
                            <w:color w:val="000000"/>
                            <w:szCs w:val="24"/>
                          </w:rPr>
                          <w:t xml:space="preserve"> </w:t>
                        </w:r>
                        <w:r>
                          <w:rPr>
                            <w:rFonts w:eastAsia="Calibri"/>
                            <w:color w:val="000000"/>
                            <w:szCs w:val="24"/>
                            <w:lang w:eastAsia="lt-LT"/>
                          </w:rPr>
                          <w:t>Klasifikatorių žymima kodu 3142</w:t>
                        </w:r>
                        <w:r>
                          <w:rPr>
                            <w:rFonts w:ascii="Arial" w:hAnsi="Arial" w:cs="Arial"/>
                            <w:kern w:val="2"/>
                            <w:sz w:val="22"/>
                            <w:szCs w:val="22"/>
                          </w:rPr>
                          <w:t xml:space="preserve"> </w:t>
                        </w:r>
                        <w:r>
                          <w:rPr>
                            <w:rFonts w:eastAsia="Calibri"/>
                            <w:color w:val="000000"/>
                            <w:szCs w:val="24"/>
                            <w:lang w:eastAsia="lt-LT"/>
                          </w:rPr>
                          <w:t>arba kodais 4657–4662, skaičius.</w:t>
                        </w:r>
                      </w:p>
                      <w:p>
                        <w:pPr>
                          <w:rPr>
                            <w:rFonts w:eastAsia="Calibri"/>
                            <w:color w:val="000000"/>
                            <w:szCs w:val="24"/>
                            <w:lang w:eastAsia="lt-LT"/>
                          </w:rPr>
                        </w:pPr>
                      </w:p>
                      <w:p>
                        <w:pPr>
                          <w:rPr>
                            <w:rFonts w:eastAsia="Calibri"/>
                            <w:color w:val="000000"/>
                            <w:szCs w:val="24"/>
                            <w:lang w:eastAsia="lt-LT"/>
                          </w:rPr>
                        </w:pPr>
                        <w:r>
                          <w:rPr>
                            <w:rFonts w:eastAsia="Calibri"/>
                            <w:color w:val="000000"/>
                            <w:szCs w:val="24"/>
                            <w:lang w:eastAsia="lt-LT"/>
                          </w:rPr>
                          <w:t xml:space="preserve">Imami duomenys apie prirašytus prie PAASP įstaigos vaikus, kuriems buvo suteikta bent viena paslauga, </w:t>
                        </w:r>
                        <w:r>
                          <w:rPr>
                            <w:rFonts w:eastAsia="Calibri"/>
                            <w:color w:val="000000"/>
                            <w:szCs w:val="24"/>
                          </w:rPr>
                          <w:t xml:space="preserve">pagal </w:t>
                        </w:r>
                        <w:r>
                          <w:rPr>
                            <w:rFonts w:eastAsia="Calibri"/>
                            <w:color w:val="000000"/>
                            <w:szCs w:val="24"/>
                            <w:lang w:eastAsia="lt-LT"/>
                          </w:rPr>
                          <w:t>Klasifikatorių žymima kodu 3142</w:t>
                        </w:r>
                        <w:r>
                          <w:rPr>
                            <w:rFonts w:ascii="Arial" w:hAnsi="Arial" w:cs="Arial"/>
                            <w:kern w:val="2"/>
                            <w:sz w:val="22"/>
                            <w:szCs w:val="22"/>
                          </w:rPr>
                          <w:t xml:space="preserve"> </w:t>
                        </w:r>
                        <w:r>
                          <w:rPr>
                            <w:rFonts w:eastAsia="Calibri"/>
                            <w:color w:val="000000"/>
                            <w:szCs w:val="24"/>
                            <w:lang w:eastAsia="lt-LT"/>
                          </w:rPr>
                          <w:t>arba kodais 4657–4662.*</w:t>
                        </w:r>
                      </w:p>
                    </w:tc>
                  </w:tr>
                  <w:tr>
                    <w:tc>
                      <w:tcPr>
                        <w:tcW w:w="932" w:type="pct"/>
                        <w:gridSpan w:val="2"/>
                      </w:tcPr>
                      <w:p>
                        <w:pPr>
                          <w:spacing w:line="216" w:lineRule="auto"/>
                          <w:rPr>
                            <w:rFonts w:eastAsia="Calibri"/>
                            <w:b/>
                            <w:bCs/>
                            <w:szCs w:val="24"/>
                          </w:rPr>
                        </w:pPr>
                      </w:p>
                    </w:tc>
                    <w:tc>
                      <w:tcPr>
                        <w:tcW w:w="4068" w:type="pct"/>
                        <w:gridSpan w:val="7"/>
                      </w:tcPr>
                      <w:p>
                        <w:pPr>
                          <w:spacing w:line="216" w:lineRule="auto"/>
                          <w:rPr>
                            <w:rFonts w:ascii="Calibri" w:eastAsia="Calibri" w:hAnsi="Calibri"/>
                            <w:color w:val="000000"/>
                            <w:szCs w:val="24"/>
                            <w:lang w:eastAsia="lt-LT"/>
                          </w:rPr>
                        </w:pPr>
                        <w:r>
                          <w:rPr>
                            <w:rFonts w:eastAsia="Calibri"/>
                            <w:b/>
                            <w:bCs/>
                            <w:szCs w:val="24"/>
                          </w:rPr>
                          <w:t>Pirminės ambulatorinės psichikos sveikatos priežiūros rodikliai</w:t>
                        </w:r>
                      </w:p>
                    </w:tc>
                  </w:tr>
                  <w:tr>
                    <w:tc>
                      <w:tcPr>
                        <w:tcW w:w="292" w:type="pct"/>
                      </w:tcPr>
                      <w:p>
                        <w:pPr>
                          <w:rPr>
                            <w:rFonts w:eastAsia="Calibri"/>
                            <w:szCs w:val="24"/>
                          </w:rPr>
                        </w:pPr>
                        <w:r>
                          <w:rPr>
                            <w:rFonts w:eastAsia="Calibri"/>
                            <w:szCs w:val="24"/>
                          </w:rPr>
                          <w:t>8.</w:t>
                        </w:r>
                      </w:p>
                    </w:tc>
                    <w:tc>
                      <w:tcPr>
                        <w:tcW w:w="939" w:type="pct"/>
                        <w:gridSpan w:val="2"/>
                      </w:tcPr>
                      <w:p>
                        <w:pPr>
                          <w:rPr>
                            <w:sz w:val="8"/>
                            <w:szCs w:val="8"/>
                          </w:rPr>
                        </w:pPr>
                      </w:p>
                      <w:p>
                        <w:pPr>
                          <w:rPr>
                            <w:rFonts w:eastAsia="Calibri"/>
                            <w:color w:val="000000"/>
                            <w:szCs w:val="24"/>
                          </w:rPr>
                        </w:pPr>
                        <w:r>
                          <w:rPr>
                            <w:rFonts w:eastAsia="Calibri"/>
                            <w:color w:val="000000"/>
                            <w:szCs w:val="24"/>
                          </w:rPr>
                          <w:t>Sergančiųjų šizofrenija hospitalizacijos dažnis</w:t>
                        </w:r>
                      </w:p>
                    </w:tc>
                    <w:tc>
                      <w:tcPr>
                        <w:tcW w:w="1182" w:type="pct"/>
                        <w:gridSpan w:val="2"/>
                      </w:tcPr>
                      <w:p>
                        <w:pPr>
                          <w:rPr>
                            <w:rFonts w:eastAsia="Calibri"/>
                            <w:color w:val="000000"/>
                            <w:szCs w:val="24"/>
                            <w:lang w:eastAsia="lt-LT"/>
                          </w:rPr>
                        </w:pPr>
                        <w:r>
                          <w:rPr>
                            <w:rFonts w:eastAsia="Calibri"/>
                            <w:color w:val="000000"/>
                            <w:szCs w:val="24"/>
                          </w:rPr>
                          <w:t xml:space="preserve">Apskaičiuojama, kokią  prisirašiusių prie psichikos sveikatos centro asmenų, kuriems diagnozuota </w:t>
                        </w:r>
                        <w:r>
                          <w:rPr>
                            <w:rFonts w:ascii="Calibri" w:eastAsia="Calibri" w:hAnsi="Calibri"/>
                            <w:color w:val="000000"/>
                            <w:sz w:val="22"/>
                            <w:szCs w:val="22"/>
                          </w:rPr>
                          <w:t xml:space="preserve"> </w:t>
                        </w:r>
                        <w:r>
                          <w:rPr>
                            <w:rFonts w:eastAsia="Calibri"/>
                            <w:color w:val="000000"/>
                            <w:szCs w:val="24"/>
                          </w:rPr>
                          <w:t>šizofrenija (kodas F20 pagal TLK-10-AM), dalį sudaro asmenys, ataskaitiniu laikotarpiu bent vieną kartą hospitalizuoti dėl šios ligos.</w:t>
                        </w:r>
                      </w:p>
                    </w:tc>
                    <w:tc>
                      <w:tcPr>
                        <w:tcW w:w="1557" w:type="pct"/>
                        <w:gridSpan w:val="2"/>
                      </w:tcPr>
                      <w:p>
                        <w:pPr>
                          <w:rPr>
                            <w:rFonts w:eastAsia="Calibri"/>
                            <w:color w:val="000000"/>
                            <w:szCs w:val="24"/>
                          </w:rPr>
                        </w:pPr>
                        <w:r>
                          <w:rPr>
                            <w:rFonts w:eastAsia="Calibri"/>
                            <w:color w:val="000000"/>
                            <w:szCs w:val="24"/>
                          </w:rPr>
                          <w:t xml:space="preserve">Bendras  prirašytų prie psichikos sveikatos centro asmenų, kuriems diagnozuota šizofrenija (kodas F20 pagal TLK-10-AM), skaičius.</w:t>
                        </w:r>
                      </w:p>
                      <w:p>
                        <w:pPr>
                          <w:ind w:firstLine="124"/>
                          <w:rPr>
                            <w:rFonts w:eastAsia="Calibri"/>
                            <w:color w:val="000000"/>
                            <w:szCs w:val="24"/>
                          </w:rPr>
                        </w:pPr>
                      </w:p>
                      <w:p>
                        <w:pPr>
                          <w:rPr>
                            <w:rFonts w:eastAsia="Calibri"/>
                            <w:color w:val="000000"/>
                            <w:szCs w:val="24"/>
                          </w:rPr>
                        </w:pPr>
                        <w:r>
                          <w:rPr>
                            <w:rFonts w:eastAsia="Calibri"/>
                            <w:color w:val="000000"/>
                            <w:szCs w:val="24"/>
                          </w:rPr>
                          <w:t xml:space="preserve">Imami duomenys apie visus prie psichikos sveikatos centro prirašytus asmenis, kuriems diagnozuota  šizofrenija (kodas F20 pagal TLK-10-AM) .****</w:t>
                        </w:r>
                      </w:p>
                    </w:tc>
                    <w:tc>
                      <w:tcPr>
                        <w:tcW w:w="1029" w:type="pct"/>
                        <w:gridSpan w:val="2"/>
                      </w:tcPr>
                      <w:p>
                        <w:pPr>
                          <w:rPr>
                            <w:rFonts w:eastAsia="Calibri"/>
                            <w:color w:val="000000"/>
                            <w:szCs w:val="24"/>
                          </w:rPr>
                        </w:pPr>
                        <w:r>
                          <w:rPr>
                            <w:rFonts w:eastAsia="Calibri"/>
                            <w:color w:val="000000"/>
                            <w:szCs w:val="24"/>
                          </w:rPr>
                          <w:t xml:space="preserve">Prirašytų prie  psichikos sveikatos centro asmenų, kurie ataskaitiniu laikotarpiu bent vieną kartą buvo hospitalizuoti dėl šizofrenijos (kodas F20 pagal TLK-10-AM), skaičius.</w:t>
                        </w:r>
                      </w:p>
                      <w:p>
                        <w:pPr>
                          <w:spacing w:line="216" w:lineRule="auto"/>
                          <w:rPr>
                            <w:rFonts w:eastAsia="Calibri"/>
                            <w:color w:val="000000"/>
                            <w:szCs w:val="24"/>
                          </w:rPr>
                        </w:pPr>
                      </w:p>
                      <w:p>
                        <w:pPr>
                          <w:spacing w:line="216" w:lineRule="auto"/>
                          <w:rPr>
                            <w:rFonts w:eastAsia="Calibri"/>
                            <w:color w:val="000000"/>
                            <w:szCs w:val="24"/>
                          </w:rPr>
                        </w:pPr>
                        <w:r>
                          <w:rPr>
                            <w:rFonts w:eastAsia="Calibri"/>
                            <w:color w:val="000000"/>
                            <w:szCs w:val="24"/>
                          </w:rPr>
                          <w:t>Imami duomenys apie visus prirašytus prie psichikos sveikatos centro asmenis, kurie per kalendorinius metus bent vieną kartą buvo hospitalizuoti dėl šizofrenijos (kodas F20 pagal TLK-10-AM).*****</w:t>
                        </w:r>
                      </w:p>
                    </w:tc>
                  </w:tr>
                  <w:tr>
                    <w:tc>
                      <w:tcPr>
                        <w:tcW w:w="292" w:type="pct"/>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Cs w:val="24"/>
                          </w:rPr>
                          <w:t>9.</w:t>
                        </w:r>
                      </w:p>
                    </w:tc>
                    <w:tc>
                      <w:tcPr>
                        <w:tcW w:w="939"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rPr>
                        </w:pPr>
                        <w:r>
                          <w:rPr>
                            <w:color w:val="000000"/>
                            <w:szCs w:val="24"/>
                          </w:rPr>
                          <w:t>Asmenų, kuriems nustatyti afektinis ir (ar) neurozinis sutrikimai, priežiūra</w:t>
                        </w:r>
                      </w:p>
                    </w:tc>
                    <w:tc>
                      <w:tcPr>
                        <w:tcW w:w="1182" w:type="pct"/>
                        <w:gridSpan w:val="2"/>
                        <w:tcBorders>
                          <w:top w:val="single" w:sz="4" w:space="0" w:color="auto"/>
                          <w:left w:val="single" w:sz="4" w:space="0" w:color="auto"/>
                          <w:bottom w:val="single" w:sz="4" w:space="0" w:color="auto"/>
                          <w:right w:val="single" w:sz="4" w:space="0" w:color="auto"/>
                        </w:tcBorders>
                      </w:tcPr>
                      <w:p>
                        <w:pPr>
                          <w:rPr>
                            <w:rFonts w:eastAsia="Calibri"/>
                            <w:color w:val="000000"/>
                            <w:szCs w:val="24"/>
                          </w:rPr>
                        </w:pPr>
                        <w:r>
                          <w:rPr>
                            <w:rFonts w:eastAsia="Calibri"/>
                            <w:color w:val="000000"/>
                            <w:szCs w:val="24"/>
                          </w:rPr>
                          <w:t xml:space="preserve">Apskaičiuojamas asmenų, kuriems </w:t>
                        </w:r>
                        <w:r>
                          <w:rPr>
                            <w:color w:val="000000"/>
                            <w:szCs w:val="24"/>
                          </w:rPr>
                          <w:t>nustatyti afektinis ir (ar) neurozinis sutrikimai</w:t>
                        </w:r>
                        <w:r>
                          <w:rPr>
                            <w:rFonts w:eastAsia="Calibri"/>
                            <w:color w:val="000000"/>
                            <w:szCs w:val="24"/>
                          </w:rPr>
                          <w:t xml:space="preserve"> (kodas F32.1-9, F33.1-9, F41.0, F41.1, F41.2 ar F42  pagal TLK-10-AM) </w:t>
                        </w:r>
                        <w:r>
                          <w:rPr>
                            <w:color w:val="000000"/>
                            <w:szCs w:val="24"/>
                          </w:rPr>
                          <w:t xml:space="preserve">(toliau – asmenys, kuriems nustatyti  afektinis ir (ar) neurozinis sutrikimai)</w:t>
                        </w:r>
                        <w:r>
                          <w:rPr>
                            <w:rFonts w:eastAsia="Calibri"/>
                            <w:color w:val="000000"/>
                            <w:szCs w:val="24"/>
                          </w:rPr>
                          <w:t xml:space="preserve"> </w:t>
                        </w:r>
                        <w:r>
                          <w:rPr>
                            <w:color w:val="000000"/>
                            <w:szCs w:val="24"/>
                          </w:rPr>
                          <w:t xml:space="preserve">ir kurie </w:t>
                        </w:r>
                        <w:r>
                          <w:rPr>
                            <w:rFonts w:eastAsia="Calibri"/>
                            <w:color w:val="000000"/>
                            <w:szCs w:val="24"/>
                          </w:rPr>
                          <w:t>ataskaitiniu laikotarpiu gavo bent vieną gydytojo psichiatro ar medicinos psichologo, ar socialinio darbuotojo, ar slaugytojo paslaugą, skaičius ir nustatoma:</w:t>
                        </w:r>
                      </w:p>
                      <w:p>
                        <w:pPr>
                          <w:tabs>
                            <w:tab w:val="left" w:pos="169"/>
                          </w:tabs>
                          <w:rPr>
                            <w:color w:val="000000"/>
                            <w:szCs w:val="24"/>
                          </w:rPr>
                        </w:pPr>
                        <w:r>
                          <w:rPr>
                            <w:color w:val="000000"/>
                            <w:szCs w:val="24"/>
                          </w:rPr>
                          <w:t>pirma – k</w:t>
                        </w:r>
                        <w:r>
                          <w:rPr>
                            <w:rFonts w:eastAsia="Calibri"/>
                            <w:color w:val="000000"/>
                            <w:szCs w:val="24"/>
                          </w:rPr>
                          <w:t xml:space="preserve">okią dalį sudaro šie </w:t>
                        </w:r>
                        <w:r>
                          <w:rPr>
                            <w:color w:val="000000"/>
                            <w:szCs w:val="24"/>
                          </w:rPr>
                          <w:t xml:space="preserve">asmenys, </w:t>
                        </w:r>
                        <w:r>
                          <w:rPr>
                            <w:rFonts w:eastAsia="Calibri"/>
                            <w:color w:val="000000"/>
                            <w:szCs w:val="24"/>
                          </w:rPr>
                          <w:t xml:space="preserve">palyginti su bendru prirašytų </w:t>
                        </w:r>
                        <w:r>
                          <w:rPr>
                            <w:color w:val="000000"/>
                            <w:szCs w:val="24"/>
                          </w:rPr>
                          <w:t xml:space="preserve">prie psichikos sveikatos centro </w:t>
                        </w:r>
                        <w:r>
                          <w:rPr>
                            <w:rFonts w:eastAsia="Calibri"/>
                            <w:color w:val="000000"/>
                            <w:szCs w:val="24"/>
                          </w:rPr>
                          <w:t>asmenų skaičiumi</w:t>
                        </w:r>
                        <w:r>
                          <w:rPr>
                            <w:color w:val="000000"/>
                            <w:szCs w:val="24"/>
                          </w:rPr>
                          <w:t>;</w:t>
                        </w:r>
                      </w:p>
                      <w:p>
                        <w:pPr>
                          <w:tabs>
                            <w:tab w:val="left" w:pos="311"/>
                          </w:tabs>
                          <w:rPr>
                            <w:rFonts w:ascii="Calibri" w:eastAsia="Calibri" w:hAnsi="Calibri"/>
                            <w:color w:val="000000"/>
                            <w:sz w:val="22"/>
                            <w:szCs w:val="22"/>
                            <w:lang w:val="en-US"/>
                          </w:rPr>
                        </w:pPr>
                        <w:r>
                          <w:rPr>
                            <w:rFonts w:eastAsia="Calibri"/>
                            <w:color w:val="000000"/>
                            <w:szCs w:val="24"/>
                          </w:rPr>
                          <w:t xml:space="preserve">antra – kokią dalį sudaro asmenys, kuriems </w:t>
                        </w:r>
                        <w:r>
                          <w:rPr>
                            <w:color w:val="000000"/>
                            <w:szCs w:val="24"/>
                          </w:rPr>
                          <w:t>nustatyti afektinis ir (ar) neurozinis sutrikimai</w:t>
                        </w:r>
                        <w:r>
                          <w:rPr>
                            <w:rFonts w:eastAsia="Calibri"/>
                            <w:color w:val="000000"/>
                            <w:szCs w:val="24"/>
                          </w:rPr>
                          <w:t xml:space="preserve"> ir kurie ataskaitiniu laikotarpiu gavo vieną gydytojo psichiatro paslaugą ir vieną psichologo ar socialinio darbuotojo paslaugą, palyginti su asmenų, kuriems </w:t>
                        </w:r>
                        <w:r>
                          <w:rPr>
                            <w:color w:val="000000"/>
                            <w:szCs w:val="24"/>
                          </w:rPr>
                          <w:t xml:space="preserve">nustatyti afektinis ir (ar) neurozinis sutrikimai  ir kurie  </w:t>
                        </w:r>
                        <w:r>
                          <w:rPr>
                            <w:rFonts w:eastAsia="Calibri"/>
                            <w:color w:val="000000"/>
                            <w:szCs w:val="24"/>
                          </w:rPr>
                          <w:t xml:space="preserve">ataskaitiniu laikotarpiu gavo bent vieną  gydytojo psichiatro ar medicinos psichologo, ar socialinio darbuotojo, ar slaugytojo paslaugą, skaičiumi.</w:t>
                        </w:r>
                      </w:p>
                      <w:p>
                        <w:pPr>
                          <w:tabs>
                            <w:tab w:val="left" w:pos="311"/>
                          </w:tabs>
                          <w:rPr>
                            <w:rFonts w:ascii="Calibri" w:eastAsia="Calibri" w:hAnsi="Calibri"/>
                            <w:color w:val="000000"/>
                            <w:sz w:val="22"/>
                            <w:szCs w:val="22"/>
                            <w:lang w:val="en-US"/>
                          </w:rPr>
                        </w:pPr>
                      </w:p>
                      <w:p>
                        <w:pPr>
                          <w:tabs>
                            <w:tab w:val="left" w:pos="311"/>
                          </w:tabs>
                          <w:rPr>
                            <w:rFonts w:ascii="Calibri" w:eastAsia="Calibri" w:hAnsi="Calibri"/>
                            <w:color w:val="000000"/>
                            <w:sz w:val="22"/>
                            <w:szCs w:val="22"/>
                            <w:lang w:val="en-US"/>
                          </w:rPr>
                        </w:pPr>
                        <w:r>
                          <w:rPr>
                            <w:color w:val="000000"/>
                            <w:szCs w:val="24"/>
                          </w:rPr>
                          <w:t xml:space="preserve">Asmenų, kuriems nustatyti afektinis ir (ar) neurozinis sutrikimai, </w:t>
                        </w:r>
                        <w:r>
                          <w:rPr>
                            <w:rFonts w:eastAsia="Calibri"/>
                            <w:color w:val="000000"/>
                            <w:szCs w:val="24"/>
                          </w:rPr>
                          <w:t>priežiūros rodiklis sudarytas iš dviejų dalių, kurioms priskirtų sąlyginių vienetų bendra suma dauginama iš tikslinės grupės (a</w:t>
                        </w:r>
                        <w:r>
                          <w:rPr>
                            <w:color w:val="000000"/>
                            <w:szCs w:val="24"/>
                          </w:rPr>
                          <w:t>smenys, kuriems nustatyti afektinis ir (ar) neurozinis sutrikimai</w:t>
                        </w:r>
                        <w:r>
                          <w:rPr>
                            <w:rFonts w:eastAsia="Calibri"/>
                            <w:color w:val="000000"/>
                            <w:szCs w:val="24"/>
                          </w:rPr>
                          <w:t>) asmenų skaičiaus.</w:t>
                        </w:r>
                      </w:p>
                    </w:tc>
                    <w:tc>
                      <w:tcPr>
                        <w:tcW w:w="1557" w:type="pct"/>
                        <w:gridSpan w:val="2"/>
                        <w:tcBorders>
                          <w:top w:val="single" w:sz="4" w:space="0" w:color="auto"/>
                          <w:left w:val="single" w:sz="4" w:space="0" w:color="auto"/>
                          <w:bottom w:val="single" w:sz="4" w:space="0" w:color="auto"/>
                          <w:right w:val="single" w:sz="4" w:space="0" w:color="auto"/>
                        </w:tcBorders>
                      </w:tcPr>
                      <w:p>
                        <w:pPr>
                          <w:tabs>
                            <w:tab w:val="left" w:pos="299"/>
                          </w:tabs>
                          <w:rPr>
                            <w:rFonts w:eastAsia="Calibri"/>
                            <w:color w:val="000000"/>
                            <w:szCs w:val="24"/>
                          </w:rPr>
                        </w:pPr>
                        <w:r>
                          <w:rPr>
                            <w:rFonts w:eastAsia="Calibri"/>
                            <w:color w:val="000000"/>
                            <w:szCs w:val="24"/>
                          </w:rPr>
                          <w:t>1. Bendras prirašytų prie psichikos sveikatos centro asmenų skaičius*.</w:t>
                        </w:r>
                      </w:p>
                      <w:p>
                        <w:pPr>
                          <w:rPr>
                            <w:rFonts w:eastAsia="Calibri"/>
                            <w:color w:val="000000"/>
                            <w:szCs w:val="24"/>
                          </w:rPr>
                        </w:pPr>
                        <w:r>
                          <w:rPr>
                            <w:rFonts w:eastAsia="Calibri"/>
                            <w:color w:val="000000"/>
                            <w:szCs w:val="24"/>
                          </w:rPr>
                          <w:t>Imami duomenys apie visus bent vieną dieną prirašytus prie psichikos sveikatos centro asmenis.</w:t>
                        </w: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rPr>
                            <w:rFonts w:eastAsia="Calibri"/>
                            <w:color w:val="000000"/>
                            <w:szCs w:val="24"/>
                          </w:rPr>
                        </w:pPr>
                      </w:p>
                      <w:p>
                        <w:pPr>
                          <w:tabs>
                            <w:tab w:val="left" w:pos="299"/>
                          </w:tabs>
                          <w:rPr>
                            <w:color w:val="000000"/>
                            <w:szCs w:val="24"/>
                          </w:rPr>
                        </w:pPr>
                        <w:r>
                          <w:rPr>
                            <w:color w:val="000000"/>
                            <w:szCs w:val="24"/>
                          </w:rPr>
                          <w:t xml:space="preserve">2. Bendras asmenų, kuriems nustatyti  afektinis ir (ar) neurozinis sutrikimai ir kurie gavo bent</w:t>
                        </w:r>
                        <w:r>
                          <w:rPr>
                            <w:rFonts w:eastAsia="Calibri"/>
                            <w:color w:val="000000"/>
                            <w:szCs w:val="24"/>
                          </w:rPr>
                          <w:t xml:space="preserve"> vieną gydytojo psichiatro ar medicinos psichologo, ar socialinio darbuotojo, ar slaugytojo paslaugą per kalendorinius metus, skaičius. Imamos paslaugos, </w:t>
                        </w:r>
                        <w:r>
                          <w:rPr>
                            <w:color w:val="000000"/>
                            <w:szCs w:val="24"/>
                          </w:rPr>
                          <w:t>pagal</w:t>
                        </w:r>
                      </w:p>
                      <w:p>
                        <w:pPr>
                          <w:tabs>
                            <w:tab w:val="left" w:pos="299"/>
                          </w:tabs>
                          <w:rPr>
                            <w:color w:val="000000"/>
                            <w:szCs w:val="24"/>
                          </w:rPr>
                        </w:pPr>
                        <w:r>
                          <w:rPr>
                            <w:color w:val="000000"/>
                            <w:szCs w:val="24"/>
                          </w:rPr>
                          <w:t xml:space="preserve">Klasifikatorių žymimos kodais: psichiatro paslaugų kodais – </w:t>
                        </w:r>
                        <w:r>
                          <w:rPr>
                            <w:rFonts w:eastAsia="Calibri"/>
                            <w:color w:val="000000"/>
                            <w:szCs w:val="24"/>
                          </w:rPr>
                          <w:t xml:space="preserve">249, 3674, 250 ar 3675;  medicinos psichologo paslaugų kodais – 252, 3676, 3540, 3541 ar 3542; slaugytojo paslaugų kodu – 253; socialinio darbuotojo paslaugų kodais – 254 ar 3677.</w:t>
                        </w:r>
                      </w:p>
                      <w:p>
                        <w:pPr>
                          <w:tabs>
                            <w:tab w:val="left" w:pos="299"/>
                          </w:tabs>
                          <w:rPr>
                            <w:color w:val="000000"/>
                            <w:szCs w:val="24"/>
                          </w:rPr>
                        </w:pPr>
                      </w:p>
                    </w:tc>
                    <w:tc>
                      <w:tcPr>
                        <w:tcW w:w="1029" w:type="pct"/>
                        <w:gridSpan w:val="2"/>
                        <w:tcBorders>
                          <w:top w:val="single" w:sz="4" w:space="0" w:color="auto"/>
                          <w:left w:val="single" w:sz="4" w:space="0" w:color="auto"/>
                          <w:bottom w:val="single" w:sz="4" w:space="0" w:color="auto"/>
                          <w:right w:val="single" w:sz="4" w:space="0" w:color="auto"/>
                        </w:tcBorders>
                      </w:tcPr>
                      <w:p>
                        <w:pPr>
                          <w:tabs>
                            <w:tab w:val="left" w:pos="299"/>
                          </w:tabs>
                          <w:rPr>
                            <w:color w:val="000000"/>
                            <w:szCs w:val="24"/>
                          </w:rPr>
                        </w:pPr>
                        <w:r>
                          <w:rPr>
                            <w:color w:val="000000"/>
                            <w:szCs w:val="24"/>
                          </w:rPr>
                          <w:t xml:space="preserve">1. Bendras asmenų, kuriems nustatyti  afektinis ir (ar) neurozinis sutrikimai ir kurie gavo bent</w:t>
                        </w:r>
                        <w:r>
                          <w:rPr>
                            <w:rFonts w:eastAsia="Calibri"/>
                            <w:color w:val="000000"/>
                            <w:szCs w:val="24"/>
                          </w:rPr>
                          <w:t xml:space="preserve"> vieną</w:t>
                        </w:r>
                        <w:r>
                          <w:rPr>
                            <w:color w:val="000000"/>
                            <w:szCs w:val="24"/>
                          </w:rPr>
                          <w:t xml:space="preserve"> </w:t>
                        </w:r>
                        <w:r>
                          <w:rPr>
                            <w:rFonts w:eastAsia="Calibri"/>
                            <w:color w:val="000000"/>
                            <w:szCs w:val="24"/>
                          </w:rPr>
                          <w:t>gydytojo psichiatro ar medicinos psichologo, ar socialinio darbuotojo, ar slaugytojo paslaugą per kalendorinius metus,</w:t>
                        </w:r>
                        <w:r>
                          <w:rPr>
                            <w:color w:val="000000"/>
                            <w:szCs w:val="24"/>
                          </w:rPr>
                          <w:t xml:space="preserve"> skaičius.</w:t>
                        </w:r>
                        <w:r>
                          <w:rPr>
                            <w:rFonts w:eastAsia="Calibri"/>
                            <w:color w:val="000000"/>
                            <w:szCs w:val="24"/>
                          </w:rPr>
                          <w:t xml:space="preserve"> Imamos paslaugos, </w:t>
                        </w:r>
                        <w:r>
                          <w:rPr>
                            <w:color w:val="000000"/>
                            <w:szCs w:val="24"/>
                          </w:rPr>
                          <w:t xml:space="preserve">pagal Klasifikatorių žymimos kodais: psichiatro paslaugų kodais – </w:t>
                        </w:r>
                        <w:r>
                          <w:rPr>
                            <w:rFonts w:eastAsia="Calibri"/>
                            <w:color w:val="000000"/>
                            <w:szCs w:val="24"/>
                          </w:rPr>
                          <w:t xml:space="preserve">249, 3674, 250 ar 3675;  medicinos psichologo paslaugų kodais – 252, 3676, 3540, 3541 ar 3542; slaugytojo paslaugų kodu – 253; socialinio darbuotojo paslaugų kodais – 254 ar 3677.</w:t>
                        </w:r>
                      </w:p>
                      <w:p>
                        <w:pPr>
                          <w:tabs>
                            <w:tab w:val="left" w:pos="299"/>
                          </w:tabs>
                          <w:rPr>
                            <w:rFonts w:eastAsia="Calibri"/>
                            <w:color w:val="000000"/>
                            <w:szCs w:val="24"/>
                          </w:rPr>
                        </w:pPr>
                      </w:p>
                      <w:p>
                        <w:pPr>
                          <w:tabs>
                            <w:tab w:val="left" w:pos="299"/>
                          </w:tabs>
                          <w:rPr>
                            <w:color w:val="000000"/>
                            <w:szCs w:val="24"/>
                          </w:rPr>
                        </w:pPr>
                        <w:r>
                          <w:rPr>
                            <w:rFonts w:eastAsia="Calibri"/>
                            <w:color w:val="000000"/>
                            <w:szCs w:val="24"/>
                          </w:rPr>
                          <w:t xml:space="preserve">2. Asmenys,  </w:t>
                        </w:r>
                        <w:r>
                          <w:rPr>
                            <w:color w:val="000000"/>
                            <w:szCs w:val="24"/>
                          </w:rPr>
                          <w:t xml:space="preserve">kuriems nustatyti  afektinis ir (ar) neurozinis sutrikimai ir kuriems per kalendorinius metus buvo suteikta bent viena </w:t>
                        </w:r>
                        <w:r>
                          <w:rPr>
                            <w:rFonts w:eastAsia="Calibri"/>
                            <w:color w:val="000000"/>
                            <w:szCs w:val="24"/>
                          </w:rPr>
                          <w:t>gydytojo psichiatro paslauga ir viena psichologo ar socialinio darbuotojo paslaug</w:t>
                        </w:r>
                        <w:r>
                          <w:rPr>
                            <w:color w:val="000000"/>
                            <w:szCs w:val="24"/>
                          </w:rPr>
                          <w:t xml:space="preserve">a.  </w:t>
                        </w:r>
                        <w:r>
                          <w:rPr>
                            <w:rFonts w:eastAsia="Calibri"/>
                            <w:color w:val="000000"/>
                            <w:szCs w:val="24"/>
                          </w:rPr>
                          <w:t xml:space="preserve">Imamos paslaugos, </w:t>
                        </w:r>
                        <w:r>
                          <w:rPr>
                            <w:color w:val="000000"/>
                            <w:szCs w:val="24"/>
                          </w:rPr>
                          <w:t>pagal</w:t>
                        </w:r>
                      </w:p>
                      <w:p>
                        <w:pPr>
                          <w:tabs>
                            <w:tab w:val="left" w:pos="352"/>
                          </w:tabs>
                          <w:rPr>
                            <w:rFonts w:eastAsia="Calibri"/>
                            <w:color w:val="000000"/>
                            <w:szCs w:val="24"/>
                          </w:rPr>
                        </w:pPr>
                        <w:r>
                          <w:rPr>
                            <w:color w:val="000000"/>
                            <w:szCs w:val="24"/>
                          </w:rPr>
                          <w:t>Klasifikatorių žymimos kodais: psichiatro paslaugų kodais –</w:t>
                        </w:r>
                        <w:r>
                          <w:rPr>
                            <w:rFonts w:eastAsia="Calibri"/>
                            <w:color w:val="000000"/>
                            <w:szCs w:val="24"/>
                          </w:rPr>
                          <w:t xml:space="preserve"> 249, 3674, 250 ar 3675; medicinos psichologo paslaugų kodais – 252, 3676, 3540, 3541 ar 3542;</w:t>
                        </w:r>
                        <w:r>
                          <w:rPr>
                            <w:color w:val="000000"/>
                            <w:szCs w:val="24"/>
                          </w:rPr>
                          <w:t xml:space="preserve"> </w:t>
                        </w:r>
                        <w:r>
                          <w:rPr>
                            <w:rFonts w:eastAsia="Calibri"/>
                            <w:color w:val="000000"/>
                            <w:szCs w:val="24"/>
                          </w:rPr>
                          <w:t xml:space="preserve"> socialinio darbuotojo paslaugų kodais – 254 ar 3677.</w:t>
                        </w:r>
                      </w:p>
                      <w:p>
                        <w:pPr>
                          <w:rPr>
                            <w:rFonts w:eastAsia="Calibri"/>
                            <w:color w:val="000000"/>
                            <w:szCs w:val="24"/>
                          </w:rPr>
                        </w:pPr>
                      </w:p>
                    </w:tc>
                  </w:tr>
                </w:tbl>
                <w:p>
                  <w:pPr>
                    <w:jc w:val="both"/>
                    <w:rPr>
                      <w:color w:val="000000"/>
                      <w:szCs w:val="24"/>
                      <w:lang w:eastAsia="lt-LT"/>
                    </w:rPr>
                  </w:pPr>
                </w:p>
                <w:p>
                  <w:pPr>
                    <w:jc w:val="both"/>
                    <w:rPr>
                      <w:szCs w:val="24"/>
                      <w:lang w:eastAsia="lt-LT"/>
                    </w:rPr>
                  </w:pPr>
                  <w:r>
                    <w:rPr>
                      <w:color w:val="000000"/>
                      <w:szCs w:val="24"/>
                      <w:lang w:eastAsia="lt-LT"/>
                    </w:rPr>
                    <w:t xml:space="preserve">* </w:t>
                  </w:r>
                  <w:r>
                    <w:rPr>
                      <w:rFonts w:eastAsia="Calibri"/>
                      <w:szCs w:val="24"/>
                    </w:rPr>
                    <w:t>Imami duomenys apie asmenis, kurie per kalendorinius metus bent kartą buvo prirašyti prie PAASP įstaigos, pagal atitinkamą amžiaus grupę</w:t>
                  </w:r>
                  <w:r>
                    <w:rPr>
                      <w:szCs w:val="24"/>
                      <w:lang w:eastAsia="lt-LT"/>
                    </w:rPr>
                    <w:t>.</w:t>
                  </w:r>
                </w:p>
                <w:p>
                  <w:pPr>
                    <w:jc w:val="both"/>
                    <w:rPr>
                      <w:szCs w:val="24"/>
                      <w:lang w:eastAsia="lt-LT"/>
                    </w:rPr>
                  </w:pPr>
                  <w:r>
                    <w:rPr>
                      <w:color w:val="000000"/>
                      <w:szCs w:val="24"/>
                      <w:lang w:eastAsia="lt-LT"/>
                    </w:rPr>
                    <w:t xml:space="preserve">** </w:t>
                  </w:r>
                  <w:r>
                    <w:rPr>
                      <w:szCs w:val="24"/>
                      <w:lang w:eastAsia="lt-LT"/>
                    </w:rPr>
                    <w:t>Imami 3 ir 5 kalendorinių metų duomenys (atsižvelgiant į GKV programos vykdymo metodiką) apie asmenis, kurie per šiuos metus bent kartą buvo prirašyti prie PAASP įstaigos, pagal atitinkamą amžiaus grupę ir lytį.</w:t>
                  </w:r>
                </w:p>
                <w:p>
                  <w:pPr>
                    <w:jc w:val="both"/>
                    <w:rPr>
                      <w:szCs w:val="24"/>
                      <w:lang w:eastAsia="lt-LT"/>
                    </w:rPr>
                  </w:pPr>
                  <w:r>
                    <w:rPr>
                      <w:color w:val="000000"/>
                      <w:szCs w:val="24"/>
                      <w:lang w:eastAsia="lt-LT"/>
                    </w:rPr>
                    <w:t xml:space="preserve">*** </w:t>
                  </w:r>
                  <w:r>
                    <w:rPr>
                      <w:rFonts w:eastAsia="Calibri"/>
                      <w:szCs w:val="24"/>
                    </w:rPr>
                    <w:t>Imami 2 kalendorinių metų duomenys apie asmenis, kurie per šiuos metus bent kartą buvo prirašyti prie PAASP įstaigos, pagal atitinkamą amžiaus grupę ir lytį</w:t>
                  </w:r>
                  <w:r>
                    <w:rPr>
                      <w:szCs w:val="24"/>
                      <w:lang w:eastAsia="lt-LT"/>
                    </w:rPr>
                    <w:t>.</w:t>
                  </w:r>
                </w:p>
                <w:p>
                  <w:pPr>
                    <w:jc w:val="both"/>
                    <w:rPr>
                      <w:szCs w:val="24"/>
                      <w:lang w:eastAsia="lt-LT"/>
                    </w:rPr>
                  </w:pPr>
                  <w:r>
                    <w:rPr>
                      <w:szCs w:val="24"/>
                      <w:lang w:eastAsia="lt-LT"/>
                    </w:rPr>
                    <w:t xml:space="preserve">**** Imami duomenys apie asmenis, kuriems per kalendorinius metus bent vieną kartą statistinėse formose – </w:t>
                  </w:r>
                  <w:r>
                    <w:rPr>
                      <w:color w:val="000000"/>
                      <w:szCs w:val="24"/>
                      <w:lang w:eastAsia="lt-LT"/>
                    </w:rPr>
                    <w:t xml:space="preserve">formoje Nr. 025/a-LK ir formoje Nr. 066/a-LK – </w:t>
                  </w:r>
                  <w:r>
                    <w:rPr>
                      <w:szCs w:val="24"/>
                      <w:lang w:eastAsia="lt-LT"/>
                    </w:rPr>
                    <w:t>buvo nurodyta atitinkama diagnozė.</w:t>
                  </w:r>
                </w:p>
                <w:p>
                  <w:pPr>
                    <w:spacing w:line="216" w:lineRule="auto"/>
                    <w:jc w:val="both"/>
                    <w:rPr>
                      <w:color w:val="000000"/>
                      <w:szCs w:val="24"/>
                      <w:lang w:eastAsia="lt-LT"/>
                    </w:rPr>
                  </w:pPr>
                  <w:r>
                    <w:rPr>
                      <w:szCs w:val="24"/>
                      <w:lang w:eastAsia="lt-LT"/>
                    </w:rPr>
                    <w:t xml:space="preserve">***** Naudojami </w:t>
                  </w:r>
                  <w:r>
                    <w:rPr>
                      <w:color w:val="000000"/>
                      <w:szCs w:val="24"/>
                      <w:lang w:eastAsia="lt-LT"/>
                    </w:rPr>
                    <w:t xml:space="preserve">formos Nr. 066/a-LK duomenys apie hospitalizacijos atvejų skaičių. Tikrinama, ar prisirašiusio prie PAASP įstaigos asmens, kuriam nustatyta atitinkama diagnozė, formoje Nr. 066/a-LK per metus bent kartą ši diagnozė buvo nurodyta kaip pagrindinė diagnozė. Atvejai, kai teikiant stacionarines asmens sveikatos priežiūros paslaugas (be dienos chirurgijos ir reabilitacijos paslaugų) formoje Nr. 066/a-LK nurodoma rodiklio skaičiavimo algoritme numatyta pagrindinė diagnozė, skaičiuojami kaip hospitalizacijos atvejai. </w:t>
                  </w:r>
                </w:p>
                <w:p>
                  <w:pPr>
                    <w:jc w:val="both"/>
                    <w:rPr>
                      <w:b/>
                      <w:i/>
                      <w:sz w:val="20"/>
                      <w:lang w:eastAsia="lt-LT"/>
                    </w:rPr>
                  </w:pPr>
                </w:p>
                <w:p>
                  <w:pPr>
                    <w:jc w:val="both"/>
                    <w:rPr>
                      <w:rFonts w:eastAsia="Calibri"/>
                      <w:i/>
                      <w:sz w:val="20"/>
                      <w:lang w:eastAsia="lt-LT"/>
                    </w:rPr>
                  </w:pPr>
                  <w:r>
                    <w:rPr>
                      <w:b/>
                      <w:i/>
                      <w:sz w:val="20"/>
                      <w:lang w:eastAsia="lt-LT"/>
                    </w:rPr>
                    <w:t>TAR pastaba</w:t>
                  </w:r>
                  <w:r>
                    <w:rPr>
                      <w:i/>
                      <w:sz w:val="20"/>
                      <w:lang w:eastAsia="lt-LT"/>
                    </w:rPr>
                    <w:t xml:space="preserve">: Lentelės 3.1 papunkčio ir ** pastabos nuostatos taikomos 2026 m. skaičiuojant ir vertinant </w:t>
                  </w:r>
                  <w:r>
                    <w:rPr>
                      <w:i/>
                      <w:sz w:val="20"/>
                    </w:rPr>
                    <w:t>Gimdos kaklelio</w:t>
                  </w:r>
                  <w:r>
                    <w:rPr>
                      <w:i/>
                      <w:sz w:val="20"/>
                      <w:lang w:eastAsia="lt-LT"/>
                    </w:rPr>
                    <w:t xml:space="preserve"> </w:t>
                  </w:r>
                  <w:r>
                    <w:rPr>
                      <w:i/>
                      <w:sz w:val="20"/>
                    </w:rPr>
                    <w:t>vėžio ankstyvosios diagnostikos programos, patvirtintos</w:t>
                  </w:r>
                  <w:r>
                    <w:rPr>
                      <w:i/>
                      <w:sz w:val="20"/>
                      <w:lang w:eastAsia="lt-LT"/>
                    </w:rPr>
                    <w:t xml:space="preserve"> </w:t>
                  </w:r>
                  <w:r>
                    <w:rPr>
                      <w:i/>
                      <w:sz w:val="20"/>
                    </w:rPr>
                    <w:t xml:space="preserve">Lietuvos Respublikos sveikatos apsaugos ministro 2004 m. birželio 30 d. įsakymu Nr. V-482 „Dėl Gimdos kaklelio piktybinio naviko ankstyvosios diagnostikos programos organizavimo, vykdymo ir kokybės reikalavimų aprašo ir Gimdos kaklelio vėžio ankstyvosios diagnostikos programos patvirtinimo“, </w:t>
                  </w:r>
                  <w:r>
                    <w:rPr>
                      <w:i/>
                      <w:sz w:val="20"/>
                      <w:lang w:eastAsia="lt-LT"/>
                    </w:rPr>
                    <w:t>vykdymo intensyvumo rezultatus.</w:t>
                  </w:r>
                </w:p>
                <w:p>
                  <w:pPr>
                    <w:jc w:val="both"/>
                  </w:pP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f1b50168711ee9f7ec2ffce8b47bc">
                    <w:r w:rsidRPr="00532B9F">
                      <w:rPr>
                        <w:rFonts w:ascii="Times New Roman" w:eastAsia="MS Mincho" w:hAnsi="Times New Roman"/>
                        <w:sz w:val="20"/>
                        <w:i/>
                        <w:iCs/>
                        <w:color w:val="0000FF" w:themeColor="hyperlink"/>
                        <w:u w:val="single"/>
                      </w:rPr>
                      <w:t>V-743</w:t>
                    </w:r>
                  </w:fldSimple>
                  <w:r>
                    <w:rPr>
                      <w:rFonts w:ascii="Times New Roman" w:eastAsia="MS Mincho" w:hAnsi="Times New Roman"/>
                      <w:sz w:val="20"/>
                      <w:i/>
                      <w:iCs/>
                    </w:rPr>
                    <w:t>,
2023-06-29,
paskelbta TAR 2023-06-29, i. k. 2023-13198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6cbf20a61111eea5a28c81c82193a8">
                    <w:r w:rsidRPr="00532B9F">
                      <w:rPr>
                        <w:rFonts w:ascii="Times New Roman" w:eastAsia="MS Mincho" w:hAnsi="Times New Roman"/>
                        <w:sz w:val="20"/>
                        <w:i/>
                        <w:iCs/>
                        <w:color w:val="0000FF" w:themeColor="hyperlink"/>
                        <w:u w:val="single"/>
                      </w:rPr>
                      <w:t>V-1390</w:t>
                    </w:r>
                  </w:fldSimple>
                  <w:r>
                    <w:rPr>
                      <w:rFonts w:ascii="Times New Roman" w:eastAsia="MS Mincho" w:hAnsi="Times New Roman"/>
                      <w:sz w:val="20"/>
                      <w:i/>
                      <w:iCs/>
                    </w:rPr>
                    <w:t>,
2023-12-29,
paskelbta TAR 2023-12-29, i. k. 2023-25851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ca6d0dbcf11eead77e967e3995264">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2024-03-06,
paskelbta TAR 2024-03-06, i. k. 2024-04204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cae39067cd11f0a8bbd1e98310677d">
                    <w:r w:rsidRPr="00532B9F">
                      <w:rPr>
                        <w:rFonts w:ascii="Times New Roman" w:eastAsia="MS Mincho" w:hAnsi="Times New Roman"/>
                        <w:sz w:val="20"/>
                        <w:i/>
                        <w:iCs/>
                        <w:color w:val="0000FF" w:themeColor="hyperlink"/>
                        <w:u w:val="single"/>
                      </w:rPr>
                      <w:t>V-691</w:t>
                    </w:r>
                  </w:fldSimple>
                  <w:r>
                    <w:rPr>
                      <w:rFonts w:ascii="Times New Roman" w:eastAsia="MS Mincho" w:hAnsi="Times New Roman"/>
                      <w:sz w:val="20"/>
                      <w:i/>
                      <w:iCs/>
                    </w:rPr>
                    <w:t>,
2025-07-23,
paskelbta TAR 2025-07-23, i. k. 2025-13189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3321dc9f11f08918e1adc7c5b1ec">
                    <w:r w:rsidRPr="00532B9F">
                      <w:rPr>
                        <w:rFonts w:ascii="Times New Roman" w:eastAsia="MS Mincho" w:hAnsi="Times New Roman"/>
                        <w:sz w:val="20"/>
                        <w:i/>
                        <w:iCs/>
                        <w:color w:val="0000FF" w:themeColor="hyperlink"/>
                        <w:u w:val="single"/>
                      </w:rPr>
                      <w:t>V-1181</w:t>
                    </w:r>
                  </w:fldSimple>
                  <w:r>
                    <w:rPr>
                      <w:rFonts w:ascii="Times New Roman" w:eastAsia="MS Mincho" w:hAnsi="Times New Roman"/>
                      <w:sz w:val="20"/>
                      <w:i/>
                      <w:iCs/>
                    </w:rPr>
                    <w:t>,
2025-12-19,
paskelbta TAR 2025-12-19, i. k. 2025-21996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sdtContent>
    </w:sdt>
    <w:sdt>
      <w:sdtPr>
        <w:alias w:val="2 pr."/>
        <w:tag w:val="part_15ae02abd92c4d5fa46491daf724700a"/>
        <w:lock w:val="sdtLocked"/>
        <w:richText/>
      </w:sdtPr>
      <w:sdtContent>
        <w:p>
          <w:pPr>
            <w:ind w:left="6521"/>
            <w:sectPr>
              <w:headerReference w:type="even" r:id="rId24"/>
              <w:headerReference w:type="default" r:id="rId25"/>
              <w:footerReference w:type="even" r:id="rId26"/>
              <w:footerReference w:type="default" r:id="rId27"/>
              <w:headerReference w:type="first" r:id="rId28"/>
              <w:footerReference w:type="first" r:id="rId29"/>
              <w:pgSz w:w="11906" w:h="16838"/>
              <w:pgMar w:top="1255" w:right="567" w:bottom="1134" w:left="1701" w:header="567" w:footer="567" w:gutter="0"/>
              <w:pgNumType w:start="1"/>
              <w:cols w:space="1296"/>
              <w:titlePg/>
              <w:docGrid w:linePitch="360"/>
            </w:sectPr>
          </w:pPr>
        </w:p>
        <w:p>
          <w:pPr>
            <w:ind w:left="6521"/>
            <w:rPr>
              <w:color w:val="242424"/>
              <w:szCs w:val="24"/>
              <w:lang w:eastAsia="lt-LT"/>
            </w:rPr>
          </w:pPr>
          <w:r>
            <w:rPr>
              <w:color w:val="242424"/>
              <w:szCs w:val="24"/>
              <w:lang w:eastAsia="lt-LT"/>
            </w:rPr>
            <w:t xml:space="preserve">Pirminės ambulatorinės asmens </w:t>
          </w:r>
        </w:p>
        <w:p>
          <w:pPr>
            <w:ind w:left="6521"/>
            <w:rPr>
              <w:color w:val="242424"/>
              <w:szCs w:val="24"/>
              <w:lang w:eastAsia="lt-LT"/>
            </w:rPr>
          </w:pPr>
          <w:r>
            <w:rPr>
              <w:color w:val="242424"/>
              <w:szCs w:val="24"/>
              <w:lang w:eastAsia="lt-LT"/>
            </w:rPr>
            <w:t xml:space="preserve">sveikatos priežiūros paslaugų </w:t>
          </w:r>
        </w:p>
        <w:p>
          <w:pPr>
            <w:ind w:left="6521"/>
            <w:rPr>
              <w:color w:val="242424"/>
              <w:szCs w:val="24"/>
              <w:lang w:eastAsia="lt-LT"/>
            </w:rPr>
          </w:pPr>
          <w:r>
            <w:rPr>
              <w:color w:val="242424"/>
              <w:szCs w:val="24"/>
              <w:lang w:eastAsia="lt-LT"/>
            </w:rPr>
            <w:t xml:space="preserve">teikimo organizavimo ir šių </w:t>
          </w:r>
        </w:p>
        <w:p>
          <w:pPr>
            <w:ind w:left="6521"/>
            <w:rPr>
              <w:color w:val="242424"/>
              <w:szCs w:val="24"/>
              <w:lang w:eastAsia="lt-LT"/>
            </w:rPr>
          </w:pPr>
          <w:r>
            <w:rPr>
              <w:color w:val="242424"/>
              <w:szCs w:val="24"/>
              <w:lang w:eastAsia="lt-LT"/>
            </w:rPr>
            <w:t xml:space="preserve">paslaugų išlaidų apmokėjimo </w:t>
          </w:r>
        </w:p>
        <w:p>
          <w:pPr>
            <w:ind w:left="6521"/>
            <w:rPr>
              <w:color w:val="242424"/>
              <w:szCs w:val="24"/>
              <w:lang w:eastAsia="lt-LT"/>
            </w:rPr>
          </w:pPr>
          <w:r>
            <w:rPr>
              <w:color w:val="242424"/>
              <w:szCs w:val="24"/>
              <w:lang w:eastAsia="lt-LT"/>
            </w:rPr>
            <w:t>tvarkos aprašo</w:t>
          </w:r>
        </w:p>
        <w:p>
          <w:pPr>
            <w:ind w:left="6521"/>
            <w:rPr>
              <w:color w:val="242424"/>
              <w:szCs w:val="24"/>
              <w:lang w:eastAsia="lt-LT"/>
            </w:rPr>
          </w:pPr>
          <w:sdt>
            <w:sdtPr>
              <w:alias w:val="Numeris"/>
              <w:tag w:val="nr_15ae02abd92c4d5fa46491daf724700a"/>
              <w:lock w:val="sdtLocked"/>
              <w:richText/>
            </w:sdtPr>
            <w:sdtContent>
              <w:r>
                <w:rPr>
                  <w:color w:val="242424"/>
                  <w:szCs w:val="24"/>
                  <w:lang w:eastAsia="lt-LT"/>
                </w:rPr>
                <w:t>2</w:t>
              </w:r>
            </w:sdtContent>
          </w:sdt>
          <w:r>
            <w:rPr>
              <w:color w:val="242424"/>
              <w:szCs w:val="24"/>
              <w:lang w:eastAsia="lt-LT"/>
            </w:rPr>
            <w:t xml:space="preserve"> priedas </w:t>
          </w:r>
        </w:p>
        <w:p>
          <w:pPr>
            <w:ind w:firstLine="720"/>
            <w:rPr>
              <w:szCs w:val="24"/>
            </w:rPr>
          </w:pPr>
        </w:p>
        <w:p>
          <w:pPr>
            <w:ind w:firstLine="720"/>
            <w:rPr>
              <w:szCs w:val="24"/>
            </w:rPr>
          </w:pPr>
        </w:p>
        <w:p>
          <w:pPr>
            <w:jc w:val="center"/>
            <w:rPr>
              <w:b/>
              <w:bCs/>
              <w:szCs w:val="24"/>
              <w:lang w:eastAsia="lt-LT"/>
            </w:rPr>
          </w:pPr>
          <w:sdt>
            <w:sdtPr>
              <w:alias w:val="Pavadinimas"/>
              <w:tag w:val="title_15ae02abd92c4d5fa46491daf724700a"/>
              <w:lock w:val="sdtLocked"/>
              <w:richText/>
            </w:sdtPr>
            <w:sdtContent>
              <w:r>
                <w:rPr>
                  <w:b/>
                  <w:bCs/>
                  <w:szCs w:val="24"/>
                  <w:lang w:eastAsia="lt-LT"/>
                </w:rPr>
                <w:t>ŠEIMOS GYDYTOJO KOMANDOS NARIŲ FUNKCIJOS</w:t>
              </w:r>
            </w:sdtContent>
          </w:sdt>
        </w:p>
        <w:p>
          <w:pPr>
            <w:jc w:val="both"/>
            <w:rPr>
              <w:color w:val="000000"/>
              <w:szCs w:val="24"/>
            </w:rPr>
          </w:pPr>
        </w:p>
        <w:p>
          <w:pPr>
            <w:jc w:val="both"/>
            <w:rPr>
              <w:color w:val="000000"/>
              <w:szCs w:val="24"/>
            </w:rPr>
          </w:pPr>
        </w:p>
        <w:sdt>
          <w:sdtPr>
            <w:alias w:val="2 pr. 1 p."/>
            <w:tag w:val="part_d21b4b0090fc47ebbf9874bc357b1a85"/>
            <w:lock w:val="sdtLocked"/>
            <w:richText/>
          </w:sdtPr>
          <w:sdtContent>
            <w:p>
              <w:pPr>
                <w:suppressAutoHyphens/>
                <w:ind w:firstLine="709"/>
                <w:jc w:val="both"/>
                <w:rPr>
                  <w:color w:val="000000"/>
                  <w:szCs w:val="24"/>
                </w:rPr>
              </w:pPr>
              <w:sdt>
                <w:sdtPr>
                  <w:alias w:val="Numeris"/>
                  <w:tag w:val="nr_d21b4b0090fc47ebbf9874bc357b1a85"/>
                  <w:lock w:val="sdtLocked"/>
                  <w:richText/>
                </w:sdtPr>
                <w:sdtContent>
                  <w:r>
                    <w:rPr>
                      <w:color w:val="000000"/>
                      <w:spacing w:val="-10"/>
                      <w:szCs w:val="24"/>
                    </w:rPr>
                    <w:t>1</w:t>
                  </w:r>
                </w:sdtContent>
              </w:sdt>
              <w:r>
                <w:rPr>
                  <w:color w:val="000000"/>
                  <w:spacing w:val="-10"/>
                  <w:szCs w:val="24"/>
                </w:rPr>
                <w:t>. Šeimos gydytojas</w:t>
              </w:r>
              <w:r>
                <w:rPr>
                  <w:color w:val="000000"/>
                  <w:szCs w:val="24"/>
                </w:rPr>
                <w:t xml:space="preserve"> (arba PAASP paslaugas kartu teikiantis vaikų ligų gydytojas, vidaus ligų gydytojas, gydytojas chirurgas ir gydytojas akušeris ginekologas) (toliau – gydytojas) ir jo komandos nariai teikia PAASP paslaugas pagal kompetenciją, nustatytą atitinkamose Lietuvos medicinos normose arba veiklos reikalavimuose. Konkrečias funkcijas kiekvienam PAASP įstaigos šeimos gydytojo komandos nariui  skiria ir tvirtina įstaigos vadovas, atsižvelgdamas į įstaigoje dirbančių šeimos gydytojo komandos narių skaičių. Įstaigos vadovas gali nustatyti šeimos gydytojo komandos nariams ir kitas funkcijas, neviršijant jų kompetencijos.</w:t>
              </w:r>
            </w:p>
            <w:p>
              <w:pPr>
                <w:suppressAutoHyphens/>
                <w:ind w:firstLine="567"/>
                <w:jc w:val="both"/>
                <w:rPr>
                  <w:color w:val="000000"/>
                  <w:szCs w:val="24"/>
                </w:rPr>
              </w:pPr>
              <w:r>
                <w:rPr>
                  <w:color w:val="000000"/>
                  <w:szCs w:val="24"/>
                </w:rPr>
                <w:t>Visi komandos nariai pagal kompetenciją privalo:</w:t>
              </w:r>
            </w:p>
            <w:sdt>
              <w:sdtPr>
                <w:alias w:val="2 pr. 1.1 pp."/>
                <w:tag w:val="part_8cad976b66814708a03f2e65893c079d"/>
                <w:lock w:val="sdtLocked"/>
                <w:richText/>
              </w:sdtPr>
              <w:sdtContent>
                <w:p>
                  <w:pPr>
                    <w:suppressAutoHyphens/>
                    <w:ind w:firstLine="567"/>
                    <w:jc w:val="both"/>
                    <w:rPr>
                      <w:color w:val="000000"/>
                      <w:szCs w:val="24"/>
                    </w:rPr>
                  </w:pPr>
                  <w:sdt>
                    <w:sdtPr>
                      <w:alias w:val="Numeris"/>
                      <w:tag w:val="nr_8cad976b66814708a03f2e65893c079d"/>
                      <w:lock w:val="sdtLocked"/>
                      <w:richText/>
                    </w:sdtPr>
                    <w:sdtContent>
                      <w:r>
                        <w:rPr>
                          <w:color w:val="000000"/>
                          <w:szCs w:val="24"/>
                        </w:rPr>
                        <w:t>1.1</w:t>
                      </w:r>
                    </w:sdtContent>
                  </w:sdt>
                  <w:r>
                    <w:rPr>
                      <w:color w:val="000000"/>
                      <w:szCs w:val="24"/>
                    </w:rPr>
                    <w:t>.</w:t>
                    <w:tab/>
                    <w:t>iškilus grėsmei paciento gyvybei, pagal kompetenciją teikti skubiąją medicinos pagalbą;</w:t>
                  </w:r>
                </w:p>
              </w:sdtContent>
            </w:sdt>
            <w:sdt>
              <w:sdtPr>
                <w:alias w:val="2 pr. 1.2 pp."/>
                <w:tag w:val="part_4533d73bca554ad198ddf97d1242ceb5"/>
                <w:lock w:val="sdtLocked"/>
                <w:richText/>
              </w:sdtPr>
              <w:sdtContent>
                <w:p>
                  <w:pPr>
                    <w:suppressAutoHyphens/>
                    <w:ind w:firstLine="567"/>
                    <w:jc w:val="both"/>
                    <w:rPr>
                      <w:color w:val="000000"/>
                      <w:szCs w:val="24"/>
                    </w:rPr>
                  </w:pPr>
                  <w:sdt>
                    <w:sdtPr>
                      <w:alias w:val="Numeris"/>
                      <w:tag w:val="nr_4533d73bca554ad198ddf97d1242ceb5"/>
                      <w:lock w:val="sdtLocked"/>
                      <w:richText/>
                    </w:sdtPr>
                    <w:sdtContent>
                      <w:r>
                        <w:rPr>
                          <w:color w:val="000000"/>
                          <w:szCs w:val="24"/>
                        </w:rPr>
                        <w:t>1.2</w:t>
                      </w:r>
                    </w:sdtContent>
                  </w:sdt>
                  <w:r>
                    <w:rPr>
                      <w:color w:val="000000"/>
                      <w:szCs w:val="24"/>
                    </w:rPr>
                    <w:t>.</w:t>
                    <w:tab/>
                    <w:t>informuoti teisėsaugos institucijas ir, esant reikalui, vaiko teisių apsaugos tarnybą apie įtariamus arba akivaizdžius smurto atvejus;</w:t>
                  </w:r>
                </w:p>
              </w:sdtContent>
            </w:sdt>
            <w:sdt>
              <w:sdtPr>
                <w:alias w:val="2 pr. 1.3 pp."/>
                <w:tag w:val="part_d552d58c34cb4635b201df8b2bb34584"/>
                <w:lock w:val="sdtLocked"/>
                <w:richText/>
              </w:sdtPr>
              <w:sdtContent>
                <w:p>
                  <w:pPr>
                    <w:suppressAutoHyphens/>
                    <w:ind w:firstLine="567"/>
                    <w:jc w:val="both"/>
                    <w:rPr>
                      <w:color w:val="000000"/>
                      <w:szCs w:val="24"/>
                    </w:rPr>
                  </w:pPr>
                  <w:sdt>
                    <w:sdtPr>
                      <w:alias w:val="Numeris"/>
                      <w:tag w:val="nr_d552d58c34cb4635b201df8b2bb34584"/>
                      <w:lock w:val="sdtLocked"/>
                      <w:richText/>
                    </w:sdtPr>
                    <w:sdtContent>
                      <w:r>
                        <w:rPr>
                          <w:color w:val="000000"/>
                          <w:szCs w:val="24"/>
                        </w:rPr>
                        <w:t>1.3</w:t>
                      </w:r>
                    </w:sdtContent>
                  </w:sdt>
                  <w:r>
                    <w:rPr>
                      <w:color w:val="000000"/>
                      <w:szCs w:val="24"/>
                    </w:rPr>
                    <w:t>.</w:t>
                    <w:tab/>
                  </w:r>
                  <w:r>
                    <w:rPr>
                      <w:rFonts w:eastAsia="Calibri"/>
                      <w:szCs w:val="24"/>
                    </w:rPr>
                    <w:t>laikytis profesinės etikos ir deontologijos principų, gerbti pacientų teises;</w:t>
                  </w:r>
                </w:p>
              </w:sdtContent>
            </w:sdt>
            <w:sdt>
              <w:sdtPr>
                <w:alias w:val="2 pr. 1.4 pp."/>
                <w:tag w:val="part_a5aface5ffa146618dbf6b8705bec7e6"/>
                <w:lock w:val="sdtLocked"/>
                <w:richText/>
              </w:sdtPr>
              <w:sdtContent>
                <w:p>
                  <w:pPr>
                    <w:suppressAutoHyphens/>
                    <w:ind w:firstLine="567"/>
                    <w:jc w:val="both"/>
                    <w:rPr>
                      <w:color w:val="000000"/>
                      <w:szCs w:val="24"/>
                    </w:rPr>
                  </w:pPr>
                  <w:sdt>
                    <w:sdtPr>
                      <w:alias w:val="Numeris"/>
                      <w:tag w:val="nr_a5aface5ffa146618dbf6b8705bec7e6"/>
                      <w:lock w:val="sdtLocked"/>
                      <w:richText/>
                    </w:sdtPr>
                    <w:sdtContent>
                      <w:r>
                        <w:rPr>
                          <w:color w:val="000000"/>
                          <w:szCs w:val="24"/>
                        </w:rPr>
                        <w:t>1.4</w:t>
                      </w:r>
                    </w:sdtContent>
                  </w:sdt>
                  <w:r>
                    <w:rPr>
                      <w:color w:val="000000"/>
                      <w:szCs w:val="24"/>
                    </w:rPr>
                    <w:t>.</w:t>
                    <w:tab/>
                  </w:r>
                  <w:r>
                    <w:rPr>
                      <w:rFonts w:eastAsia="Calibri"/>
                      <w:szCs w:val="24"/>
                    </w:rPr>
                    <w:t xml:space="preserve">pildyti </w:t>
                  </w:r>
                  <w:r>
                    <w:rPr>
                      <w:szCs w:val="24"/>
                    </w:rPr>
                    <w:t>medicinos dokumentus Elektroninės sveikatos paslaugų ir bendradarbiavimo infrastruktūros informacinėje sistemoje (toliau – ESPBI IS) ir kitose laikmenose įstaigos vadovo nustatyta tvarka</w:t>
                  </w:r>
                  <w:r>
                    <w:rPr>
                      <w:rFonts w:eastAsia="Calibri"/>
                      <w:szCs w:val="24"/>
                    </w:rPr>
                    <w:t>;</w:t>
                  </w:r>
                </w:p>
              </w:sdtContent>
            </w:sdt>
            <w:sdt>
              <w:sdtPr>
                <w:alias w:val="2 pr. 1.5 pp."/>
                <w:tag w:val="part_781a0f6c80f54eaca7d901f6a6c35e75"/>
                <w:lock w:val="sdtLocked"/>
                <w:richText/>
              </w:sdtPr>
              <w:sdtContent>
                <w:p>
                  <w:pPr>
                    <w:suppressAutoHyphens/>
                    <w:ind w:firstLine="567"/>
                    <w:jc w:val="both"/>
                    <w:rPr>
                      <w:color w:val="000000"/>
                      <w:szCs w:val="24"/>
                    </w:rPr>
                  </w:pPr>
                  <w:sdt>
                    <w:sdtPr>
                      <w:alias w:val="Numeris"/>
                      <w:tag w:val="nr_781a0f6c80f54eaca7d901f6a6c35e75"/>
                      <w:lock w:val="sdtLocked"/>
                      <w:richText/>
                    </w:sdtPr>
                    <w:sdtContent>
                      <w:r>
                        <w:rPr>
                          <w:color w:val="000000"/>
                          <w:szCs w:val="24"/>
                        </w:rPr>
                        <w:t>1.5</w:t>
                      </w:r>
                    </w:sdtContent>
                  </w:sdt>
                  <w:r>
                    <w:rPr>
                      <w:color w:val="000000"/>
                      <w:szCs w:val="24"/>
                    </w:rPr>
                    <w:t>.</w:t>
                    <w:tab/>
                  </w:r>
                  <w:r>
                    <w:rPr>
                      <w:rFonts w:eastAsia="Calibri"/>
                      <w:szCs w:val="24"/>
                    </w:rPr>
                    <w:t>dalyvauti konsiliumuose ir teikti nuomonę dėl individualaus paciento sveikatos būklės stebėsenos plano vykdymo eigos.</w:t>
                  </w:r>
                </w:p>
              </w:sdtContent>
            </w:sdt>
          </w:sdtContent>
        </w:sdt>
        <w:sdt>
          <w:sdtPr>
            <w:alias w:val="2 pr. 2 p."/>
            <w:tag w:val="part_78e5aac968e94f11ac9e38f40ed17e7d"/>
            <w:lock w:val="sdtLocked"/>
            <w:richText/>
          </w:sdtPr>
          <w:sdtContent>
            <w:p>
              <w:pPr>
                <w:suppressAutoHyphens/>
                <w:ind w:firstLine="567"/>
                <w:jc w:val="both"/>
                <w:rPr>
                  <w:color w:val="000000"/>
                  <w:szCs w:val="24"/>
                </w:rPr>
              </w:pPr>
              <w:sdt>
                <w:sdtPr>
                  <w:alias w:val="Numeris"/>
                  <w:tag w:val="nr_78e5aac968e94f11ac9e38f40ed17e7d"/>
                  <w:lock w:val="sdtLocked"/>
                  <w:richText/>
                </w:sdtPr>
                <w:sdtContent>
                  <w:r>
                    <w:rPr>
                      <w:color w:val="000000"/>
                      <w:szCs w:val="24"/>
                    </w:rPr>
                    <w:t>2</w:t>
                  </w:r>
                </w:sdtContent>
              </w:sdt>
              <w:r>
                <w:rPr>
                  <w:color w:val="000000"/>
                  <w:szCs w:val="24"/>
                </w:rPr>
                <w:t xml:space="preserve">. Gydytojas pagal kompetenciją: </w:t>
              </w:r>
            </w:p>
            <w:sdt>
              <w:sdtPr>
                <w:alias w:val="2 pr. 2.1 pp."/>
                <w:tag w:val="part_67c0faf10fbf4cecb3ab2bab02ee5003"/>
                <w:lock w:val="sdtLocked"/>
                <w:richText/>
              </w:sdtPr>
              <w:sdtContent>
                <w:p>
                  <w:pPr>
                    <w:suppressAutoHyphens/>
                    <w:ind w:firstLine="567"/>
                    <w:jc w:val="both"/>
                    <w:rPr>
                      <w:color w:val="000000"/>
                      <w:szCs w:val="24"/>
                    </w:rPr>
                  </w:pPr>
                  <w:sdt>
                    <w:sdtPr>
                      <w:alias w:val="Numeris"/>
                      <w:tag w:val="nr_67c0faf10fbf4cecb3ab2bab02ee5003"/>
                      <w:lock w:val="sdtLocked"/>
                      <w:richText/>
                    </w:sdtPr>
                    <w:sdtContent>
                      <w:r>
                        <w:rPr>
                          <w:color w:val="000000"/>
                          <w:szCs w:val="24"/>
                        </w:rPr>
                        <w:t>2.1</w:t>
                      </w:r>
                    </w:sdtContent>
                  </w:sdt>
                  <w:r>
                    <w:rPr>
                      <w:color w:val="000000"/>
                      <w:szCs w:val="24"/>
                    </w:rPr>
                    <w:t>. teikia prisirašiusiems ir kitiems į PAASP paslaugas teikiančią įstaigą besikreipiantiems pacientams skubiąją pagalbą;</w:t>
                  </w:r>
                </w:p>
              </w:sdtContent>
            </w:sdt>
            <w:sdt>
              <w:sdtPr>
                <w:alias w:val="2 pr. 2.2 pp."/>
                <w:tag w:val="part_4df756ed990140beaf73a1422c741dbe"/>
                <w:lock w:val="sdtLocked"/>
                <w:richText/>
              </w:sdtPr>
              <w:sdtContent>
                <w:p>
                  <w:pPr>
                    <w:suppressAutoHyphens/>
                    <w:ind w:firstLine="567"/>
                    <w:jc w:val="both"/>
                    <w:rPr>
                      <w:color w:val="000000"/>
                      <w:szCs w:val="24"/>
                    </w:rPr>
                  </w:pPr>
                  <w:sdt>
                    <w:sdtPr>
                      <w:alias w:val="Numeris"/>
                      <w:tag w:val="nr_4df756ed990140beaf73a1422c741dbe"/>
                      <w:lock w:val="sdtLocked"/>
                      <w:richText/>
                    </w:sdtPr>
                    <w:sdtContent>
                      <w:r>
                        <w:rPr>
                          <w:color w:val="000000"/>
                          <w:szCs w:val="24"/>
                        </w:rPr>
                        <w:t>2.2</w:t>
                      </w:r>
                    </w:sdtContent>
                  </w:sdt>
                  <w:r>
                    <w:rPr>
                      <w:color w:val="000000"/>
                      <w:szCs w:val="24"/>
                    </w:rPr>
                    <w:t>. teikia prisirašiusiems pacientams planines PAASP paslaugas;</w:t>
                  </w:r>
                </w:p>
              </w:sdtContent>
            </w:sdt>
            <w:sdt>
              <w:sdtPr>
                <w:alias w:val="2 pr. 2.3 pp."/>
                <w:tag w:val="part_0fe842b3a6194a6cbbffe9cef9443122"/>
                <w:lock w:val="sdtLocked"/>
                <w:richText/>
              </w:sdtPr>
              <w:sdtContent>
                <w:p>
                  <w:pPr>
                    <w:suppressAutoHyphens/>
                    <w:ind w:firstLine="567"/>
                    <w:jc w:val="both"/>
                    <w:rPr>
                      <w:color w:val="000000"/>
                      <w:szCs w:val="24"/>
                    </w:rPr>
                  </w:pPr>
                  <w:sdt>
                    <w:sdtPr>
                      <w:alias w:val="Numeris"/>
                      <w:tag w:val="nr_0fe842b3a6194a6cbbffe9cef9443122"/>
                      <w:lock w:val="sdtLocked"/>
                      <w:richText/>
                    </w:sdtPr>
                    <w:sdtContent>
                      <w:r>
                        <w:rPr>
                          <w:color w:val="000000"/>
                          <w:szCs w:val="24"/>
                        </w:rPr>
                        <w:t>2.3</w:t>
                      </w:r>
                    </w:sdtContent>
                  </w:sdt>
                  <w:r>
                    <w:rPr>
                      <w:color w:val="000000"/>
                      <w:szCs w:val="24"/>
                    </w:rPr>
                    <w:t>. siunčia konsultacijos pas gydytoją specialistą gydymo dienos stacionare arba stacionare;</w:t>
                  </w:r>
                </w:p>
              </w:sdtContent>
            </w:sdt>
            <w:sdt>
              <w:sdtPr>
                <w:alias w:val="2 pr. 2.4 pp."/>
                <w:tag w:val="part_684b78ebca314921916a9f17be5af4f1"/>
                <w:lock w:val="sdtLocked"/>
                <w:richText/>
              </w:sdtPr>
              <w:sdtContent>
                <w:p>
                  <w:pPr>
                    <w:suppressAutoHyphens/>
                    <w:ind w:firstLine="567"/>
                    <w:jc w:val="both"/>
                    <w:rPr>
                      <w:color w:val="000000"/>
                      <w:szCs w:val="24"/>
                    </w:rPr>
                  </w:pPr>
                  <w:sdt>
                    <w:sdtPr>
                      <w:alias w:val="Numeris"/>
                      <w:tag w:val="nr_684b78ebca314921916a9f17be5af4f1"/>
                      <w:lock w:val="sdtLocked"/>
                      <w:richText/>
                    </w:sdtPr>
                    <w:sdtContent>
                      <w:r>
                        <w:rPr>
                          <w:color w:val="000000"/>
                          <w:szCs w:val="24"/>
                        </w:rPr>
                        <w:t>2.4</w:t>
                      </w:r>
                    </w:sdtContent>
                  </w:sdt>
                  <w:r>
                    <w:rPr>
                      <w:color w:val="000000"/>
                      <w:szCs w:val="24"/>
                    </w:rPr>
                    <w:t>. atsižvelgdamas į gydytojų specialistų rekomendacijas, sudaro paciento sveikatos būklės stebėsenos planą, tęsia paciento gydymą ir jo sveikatos būklės stebėseną;</w:t>
                  </w:r>
                </w:p>
              </w:sdtContent>
            </w:sdt>
            <w:sdt>
              <w:sdtPr>
                <w:alias w:val="2 pr. 2.5 pp."/>
                <w:tag w:val="part_d8a048ef24294d0b86ccbdc2e9650034"/>
                <w:lock w:val="sdtLocked"/>
                <w:richText/>
              </w:sdtPr>
              <w:sdtContent>
                <w:p>
                  <w:pPr>
                    <w:suppressAutoHyphens/>
                    <w:ind w:firstLine="567"/>
                    <w:jc w:val="both"/>
                    <w:rPr>
                      <w:color w:val="000000"/>
                      <w:szCs w:val="24"/>
                    </w:rPr>
                  </w:pPr>
                  <w:sdt>
                    <w:sdtPr>
                      <w:alias w:val="Numeris"/>
                      <w:tag w:val="nr_d8a048ef24294d0b86ccbdc2e9650034"/>
                      <w:lock w:val="sdtLocked"/>
                      <w:richText/>
                    </w:sdtPr>
                    <w:sdtContent>
                      <w:r>
                        <w:rPr>
                          <w:color w:val="000000"/>
                          <w:szCs w:val="24"/>
                        </w:rPr>
                        <w:t>2.5</w:t>
                      </w:r>
                    </w:sdtContent>
                  </w:sdt>
                  <w:r>
                    <w:rPr>
                      <w:color w:val="000000"/>
                      <w:szCs w:val="24"/>
                    </w:rPr>
                    <w:t>. paveda kitiems komandos nariams teikti PAASP paslaugas pagal jų kompetenciją, vadovauja konsiliumams.</w:t>
                  </w:r>
                </w:p>
              </w:sdtContent>
            </w:sdt>
          </w:sdtContent>
        </w:sdt>
        <w:sdt>
          <w:sdtPr>
            <w:alias w:val="2 pr. 3 p."/>
            <w:tag w:val="part_e1a34a319fd8466cafdf8dcc32042ef5"/>
            <w:lock w:val="sdtLocked"/>
            <w:richText/>
          </w:sdtPr>
          <w:sdtContent>
            <w:p>
              <w:pPr>
                <w:ind w:firstLine="567"/>
                <w:jc w:val="both"/>
                <w:rPr>
                  <w:szCs w:val="24"/>
                </w:rPr>
              </w:pPr>
              <w:sdt>
                <w:sdtPr>
                  <w:alias w:val="Numeris"/>
                  <w:tag w:val="nr_e1a34a319fd8466cafdf8dcc32042ef5"/>
                  <w:lock w:val="sdtLocked"/>
                  <w:richText/>
                </w:sdtPr>
                <w:sdtContent>
                  <w:r>
                    <w:rPr>
                      <w:color w:val="000000"/>
                      <w:szCs w:val="24"/>
                    </w:rPr>
                    <w:t>3</w:t>
                  </w:r>
                </w:sdtContent>
              </w:sdt>
              <w:r>
                <w:rPr>
                  <w:color w:val="000000"/>
                  <w:szCs w:val="24"/>
                </w:rPr>
                <w:t>. S</w:t>
              </w:r>
              <w:r>
                <w:rPr>
                  <w:szCs w:val="24"/>
                </w:rPr>
                <w:t xml:space="preserve">laugytojas </w:t>
              </w:r>
              <w:r>
                <w:rPr>
                  <w:color w:val="000000"/>
                  <w:szCs w:val="24"/>
                </w:rPr>
                <w:t xml:space="preserve"> pagal kompetenciją, nustatytą Lietuvos medicinos normoje MN </w:t>
              </w:r>
              <w:r>
                <w:rPr>
                  <w:color w:val="000000"/>
                  <w:szCs w:val="24"/>
                  <w:lang w:val="en-GB"/>
                </w:rPr>
                <w:t>28:2019 „</w:t>
              </w:r>
              <w:r>
                <w:rPr>
                  <w:color w:val="000000"/>
                  <w:szCs w:val="24"/>
                </w:rPr>
                <w:t xml:space="preserve">Bendrosios praktikos slaugytojas“, patvirtintoje Lietuvos Respublikos sveikatos apsaugos ministro 2011 m. birželio 8 d. įsakymu Nr. V-591 „Dėl  Lietuvos medicinos normos MN </w:t>
              </w:r>
              <w:r>
                <w:rPr>
                  <w:color w:val="000000"/>
                  <w:szCs w:val="24"/>
                  <w:lang w:val="en-GB"/>
                </w:rPr>
                <w:t>28:2019 „</w:t>
              </w:r>
              <w:r>
                <w:rPr>
                  <w:color w:val="000000"/>
                  <w:szCs w:val="24"/>
                </w:rPr>
                <w:t xml:space="preserve">Bendrosios praktikos slaugytojas“ patvirtinimo“, </w:t>
              </w:r>
              <w:r>
                <w:rPr>
                  <w:szCs w:val="24"/>
                </w:rPr>
                <w:t>arba</w:t>
              </w:r>
              <w:r>
                <w:rPr>
                  <w:color w:val="000000"/>
                  <w:szCs w:val="24"/>
                </w:rPr>
                <w:t xml:space="preserve"> Lietuvos medicinos normoje MN </w:t>
              </w:r>
              <w:r>
                <w:rPr>
                  <w:color w:val="000000"/>
                  <w:szCs w:val="24"/>
                  <w:lang w:val="en-GB"/>
                </w:rPr>
                <w:t>160:2017 „</w:t>
              </w:r>
              <w:r>
                <w:rPr>
                  <w:color w:val="000000"/>
                  <w:szCs w:val="24"/>
                </w:rPr>
                <w:t xml:space="preserve">Išplėstinės praktikos slaugytojas“, patvirtintoje Lietuvos Respublikos sveikatos apsaugos ministro 2017 m. liepos 7 d. įsakymu Nr. V-852 „Dėl  Lietuvos medicinos normos MN </w:t>
              </w:r>
              <w:r>
                <w:rPr>
                  <w:color w:val="000000"/>
                  <w:szCs w:val="24"/>
                  <w:lang w:val="en-GB"/>
                </w:rPr>
                <w:t>160:2017 „</w:t>
              </w:r>
              <w:r>
                <w:rPr>
                  <w:color w:val="000000"/>
                  <w:szCs w:val="24"/>
                </w:rPr>
                <w:t xml:space="preserve">Išplėstinės praktikos slaugytojas“ patvirtinimo“,  organizuoja ir teikia asmens sveikatos priežiūros paslaugas savarankiškai arba pagal gydytojo paskyrimą.</w:t>
              </w:r>
            </w:p>
          </w:sdtContent>
        </w:sdt>
        <w:sdt>
          <w:sdtPr>
            <w:alias w:val="2 pr. 4 p."/>
            <w:tag w:val="part_1aeaa69ebc9849f98ff70721d0465d5f"/>
            <w:lock w:val="sdtLocked"/>
            <w:richText/>
          </w:sdtPr>
          <w:sdtContent>
            <w:p>
              <w:pPr>
                <w:ind w:firstLine="567"/>
                <w:jc w:val="both"/>
                <w:rPr>
                  <w:szCs w:val="24"/>
                </w:rPr>
              </w:pPr>
              <w:sdt>
                <w:sdtPr>
                  <w:alias w:val="Numeris"/>
                  <w:tag w:val="nr_1aeaa69ebc9849f98ff70721d0465d5f"/>
                  <w:lock w:val="sdtLocked"/>
                  <w:richText/>
                </w:sdtPr>
                <w:sdtContent>
                  <w:r>
                    <w:rPr>
                      <w:color w:val="000000"/>
                      <w:szCs w:val="24"/>
                    </w:rPr>
                    <w:t>4</w:t>
                  </w:r>
                </w:sdtContent>
              </w:sdt>
              <w:r>
                <w:rPr>
                  <w:color w:val="000000"/>
                  <w:szCs w:val="24"/>
                </w:rPr>
                <w:t>. Akušeris pagal kompetenciją, nustatytą Lietuvos medicinos normoje MN </w:t>
              </w:r>
              <w:r>
                <w:rPr>
                  <w:color w:val="000000"/>
                  <w:szCs w:val="24"/>
                  <w:lang w:val="en-GB"/>
                </w:rPr>
                <w:t>40:2021 „</w:t>
              </w:r>
              <w:r>
                <w:rPr>
                  <w:color w:val="000000"/>
                  <w:szCs w:val="24"/>
                </w:rPr>
                <w:t xml:space="preserve">Akušeris“, patvirtintoje Lietuvos Respublikos sveikatos apsaugos ministro 2014 m. lapkričio 25 d. įsakymu Nr. V-1220 „Dėl  Lietuvos medicinos normos MN </w:t>
              </w:r>
              <w:r>
                <w:rPr>
                  <w:color w:val="000000"/>
                  <w:szCs w:val="24"/>
                  <w:lang w:val="en-GB"/>
                </w:rPr>
                <w:t>40:2021 „</w:t>
              </w:r>
              <w:r>
                <w:rPr>
                  <w:color w:val="000000"/>
                  <w:szCs w:val="24"/>
                </w:rPr>
                <w:t>Akušeris“ patvirtinimo“, organizuoja ir teikia asmens sveikatos priežiūros paslaugas savarankiškai arba pagal gydytojo paskyrimą.</w:t>
              </w:r>
            </w:p>
          </w:sdtContent>
        </w:sdt>
        <w:sdt>
          <w:sdtPr>
            <w:alias w:val="2 pr. 5 p."/>
            <w:tag w:val="part_5eca46ea815c4bf1a6777432305b31ba"/>
            <w:lock w:val="sdtLocked"/>
            <w:richText/>
          </w:sdtPr>
          <w:sdtContent>
            <w:p>
              <w:pPr>
                <w:ind w:firstLine="567"/>
                <w:jc w:val="both"/>
                <w:rPr>
                  <w:szCs w:val="24"/>
                </w:rPr>
              </w:pPr>
              <w:sdt>
                <w:sdtPr>
                  <w:alias w:val="Numeris"/>
                  <w:tag w:val="nr_5eca46ea815c4bf1a6777432305b31ba"/>
                  <w:lock w:val="sdtLocked"/>
                  <w:richText/>
                </w:sdtPr>
                <w:sdtContent>
                  <w:r>
                    <w:rPr>
                      <w:szCs w:val="24"/>
                      <w:lang w:eastAsia="lt-LT"/>
                    </w:rPr>
                    <w:t>5</w:t>
                  </w:r>
                </w:sdtContent>
              </w:sdt>
              <w:r>
                <w:rPr>
                  <w:szCs w:val="24"/>
                  <w:lang w:eastAsia="lt-LT"/>
                </w:rPr>
                <w:t xml:space="preserve">. </w:t>
              </w:r>
              <w:r>
                <w:rPr>
                  <w:color w:val="000000"/>
                  <w:szCs w:val="24"/>
                </w:rPr>
                <w:t xml:space="preserve">Socialinis darbuotojas vykdo šeimos gydytojo komandos nario funkcijas, vadovaudamasis Asmens sveikatos priežiūros įstaigos socialinio darbuotojo veiklos nuostatų, patvirtintų </w:t>
              </w:r>
              <w:r>
                <w:rPr>
                  <w:color w:val="000000"/>
                  <w:szCs w:val="24"/>
                  <w:bdr w:val="none" w:sz="0" w:space="0" w:color="auto" w:frame="1"/>
                  <w:lang w:eastAsia="lt-LT"/>
                </w:rPr>
                <w:t>Lietuvos Respublikos sveikatos apsaugos ministro</w:t>
              </w:r>
              <w:r>
                <w:rPr>
                  <w:color w:val="000000"/>
                  <w:szCs w:val="24"/>
                  <w:lang w:eastAsia="lt-LT"/>
                </w:rPr>
                <w:t xml:space="preserve"> </w:t>
              </w:r>
              <w:r>
                <w:rPr>
                  <w:color w:val="000000"/>
                  <w:szCs w:val="24"/>
                  <w:bdr w:val="none" w:sz="0" w:space="0" w:color="auto" w:frame="1"/>
                  <w:lang w:eastAsia="lt-LT"/>
                </w:rPr>
                <w:t>ir Lietuvos Respublikos socialinės apsaugos ir darbo</w:t>
              </w:r>
              <w:r>
                <w:rPr>
                  <w:color w:val="000000"/>
                  <w:szCs w:val="24"/>
                  <w:lang w:eastAsia="lt-LT"/>
                </w:rPr>
                <w:t xml:space="preserve"> </w:t>
              </w:r>
              <w:r>
                <w:rPr>
                  <w:color w:val="000000"/>
                  <w:szCs w:val="24"/>
                  <w:bdr w:val="none" w:sz="0" w:space="0" w:color="auto" w:frame="1"/>
                  <w:lang w:eastAsia="lt-LT"/>
                </w:rPr>
                <w:t>ministro 1999 m. spalio 6 d. įsakymu Nr. 432/77</w:t>
              </w:r>
              <w:r>
                <w:rPr>
                  <w:color w:val="000000"/>
                  <w:szCs w:val="24"/>
                  <w:lang w:eastAsia="lt-LT"/>
                </w:rPr>
                <w:t xml:space="preserve"> </w:t>
              </w:r>
              <w:r>
                <w:rPr>
                  <w:color w:val="000000"/>
                  <w:szCs w:val="24"/>
                  <w:bdr w:val="none" w:sz="0" w:space="0" w:color="auto" w:frame="1"/>
                  <w:lang w:eastAsia="lt-LT"/>
                </w:rPr>
                <w:t>(Lietuvos Respublikos sveikatos apsaugos ministro ir Lietuvos Respublikos socialinės apsaugos ir darbo</w:t>
              </w:r>
              <w:r>
                <w:rPr>
                  <w:color w:val="000000"/>
                  <w:szCs w:val="24"/>
                  <w:lang w:eastAsia="lt-LT"/>
                </w:rPr>
                <w:t xml:space="preserve"> </w:t>
              </w:r>
              <w:r>
                <w:rPr>
                  <w:color w:val="000000"/>
                  <w:szCs w:val="24"/>
                  <w:bdr w:val="none" w:sz="0" w:space="0" w:color="auto" w:frame="1"/>
                  <w:lang w:eastAsia="lt-LT"/>
                </w:rPr>
                <w:t>ministro 2025 m. rugpjūčio 12 d. įsakymo Nr. V-750/A1-429</w:t>
              </w:r>
              <w:r>
                <w:rPr>
                  <w:color w:val="000000"/>
                  <w:szCs w:val="24"/>
                  <w:lang w:eastAsia="lt-LT"/>
                </w:rPr>
                <w:t xml:space="preserve"> </w:t>
              </w:r>
              <w:r>
                <w:rPr>
                  <w:color w:val="000000"/>
                  <w:szCs w:val="24"/>
                  <w:bdr w:val="none" w:sz="0" w:space="0" w:color="auto" w:frame="1"/>
                  <w:lang w:eastAsia="lt-LT"/>
                </w:rPr>
                <w:t xml:space="preserve">redakcija) </w:t>
              </w:r>
              <w:r>
                <w:rPr>
                  <w:color w:val="000000"/>
                  <w:szCs w:val="24"/>
                </w:rPr>
                <w:t>„</w:t>
              </w:r>
              <w:r>
                <w:rPr>
                  <w:color w:val="000000"/>
                  <w:szCs w:val="24"/>
                  <w:bdr w:val="none" w:sz="0" w:space="0" w:color="auto" w:frame="1"/>
                </w:rPr>
                <w:t>Dėl asmens sveikatos priežiūros įstaigos socialinio darbuotojo veiklos nuostatų patvirtinimo</w:t>
              </w:r>
              <w:r>
                <w:rPr>
                  <w:color w:val="000000"/>
                  <w:szCs w:val="24"/>
                </w:rPr>
                <w:t>“,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2 pr. 6 p."/>
            <w:tag w:val="part_85f1c4ca67324998871699e8ae5b950a"/>
            <w:lock w:val="sdtLocked"/>
            <w:richText/>
          </w:sdtPr>
          <w:sdtContent>
            <w:p>
              <w:pPr>
                <w:suppressAutoHyphens/>
                <w:ind w:firstLine="567"/>
                <w:jc w:val="both"/>
                <w:rPr>
                  <w:color w:val="000000"/>
                  <w:szCs w:val="24"/>
                </w:rPr>
              </w:pPr>
              <w:sdt>
                <w:sdtPr>
                  <w:alias w:val="Numeris"/>
                  <w:tag w:val="nr_85f1c4ca67324998871699e8ae5b950a"/>
                  <w:lock w:val="sdtLocked"/>
                  <w:richText/>
                </w:sdtPr>
                <w:sdtContent>
                  <w:r>
                    <w:rPr>
                      <w:color w:val="000000"/>
                      <w:szCs w:val="24"/>
                    </w:rPr>
                    <w:t>6</w:t>
                  </w:r>
                </w:sdtContent>
              </w:sdt>
              <w:r>
                <w:rPr>
                  <w:color w:val="000000"/>
                  <w:szCs w:val="24"/>
                </w:rPr>
                <w:t xml:space="preserve">. Kineziterapeutas vykdo šeimos gydytojo komandos nario funkcijas, vadovaudamasis Kineziterapijos paslaugų teikimo reikalavimų aprašo, patvirtinto Lietuvos Respublikos sveikatos apsaugos ministro 2022 m. birželio 1 d. įsakymu  Nr. V-1034 „Dėl Kineziterapijos paslaugų teikimo reikalavimų aprašo patvirtinimo“, nustatyta tvarka.</w:t>
              </w:r>
            </w:p>
          </w:sdtContent>
        </w:sdt>
        <w:sdt>
          <w:sdtPr>
            <w:alias w:val="2 pr. 7 p."/>
            <w:tag w:val="part_4f6bb9a61db34e6cbff84bdb983f172f"/>
            <w:lock w:val="sdtLocked"/>
            <w:richText/>
          </w:sdtPr>
          <w:sdtContent>
            <w:p>
              <w:pPr>
                <w:ind w:firstLine="567"/>
                <w:jc w:val="both"/>
                <w:textAlignment w:val="baseline"/>
              </w:pPr>
              <w:sdt>
                <w:sdtPr>
                  <w:alias w:val="Numeris"/>
                  <w:tag w:val="nr_4f6bb9a61db34e6cbff84bdb983f172f"/>
                  <w:lock w:val="sdtLocked"/>
                  <w:richText/>
                </w:sdtPr>
                <w:sdtContent>
                  <w:r>
                    <w:rPr>
                      <w:szCs w:val="24"/>
                      <w:lang w:eastAsia="lt-LT"/>
                    </w:rPr>
                    <w:t>7</w:t>
                  </w:r>
                </w:sdtContent>
              </w:sdt>
              <w:r>
                <w:rPr>
                  <w:szCs w:val="24"/>
                  <w:lang w:eastAsia="lt-LT"/>
                </w:rPr>
                <w:t xml:space="preserve">. </w:t>
              </w:r>
              <w:r>
                <w:rPr>
                  <w:color w:val="000000"/>
                  <w:szCs w:val="24"/>
                  <w:bdr w:val="none" w:sz="0" w:space="0" w:color="auto" w:frame="1"/>
                </w:rPr>
                <w:t>Gyvensenos medicinos specialistas</w:t>
              </w:r>
              <w:r>
                <w:rPr>
                  <w:color w:val="000000"/>
                  <w:szCs w:val="24"/>
                </w:rPr>
                <w:t xml:space="preserve"> vykdo šeimos gydytojo komandos nario funkcijas, vadovaudamasis </w:t>
              </w:r>
              <w:r>
                <w:rPr>
                  <w:color w:val="000000"/>
                  <w:szCs w:val="24"/>
                  <w:bdr w:val="none" w:sz="0" w:space="0" w:color="auto" w:frame="1"/>
                </w:rPr>
                <w:t>Gyvensenos medicinos paslaugų teikimo reikalavimų </w:t>
              </w:r>
              <w:r>
                <w:rPr>
                  <w:color w:val="000000"/>
                  <w:szCs w:val="24"/>
                </w:rPr>
                <w:t xml:space="preserve"> aprašo, patvirtinto Lietuvos Respublikos sveikatos apsaugos ministro </w:t>
              </w:r>
              <w:r>
                <w:rPr>
                  <w:szCs w:val="24"/>
                  <w:lang w:eastAsia="lt-LT"/>
                </w:rPr>
                <w:t>2023 m. balandžio 24 d. įsakymu Nr. V-489 „Dėl Gyvensenos medicinos paslaugų teikimo reikalavimų aprašo patvirtinimo“</w:t>
              </w:r>
              <w:r>
                <w:rPr>
                  <w:color w:val="000000"/>
                  <w:szCs w:val="24"/>
                </w:rPr>
                <w:t>,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2 pr. 8 p."/>
            <w:tag w:val="part_0f3491f42d704160bc93bd9d80b7aef4"/>
            <w:lock w:val="sdtLocked"/>
            <w:richText/>
          </w:sdtPr>
          <w:sdtContent>
            <w:p>
              <w:pPr>
                <w:ind w:firstLine="567"/>
                <w:jc w:val="both"/>
                <w:rPr>
                  <w:rFonts w:eastAsia="SimSun"/>
                  <w:iCs/>
                  <w:color w:val="000000"/>
                  <w:szCs w:val="24"/>
                  <w:bdr w:val="nil"/>
                  <w:lang w:eastAsia="lt-LT"/>
                </w:rPr>
              </w:pPr>
              <w:sdt>
                <w:sdtPr>
                  <w:alias w:val="Numeris"/>
                  <w:tag w:val="nr_0f3491f42d704160bc93bd9d80b7aef4"/>
                  <w:lock w:val="sdtLocked"/>
                  <w:richText/>
                </w:sdtPr>
                <w:sdtContent>
                  <w:r>
                    <w:rPr>
                      <w:szCs w:val="24"/>
                      <w:lang w:eastAsia="lt-LT"/>
                    </w:rPr>
                    <w:t>8</w:t>
                  </w:r>
                </w:sdtContent>
              </w:sdt>
              <w:r>
                <w:rPr>
                  <w:szCs w:val="24"/>
                  <w:lang w:eastAsia="lt-LT"/>
                </w:rPr>
                <w:t xml:space="preserve">. </w:t>
              </w:r>
              <w:r>
                <w:rPr>
                  <w:color w:val="000000"/>
                  <w:szCs w:val="24"/>
                </w:rPr>
                <w:t>Atvejo vadybininkas vykdo šeimos gydytojo komandos nario funkcijas, vadovaudamasis Atvejo vadybos paslaugų teikimo šeimos gydytojo komandoje reikalavimų</w:t>
              </w:r>
              <w:r>
                <w:rPr>
                  <w:color w:val="000000"/>
                  <w:szCs w:val="24"/>
                  <w:bdr w:val="none" w:sz="0" w:space="0" w:color="auto" w:frame="1"/>
                </w:rPr>
                <w:t> </w:t>
              </w:r>
              <w:r>
                <w:rPr>
                  <w:color w:val="000000"/>
                  <w:szCs w:val="24"/>
                </w:rPr>
                <w:t xml:space="preserve"> aprašo, patvirtinto Lietuvos Respublikos sveikatos apsaugos ministro </w:t>
              </w:r>
              <w:r>
                <w:rPr>
                  <w:szCs w:val="24"/>
                  <w:lang w:eastAsia="lt-LT"/>
                </w:rPr>
                <w:t>2024 m. gruodžio 9 d. įsakymu Nr. V-1259 „</w:t>
              </w:r>
              <w:r>
                <w:rPr>
                  <w:color w:val="000000"/>
                  <w:szCs w:val="24"/>
                </w:rPr>
                <w:t>Dėl Atvejo vadybos paslaugų teikimo šeimos gydytojo komandoje reikalavimų aprašo patvirtinimo</w:t>
              </w:r>
              <w:r>
                <w:rPr>
                  <w:szCs w:val="24"/>
                  <w:lang w:eastAsia="lt-LT"/>
                </w:rPr>
                <w:t>“</w:t>
              </w:r>
              <w:r>
                <w:rPr>
                  <w:color w:val="000000"/>
                  <w:szCs w:val="24"/>
                </w:rPr>
                <w:t>,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2 pr. 9 p."/>
            <w:tag w:val="part_31896dc4302d48cd9cbccb47b9826e56"/>
            <w:lock w:val="sdtLocked"/>
            <w:richText/>
          </w:sdtPr>
          <w:sdtContent>
            <w:p>
              <w:pPr>
                <w:ind w:firstLine="567"/>
                <w:jc w:val="both"/>
                <w:rPr>
                  <w:color w:val="000000"/>
                  <w:szCs w:val="24"/>
                </w:rPr>
              </w:pPr>
              <w:sdt>
                <w:sdtPr>
                  <w:alias w:val="Numeris"/>
                  <w:tag w:val="nr_31896dc4302d48cd9cbccb47b9826e56"/>
                  <w:lock w:val="sdtLocked"/>
                  <w:richText/>
                </w:sdtPr>
                <w:sdtContent>
                  <w:r>
                    <w:rPr>
                      <w:color w:val="000000"/>
                      <w:szCs w:val="24"/>
                      <w:bdr w:val="none" w:sz="0" w:space="0" w:color="auto" w:frame="1"/>
                    </w:rPr>
                    <w:t>9</w:t>
                  </w:r>
                </w:sdtContent>
              </w:sdt>
              <w:r>
                <w:rPr>
                  <w:color w:val="000000"/>
                  <w:szCs w:val="24"/>
                  <w:bdr w:val="none" w:sz="0" w:space="0" w:color="auto" w:frame="1"/>
                </w:rPr>
                <w:t xml:space="preserve">. </w:t>
              </w:r>
              <w:r>
                <w:rPr>
                  <w:color w:val="000000"/>
                  <w:szCs w:val="24"/>
                </w:rPr>
                <w:t>Apylinkės administratorius vykdo šeimos gydytojo komandos nario funkcijas, vadovaudamasis</w:t>
              </w:r>
              <w:r>
                <w:rPr>
                  <w:color w:val="000000"/>
                  <w:szCs w:val="24"/>
                  <w:bdr w:val="none" w:sz="0" w:space="0" w:color="auto" w:frame="1"/>
                </w:rPr>
                <w:t xml:space="preserve"> Apylinkės administratoriaus  paslaugų teikimo </w:t>
              </w:r>
              <w:r>
                <w:rPr>
                  <w:color w:val="000000"/>
                  <w:szCs w:val="24"/>
                </w:rPr>
                <w:t> šeimos gydytojo komandoje</w:t>
              </w:r>
              <w:r>
                <w:rPr>
                  <w:color w:val="000000"/>
                  <w:szCs w:val="24"/>
                  <w:bdr w:val="none" w:sz="0" w:space="0" w:color="auto" w:frame="1"/>
                </w:rPr>
                <w:t>  reikalavimų</w:t>
              </w:r>
              <w:r>
                <w:rPr>
                  <w:color w:val="000000"/>
                  <w:szCs w:val="24"/>
                </w:rPr>
                <w:t xml:space="preserve"> aprašo, patvirtinto Lietuvos Respublikos sveikatos apsaugos ministro </w:t>
              </w:r>
              <w:r>
                <w:rPr>
                  <w:szCs w:val="24"/>
                  <w:lang w:eastAsia="lt-LT"/>
                </w:rPr>
                <w:t>2024 m. gruodžio 9 d. įsakymu Nr. V-1258 „</w:t>
              </w:r>
              <w:r>
                <w:rPr>
                  <w:color w:val="000000"/>
                  <w:szCs w:val="24"/>
                  <w:bdr w:val="none" w:sz="0" w:space="0" w:color="auto" w:frame="1"/>
                </w:rPr>
                <w:t>Dėl Apylinkės administratoriaus paslaugų</w:t>
              </w:r>
              <w:r>
                <w:rPr>
                  <w:color w:val="000000"/>
                  <w:szCs w:val="24"/>
                </w:rPr>
                <w:t xml:space="preserve"> šeimos gydytojo komandoje</w:t>
              </w:r>
              <w:r>
                <w:rPr>
                  <w:color w:val="000000"/>
                  <w:szCs w:val="24"/>
                  <w:bdr w:val="none" w:sz="0" w:space="0" w:color="auto" w:frame="1"/>
                </w:rPr>
                <w:t xml:space="preserve"> teikimo reikalavimų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7256e6eb3011f09cfce49e7aeb76fe">
                <w:r w:rsidRPr="00532B9F">
                  <w:rPr>
                    <w:rFonts w:ascii="Times New Roman" w:eastAsia="MS Mincho" w:hAnsi="Times New Roman"/>
                    <w:sz w:val="20"/>
                    <w:i/>
                    <w:iCs/>
                    <w:color w:val="0000FF" w:themeColor="hyperlink"/>
                    <w:u w:val="single"/>
                  </w:rPr>
                  <w:t>V-10</w:t>
                </w:r>
              </w:fldSimple>
              <w:r>
                <w:rPr>
                  <w:rFonts w:ascii="Times New Roman" w:eastAsia="MS Mincho" w:hAnsi="Times New Roman"/>
                  <w:sz w:val="20"/>
                  <w:i/>
                  <w:iCs/>
                </w:rPr>
                <w:t>,
2026-01-06,
paskelbta TAR 2026-01-06, i. k. 2026-00109            </w:t>
              </w:r>
            </w:p>
            <w:p/>
          </w:sdtContent>
        </w:sdt>
        <w:sdt>
          <w:sdtPr>
            <w:alias w:val="pabaiga"/>
            <w:tag w:val="part_c87ec6a206354b0b8bca802a2672b819"/>
            <w:lock w:val="sdtLocked"/>
            <w:richText/>
          </w:sdtPr>
          <w:sdtContent>
            <w:p>
              <w:pPr>
                <w:suppressAutoHyphens/>
                <w:jc w:val="center"/>
                <w:rPr>
                  <w:color w:val="000000"/>
                  <w:szCs w:val="24"/>
                </w:rPr>
              </w:pPr>
              <w:r>
                <w:rPr>
                  <w:color w:val="000000"/>
                  <w:szCs w:val="24"/>
                </w:rPr>
                <w:t>_________________</w:t>
              </w:r>
            </w:p>
            <w:p>
              <w:pPr>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9f5cb0b98d11ed8df094f359a60216">
            <w:r w:rsidRPr="00532B9F">
              <w:rPr>
                <w:rFonts w:ascii="Times New Roman" w:eastAsia="MS Mincho" w:hAnsi="Times New Roman"/>
                <w:sz w:val="20"/>
                <w:i/>
                <w:iCs/>
                <w:color w:val="0000FF" w:themeColor="hyperlink"/>
                <w:u w:val="single"/>
              </w:rPr>
              <w:t>V-293</w:t>
            </w:r>
          </w:fldSimple>
          <w:r>
            <w:rPr>
              <w:rFonts w:ascii="Times New Roman" w:eastAsia="MS Mincho" w:hAnsi="Times New Roman"/>
              <w:sz w:val="20"/>
              <w:i/>
              <w:iCs/>
            </w:rPr>
            <w:t>,
2023-03-03,
paskelbta TAR 2023-03-03, i. k. 2023-03953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BE766B69E7">
            <w:r w:rsidRPr="00532B9F">
              <w:rPr>
                <w:rFonts w:ascii="Times New Roman" w:eastAsia="MS Mincho" w:hAnsi="Times New Roman"/>
                <w:sz w:val="20"/>
                <w:iCs/>
                <w:color w:val="0000FF" w:themeColor="hyperlink"/>
                <w:u w:val="single"/>
              </w:rPr>
              <w:t>V-9</w:t>
            </w:r>
          </w:fldSimple>
          <w:r>
            <w:rPr>
              <w:rFonts w:ascii="Times New Roman" w:eastAsia="MS Mincho" w:hAnsi="Times New Roman"/>
              <w:sz w:val="20"/>
              <w:iCs/>
            </w:rPr>
            <w:t>,
2006-01-04,
Žin., 2006, Nr.
5-178 (2006-01-14), i. k. 1062250ISAK00000V-9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C4F583AA9">
            <w:r w:rsidRPr="00532B9F">
              <w:rPr>
                <w:rFonts w:ascii="Times New Roman" w:eastAsia="MS Mincho" w:hAnsi="Times New Roman"/>
                <w:sz w:val="20"/>
                <w:iCs/>
                <w:color w:val="0000FF" w:themeColor="hyperlink"/>
                <w:u w:val="single"/>
              </w:rPr>
              <w:t>V-322</w:t>
            </w:r>
          </w:fldSimple>
          <w:r>
            <w:rPr>
              <w:rFonts w:ascii="Times New Roman" w:eastAsia="MS Mincho" w:hAnsi="Times New Roman"/>
              <w:sz w:val="20"/>
              <w:iCs/>
            </w:rPr>
            <w:t>,
2006-04-27,
Žin., 2006, Nr.
48-1727 (2006-04-29), i. k. 1062250ISAK000V-322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BFF05BAD501">
            <w:r w:rsidRPr="00532B9F">
              <w:rPr>
                <w:rFonts w:ascii="Times New Roman" w:eastAsia="MS Mincho" w:hAnsi="Times New Roman"/>
                <w:sz w:val="20"/>
                <w:iCs/>
                <w:color w:val="0000FF" w:themeColor="hyperlink"/>
                <w:u w:val="single"/>
              </w:rPr>
              <w:t>V-474</w:t>
            </w:r>
          </w:fldSimple>
          <w:r>
            <w:rPr>
              <w:rFonts w:ascii="Times New Roman" w:eastAsia="MS Mincho" w:hAnsi="Times New Roman"/>
              <w:sz w:val="20"/>
              <w:iCs/>
            </w:rPr>
            <w:t>,
2006-06-09,
Žin., 2006, Nr.
67-2480 (2006-06-15), i. k. 1062250ISAK000V-474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F59ABCCF4">
            <w:r w:rsidRPr="00532B9F">
              <w:rPr>
                <w:rFonts w:ascii="Times New Roman" w:eastAsia="MS Mincho" w:hAnsi="Times New Roman"/>
                <w:sz w:val="20"/>
                <w:iCs/>
                <w:color w:val="0000FF" w:themeColor="hyperlink"/>
                <w:u w:val="single"/>
              </w:rPr>
              <w:t>V-1102</w:t>
            </w:r>
          </w:fldSimple>
          <w:r>
            <w:rPr>
              <w:rFonts w:ascii="Times New Roman" w:eastAsia="MS Mincho" w:hAnsi="Times New Roman"/>
              <w:sz w:val="20"/>
              <w:iCs/>
            </w:rPr>
            <w:t>,
2006-12-22,
Žin., 2006, Nr.
144-5508 (2006-12-30), i. k. 1062250ISAK00V-1102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79C7584CBB9">
            <w:r w:rsidRPr="00532B9F">
              <w:rPr>
                <w:rFonts w:ascii="Times New Roman" w:eastAsia="MS Mincho" w:hAnsi="Times New Roman"/>
                <w:sz w:val="20"/>
                <w:iCs/>
                <w:color w:val="0000FF" w:themeColor="hyperlink"/>
                <w:u w:val="single"/>
              </w:rPr>
              <w:t>V-126</w:t>
            </w:r>
          </w:fldSimple>
          <w:r>
            <w:rPr>
              <w:rFonts w:ascii="Times New Roman" w:eastAsia="MS Mincho" w:hAnsi="Times New Roman"/>
              <w:sz w:val="20"/>
              <w:iCs/>
            </w:rPr>
            <w:t>,
2007-02-28,
Žin., 2007, Nr.
30-1106 (2007-03-10), i. k. 1072250ISAK000V-126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F6E5FCC566">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2007-05-03,
Žin., 2007, Nr.
50-1955 (2007-05-10), i. k. 1072250ISAK000V-318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0AF61D97151">
            <w:r w:rsidRPr="00532B9F">
              <w:rPr>
                <w:rFonts w:ascii="Times New Roman" w:eastAsia="MS Mincho" w:hAnsi="Times New Roman"/>
                <w:sz w:val="20"/>
                <w:iCs/>
                <w:color w:val="0000FF" w:themeColor="hyperlink"/>
                <w:u w:val="single"/>
              </w:rPr>
              <w:t>V-48</w:t>
            </w:r>
          </w:fldSimple>
          <w:r>
            <w:rPr>
              <w:rFonts w:ascii="Times New Roman" w:eastAsia="MS Mincho" w:hAnsi="Times New Roman"/>
              <w:sz w:val="20"/>
              <w:iCs/>
            </w:rPr>
            <w:t>,
2008-01-17,
Žin., 2008, Nr.
12-405 (2008-01-29), i. k. 1082250ISAK0000V-48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A7C9FF1F60">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2008-04-29,
Žin., 2008, Nr.
54-2001 (2008-05-13), i. k. 1082250ISAK000V-343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E4C57DE8A7B">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2008-05-09,
Žin., 2008, Nr.
54-2015 (2008-05-13), i. k. 1082250ISAK000V-422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603BDD5E7">
            <w:r w:rsidRPr="00532B9F">
              <w:rPr>
                <w:rFonts w:ascii="Times New Roman" w:eastAsia="MS Mincho" w:hAnsi="Times New Roman"/>
                <w:sz w:val="20"/>
                <w:iCs/>
                <w:color w:val="0000FF" w:themeColor="hyperlink"/>
                <w:u w:val="single"/>
              </w:rPr>
              <w:t>V-467</w:t>
            </w:r>
          </w:fldSimple>
          <w:r>
            <w:rPr>
              <w:rFonts w:ascii="Times New Roman" w:eastAsia="MS Mincho" w:hAnsi="Times New Roman"/>
              <w:sz w:val="20"/>
              <w:iCs/>
            </w:rPr>
            <w:t>,
2008-05-16,
Žin., 2008, Nr.
59-2245 (2008-05-24), i. k. 1082250ISAK000V-467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C6A64F6FE">
            <w:r w:rsidRPr="00532B9F">
              <w:rPr>
                <w:rFonts w:ascii="Times New Roman" w:eastAsia="MS Mincho" w:hAnsi="Times New Roman"/>
                <w:sz w:val="20"/>
                <w:iCs/>
                <w:color w:val="0000FF" w:themeColor="hyperlink"/>
                <w:u w:val="single"/>
              </w:rPr>
              <w:t>V-609</w:t>
            </w:r>
          </w:fldSimple>
          <w:r>
            <w:rPr>
              <w:rFonts w:ascii="Times New Roman" w:eastAsia="MS Mincho" w:hAnsi="Times New Roman"/>
              <w:sz w:val="20"/>
              <w:iCs/>
            </w:rPr>
            <w:t>,
2008-06-20,
Žin., 2008, Nr.
74-2895 (2008-06-30), i. k. 1082250ISAK000V-609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5F733E52D40">
            <w:r w:rsidRPr="00532B9F">
              <w:rPr>
                <w:rFonts w:ascii="Times New Roman" w:eastAsia="MS Mincho" w:hAnsi="Times New Roman"/>
                <w:sz w:val="20"/>
                <w:iCs/>
                <w:color w:val="0000FF" w:themeColor="hyperlink"/>
                <w:u w:val="single"/>
              </w:rPr>
              <w:t>V-794</w:t>
            </w:r>
          </w:fldSimple>
          <w:r>
            <w:rPr>
              <w:rFonts w:ascii="Times New Roman" w:eastAsia="MS Mincho" w:hAnsi="Times New Roman"/>
              <w:sz w:val="20"/>
              <w:iCs/>
            </w:rPr>
            <w:t>,
2008-08-13,
Žin., 2008, Nr.
97-3760 (2008-08-26), i. k. 1082250ISAK000V-794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3568B50A19">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2009-02-04,
Žin., 2009, Nr.
17-678 (2009-02-12); Žin., 2009, Nr.
19-0 (2009-02-19), i. k. 1092250ISAK0000V-59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ACEB9E5FF4">
            <w:r w:rsidRPr="00532B9F">
              <w:rPr>
                <w:rFonts w:ascii="Times New Roman" w:eastAsia="MS Mincho" w:hAnsi="Times New Roman"/>
                <w:sz w:val="20"/>
                <w:iCs/>
                <w:color w:val="0000FF" w:themeColor="hyperlink"/>
                <w:u w:val="single"/>
              </w:rPr>
              <w:t>V-376</w:t>
            </w:r>
          </w:fldSimple>
          <w:r>
            <w:rPr>
              <w:rFonts w:ascii="Times New Roman" w:eastAsia="MS Mincho" w:hAnsi="Times New Roman"/>
              <w:sz w:val="20"/>
              <w:iCs/>
            </w:rPr>
            <w:t>,
2009-05-15,
Žin., 2009, Nr.
58-2279 (2009-05-19), i. k. 1092250ISAK000V-376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1ADA30857E">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2009-05-22,
Žin., 2009, Nr.
64-2574 (2009-05-30), i. k. 1092250ISAK000V-392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240A8FD095">
            <w:r w:rsidRPr="00532B9F">
              <w:rPr>
                <w:rFonts w:ascii="Times New Roman" w:eastAsia="MS Mincho" w:hAnsi="Times New Roman"/>
                <w:sz w:val="20"/>
                <w:iCs/>
                <w:color w:val="0000FF" w:themeColor="hyperlink"/>
                <w:u w:val="single"/>
              </w:rPr>
              <w:t>V-407</w:t>
            </w:r>
          </w:fldSimple>
          <w:r>
            <w:rPr>
              <w:rFonts w:ascii="Times New Roman" w:eastAsia="MS Mincho" w:hAnsi="Times New Roman"/>
              <w:sz w:val="20"/>
              <w:iCs/>
            </w:rPr>
            <w:t>,
2009-05-25,
Žin., 2009, Nr.
62-2510 (2009-05-28), i. k. 1092250ISAK000V-407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D7BF2EE68C">
            <w:r w:rsidRPr="00532B9F">
              <w:rPr>
                <w:rFonts w:ascii="Times New Roman" w:eastAsia="MS Mincho" w:hAnsi="Times New Roman"/>
                <w:sz w:val="20"/>
                <w:iCs/>
                <w:color w:val="0000FF" w:themeColor="hyperlink"/>
                <w:u w:val="single"/>
              </w:rPr>
              <w:t>V-909</w:t>
            </w:r>
          </w:fldSimple>
          <w:r>
            <w:rPr>
              <w:rFonts w:ascii="Times New Roman" w:eastAsia="MS Mincho" w:hAnsi="Times New Roman"/>
              <w:sz w:val="20"/>
              <w:iCs/>
            </w:rPr>
            <w:t>,
2009-10-30,
Žin., 2009, Nr.
132-5775 (2009-11-05), i. k. 1092250ISAK000V-909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A5D5D9C586F">
            <w:r w:rsidRPr="00532B9F">
              <w:rPr>
                <w:rFonts w:ascii="Times New Roman" w:eastAsia="MS Mincho" w:hAnsi="Times New Roman"/>
                <w:sz w:val="20"/>
                <w:iCs/>
                <w:color w:val="0000FF" w:themeColor="hyperlink"/>
                <w:u w:val="single"/>
              </w:rPr>
              <w:t>V-609</w:t>
            </w:r>
          </w:fldSimple>
          <w:r>
            <w:rPr>
              <w:rFonts w:ascii="Times New Roman" w:eastAsia="MS Mincho" w:hAnsi="Times New Roman"/>
              <w:sz w:val="20"/>
              <w:iCs/>
            </w:rPr>
            <w:t>,
2010-07-02,
Žin., 2010, Nr.
82-4366 (2010-07-13), i. k. 1102250ISAK000V-609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C93E8EB31">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2011-02-11,
Žin., 2011, Nr.
20-1014 (2011-02-17), i. k. 1112250ISAK000V-147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2F22F6F1079">
            <w:r w:rsidRPr="00532B9F">
              <w:rPr>
                <w:rFonts w:ascii="Times New Roman" w:eastAsia="MS Mincho" w:hAnsi="Times New Roman"/>
                <w:sz w:val="20"/>
                <w:iCs/>
                <w:color w:val="0000FF" w:themeColor="hyperlink"/>
                <w:u w:val="single"/>
              </w:rPr>
              <w:t>V-194</w:t>
            </w:r>
          </w:fldSimple>
          <w:r>
            <w:rPr>
              <w:rFonts w:ascii="Times New Roman" w:eastAsia="MS Mincho" w:hAnsi="Times New Roman"/>
              <w:sz w:val="20"/>
              <w:iCs/>
            </w:rPr>
            <w:t>,
2011-03-02,
Žin., 2011, Nr.
29-1369 (2011-03-08), i. k. 1112250ISAK000V-194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686297F323B">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2011-03-15,
Žin., 2011, Nr.
33-1574 (2011-03-19), i. k. 1112250ISAK000V-246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BEBC93C36F">
            <w:r w:rsidRPr="00532B9F">
              <w:rPr>
                <w:rFonts w:ascii="Times New Roman" w:eastAsia="MS Mincho" w:hAnsi="Times New Roman"/>
                <w:sz w:val="20"/>
                <w:iCs/>
                <w:color w:val="0000FF" w:themeColor="hyperlink"/>
                <w:u w:val="single"/>
              </w:rPr>
              <w:t>V-561</w:t>
            </w:r>
          </w:fldSimple>
          <w:r>
            <w:rPr>
              <w:rFonts w:ascii="Times New Roman" w:eastAsia="MS Mincho" w:hAnsi="Times New Roman"/>
              <w:sz w:val="20"/>
              <w:iCs/>
            </w:rPr>
            <w:t>,
2011-05-31,
Žin., 2011, Nr.
68-3255 (2011-06-04), i. k. 1112250ISAK000V-561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559C037FD2B">
            <w:r w:rsidRPr="00532B9F">
              <w:rPr>
                <w:rFonts w:ascii="Times New Roman" w:eastAsia="MS Mincho" w:hAnsi="Times New Roman"/>
                <w:sz w:val="20"/>
                <w:iCs/>
                <w:color w:val="0000FF" w:themeColor="hyperlink"/>
                <w:u w:val="single"/>
              </w:rPr>
              <w:t>V-563</w:t>
            </w:r>
          </w:fldSimple>
          <w:r>
            <w:rPr>
              <w:rFonts w:ascii="Times New Roman" w:eastAsia="MS Mincho" w:hAnsi="Times New Roman"/>
              <w:sz w:val="20"/>
              <w:iCs/>
            </w:rPr>
            <w:t>,
2011-06-01,
Žin., 2011, Nr.
68-3256 (2011-06-04), i. k. 1112250ISAK000V-563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79598C54894">
            <w:r w:rsidRPr="00532B9F">
              <w:rPr>
                <w:rFonts w:ascii="Times New Roman" w:eastAsia="MS Mincho" w:hAnsi="Times New Roman"/>
                <w:sz w:val="20"/>
                <w:iCs/>
                <w:color w:val="0000FF" w:themeColor="hyperlink"/>
                <w:u w:val="single"/>
              </w:rPr>
              <w:t>V-679</w:t>
            </w:r>
          </w:fldSimple>
          <w:r>
            <w:rPr>
              <w:rFonts w:ascii="Times New Roman" w:eastAsia="MS Mincho" w:hAnsi="Times New Roman"/>
              <w:sz w:val="20"/>
              <w:iCs/>
            </w:rPr>
            <w:t>,
2011-07-11,
Žin., 2011, Nr.
89-4286 (2011-07-16), i. k. 1112250ISAK000V-679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DD91D5B061">
            <w:r w:rsidRPr="00532B9F">
              <w:rPr>
                <w:rFonts w:ascii="Times New Roman" w:eastAsia="MS Mincho" w:hAnsi="Times New Roman"/>
                <w:sz w:val="20"/>
                <w:iCs/>
                <w:color w:val="0000FF" w:themeColor="hyperlink"/>
                <w:u w:val="single"/>
              </w:rPr>
              <w:t>V-882</w:t>
            </w:r>
          </w:fldSimple>
          <w:r>
            <w:rPr>
              <w:rFonts w:ascii="Times New Roman" w:eastAsia="MS Mincho" w:hAnsi="Times New Roman"/>
              <w:sz w:val="20"/>
              <w:iCs/>
            </w:rPr>
            <w:t>,
2011-10-04,
Žin., 2011, Nr.
122-5774 (2011-10-11), i. k. 1112250ISAK000V-882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EE9F5507BBF">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2011-12-27,
Žin., 2012, Nr.
4-116 (2012-01-06), i. k. 1112250ISAK00V-1142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F95EF9D5B20">
            <w:r w:rsidRPr="00532B9F">
              <w:rPr>
                <w:rFonts w:ascii="Times New Roman" w:eastAsia="MS Mincho" w:hAnsi="Times New Roman"/>
                <w:sz w:val="20"/>
                <w:iCs/>
                <w:color w:val="0000FF" w:themeColor="hyperlink"/>
                <w:u w:val="single"/>
              </w:rPr>
              <w:t>V-757</w:t>
            </w:r>
          </w:fldSimple>
          <w:r>
            <w:rPr>
              <w:rFonts w:ascii="Times New Roman" w:eastAsia="MS Mincho" w:hAnsi="Times New Roman"/>
              <w:sz w:val="20"/>
              <w:iCs/>
            </w:rPr>
            <w:t>,
2012-08-03,
Žin., 2012, Nr.
94-4863 (2012-08-09), i. k. 1122250ISAK000V-757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69136D3E5E">
            <w:r w:rsidRPr="00532B9F">
              <w:rPr>
                <w:rFonts w:ascii="Times New Roman" w:eastAsia="MS Mincho" w:hAnsi="Times New Roman"/>
                <w:sz w:val="20"/>
                <w:iCs/>
                <w:color w:val="0000FF" w:themeColor="hyperlink"/>
                <w:u w:val="single"/>
              </w:rPr>
              <w:t>V-927</w:t>
            </w:r>
          </w:fldSimple>
          <w:r>
            <w:rPr>
              <w:rFonts w:ascii="Times New Roman" w:eastAsia="MS Mincho" w:hAnsi="Times New Roman"/>
              <w:sz w:val="20"/>
              <w:iCs/>
            </w:rPr>
            <w:t>,
2012-10-10,
Žin., 2012, Nr.
120-6034 (2012-10-17), i. k. 1122250ISAK000V-927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011E26CE64">
            <w:r w:rsidRPr="00532B9F">
              <w:rPr>
                <w:rFonts w:ascii="Times New Roman" w:eastAsia="MS Mincho" w:hAnsi="Times New Roman"/>
                <w:sz w:val="20"/>
                <w:iCs/>
                <w:color w:val="0000FF" w:themeColor="hyperlink"/>
                <w:u w:val="single"/>
              </w:rPr>
              <w:t>V-1211</w:t>
            </w:r>
          </w:fldSimple>
          <w:r>
            <w:rPr>
              <w:rFonts w:ascii="Times New Roman" w:eastAsia="MS Mincho" w:hAnsi="Times New Roman"/>
              <w:sz w:val="20"/>
              <w:iCs/>
            </w:rPr>
            <w:t>,
2012-12-31,
Žin., 2013, Nr.
1-17 (2013-01-03), i. k. 1122250ISAK00V-1211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12AC4ADC6F3">
            <w:r w:rsidRPr="00532B9F">
              <w:rPr>
                <w:rFonts w:ascii="Times New Roman" w:eastAsia="MS Mincho" w:hAnsi="Times New Roman"/>
                <w:sz w:val="20"/>
                <w:iCs/>
                <w:color w:val="0000FF" w:themeColor="hyperlink"/>
                <w:u w:val="single"/>
              </w:rPr>
              <w:t>V-196</w:t>
            </w:r>
          </w:fldSimple>
          <w:r>
            <w:rPr>
              <w:rFonts w:ascii="Times New Roman" w:eastAsia="MS Mincho" w:hAnsi="Times New Roman"/>
              <w:sz w:val="20"/>
              <w:iCs/>
            </w:rPr>
            <w:t>,
2013-02-25,
Žin., 2013, Nr.
22-1095 (2013-02-28), i. k. 1132250ISAK000V-196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9e0f7079ff11e39a768983e09266c5">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2014-01-08,
paskelbta TAR 2014-01-10, i. k. 2014-00131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8a37b08ca211e3adad91663975b89f">
            <w:r w:rsidRPr="00532B9F">
              <w:rPr>
                <w:rFonts w:ascii="Times New Roman" w:eastAsia="MS Mincho" w:hAnsi="Times New Roman"/>
                <w:sz w:val="20"/>
                <w:iCs/>
                <w:color w:val="0000FF" w:themeColor="hyperlink"/>
                <w:u w:val="single"/>
              </w:rPr>
              <w:t>V-134</w:t>
            </w:r>
          </w:fldSimple>
          <w:r>
            <w:rPr>
              <w:rFonts w:ascii="Times New Roman" w:eastAsia="MS Mincho" w:hAnsi="Times New Roman"/>
              <w:sz w:val="20"/>
              <w:iCs/>
            </w:rPr>
            <w:t>,
2014-01-30,
paskelbta TAR 2014-02-03, i. k. 2014-00910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857d20affb11e39a619f61bf81ad0a">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2014-03-19,
paskelbta TAR 2014-03-20, i. k. 2014-03300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e4eae0c4a411e38c43fee5c144a67d">
            <w:r w:rsidRPr="00532B9F">
              <w:rPr>
                <w:rFonts w:ascii="Times New Roman" w:eastAsia="MS Mincho" w:hAnsi="Times New Roman"/>
                <w:sz w:val="20"/>
                <w:iCs/>
                <w:color w:val="0000FF" w:themeColor="hyperlink"/>
                <w:u w:val="single"/>
              </w:rPr>
              <w:t>V-459</w:t>
            </w:r>
          </w:fldSimple>
          <w:r>
            <w:rPr>
              <w:rFonts w:ascii="Times New Roman" w:eastAsia="MS Mincho" w:hAnsi="Times New Roman"/>
              <w:sz w:val="20"/>
              <w:iCs/>
            </w:rPr>
            <w:t>,
2014-04-10,
paskelbta TAR 2014-04-15, i. k. 2014-04444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8ed030430b11e4b328ee8724e3e13c">
            <w:r w:rsidRPr="00532B9F">
              <w:rPr>
                <w:rFonts w:ascii="Times New Roman" w:eastAsia="MS Mincho" w:hAnsi="Times New Roman"/>
                <w:sz w:val="20"/>
                <w:iCs/>
                <w:color w:val="0000FF" w:themeColor="hyperlink"/>
                <w:u w:val="single"/>
              </w:rPr>
              <w:t>V-949</w:t>
            </w:r>
          </w:fldSimple>
          <w:r>
            <w:rPr>
              <w:rFonts w:ascii="Times New Roman" w:eastAsia="MS Mincho" w:hAnsi="Times New Roman"/>
              <w:sz w:val="20"/>
              <w:iCs/>
            </w:rPr>
            <w:t>,
2014-09-09,
paskelbta TAR 2014-09-23, i. k. 2014-12691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82cd0068a711e4b6b89037654e22b1">
            <w:r w:rsidRPr="00532B9F">
              <w:rPr>
                <w:rFonts w:ascii="Times New Roman" w:eastAsia="MS Mincho" w:hAnsi="Times New Roman"/>
                <w:sz w:val="20"/>
                <w:iCs/>
                <w:color w:val="0000FF" w:themeColor="hyperlink"/>
                <w:u w:val="single"/>
              </w:rPr>
              <w:t>V-1136</w:t>
            </w:r>
          </w:fldSimple>
          <w:r>
            <w:rPr>
              <w:rFonts w:ascii="Times New Roman" w:eastAsia="MS Mincho" w:hAnsi="Times New Roman"/>
              <w:sz w:val="20"/>
              <w:iCs/>
            </w:rPr>
            <w:t>,
2014-11-04,
paskelbta TAR 2014-11-10, i. k. 2014-16348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40c0b0b38c11e48601d026d7145559">
            <w:r w:rsidRPr="00532B9F">
              <w:rPr>
                <w:rFonts w:ascii="Times New Roman" w:eastAsia="MS Mincho" w:hAnsi="Times New Roman"/>
                <w:sz w:val="20"/>
                <w:iCs/>
                <w:color w:val="0000FF" w:themeColor="hyperlink"/>
                <w:u w:val="single"/>
              </w:rPr>
              <w:t>V-192</w:t>
            </w:r>
          </w:fldSimple>
          <w:r>
            <w:rPr>
              <w:rFonts w:ascii="Times New Roman" w:eastAsia="MS Mincho" w:hAnsi="Times New Roman"/>
              <w:sz w:val="20"/>
              <w:iCs/>
            </w:rPr>
            <w:t>,
2015-02-10,
paskelbta TAR 2015-02-17, i. k. 2015-02362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66c0b0d87311e4894f9bde45468d3f">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2015-03-25,
paskelbta TAR 2015-04-01, i. k. 2015-04920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14a30e9bf11e4a4809231b4b55019">
            <w:r w:rsidRPr="00532B9F">
              <w:rPr>
                <w:rFonts w:ascii="Times New Roman" w:eastAsia="MS Mincho" w:hAnsi="Times New Roman"/>
                <w:sz w:val="20"/>
                <w:iCs/>
                <w:color w:val="0000FF" w:themeColor="hyperlink"/>
                <w:u w:val="single"/>
              </w:rPr>
              <w:t>V-520</w:t>
            </w:r>
          </w:fldSimple>
          <w:r>
            <w:rPr>
              <w:rFonts w:ascii="Times New Roman" w:eastAsia="MS Mincho" w:hAnsi="Times New Roman"/>
              <w:sz w:val="20"/>
              <w:iCs/>
            </w:rPr>
            <w:t>,
2015-04-22,
paskelbta TAR 2015-04-24, i. k. 2015-06155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880a60f57f11e4927fda1d051299fb">
            <w:r w:rsidRPr="00532B9F">
              <w:rPr>
                <w:rFonts w:ascii="Times New Roman" w:eastAsia="MS Mincho" w:hAnsi="Times New Roman"/>
                <w:sz w:val="20"/>
                <w:iCs/>
                <w:color w:val="0000FF" w:themeColor="hyperlink"/>
                <w:u w:val="single"/>
              </w:rPr>
              <w:t>V-560</w:t>
            </w:r>
          </w:fldSimple>
          <w:r>
            <w:rPr>
              <w:rFonts w:ascii="Times New Roman" w:eastAsia="MS Mincho" w:hAnsi="Times New Roman"/>
              <w:sz w:val="20"/>
              <w:iCs/>
            </w:rPr>
            <w:t>,
2015-05-04,
paskelbta TAR 2015-05-08, i. k. 2015-07028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f8fb3302a1111e5a2d7e5e47b869348">
            <w:r w:rsidRPr="00532B9F">
              <w:rPr>
                <w:rFonts w:ascii="Times New Roman" w:eastAsia="MS Mincho" w:hAnsi="Times New Roman"/>
                <w:sz w:val="20"/>
                <w:iCs/>
                <w:color w:val="0000FF" w:themeColor="hyperlink"/>
                <w:u w:val="single"/>
              </w:rPr>
              <w:t>V-860</w:t>
            </w:r>
          </w:fldSimple>
          <w:r>
            <w:rPr>
              <w:rFonts w:ascii="Times New Roman" w:eastAsia="MS Mincho" w:hAnsi="Times New Roman"/>
              <w:sz w:val="20"/>
              <w:iCs/>
            </w:rPr>
            <w:t>,
2015-07-10,
paskelbta TAR 2015-07-14, i. k. 2015-11332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A5A3D8D2E51">
            <w:r w:rsidRPr="00532B9F">
              <w:rPr>
                <w:rFonts w:ascii="Times New Roman" w:eastAsia="MS Mincho" w:hAnsi="Times New Roman"/>
                <w:sz w:val="20"/>
                <w:iCs/>
                <w:color w:val="0000FF" w:themeColor="hyperlink"/>
                <w:u w:val="single"/>
              </w:rPr>
              <w:t>V-475</w:t>
            </w:r>
          </w:fldSimple>
          <w:r>
            <w:rPr>
              <w:rFonts w:ascii="Times New Roman" w:eastAsia="MS Mincho" w:hAnsi="Times New Roman"/>
              <w:sz w:val="20"/>
              <w:iCs/>
            </w:rPr>
            <w:t>,
2013-05-09,
Žin., 2013, Nr.
50-2507 (2013-05-15), i. k. 1132250ISAK000V-475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87b3b0aee311e5b12fbb7dc920ee2c">
            <w:r w:rsidRPr="00532B9F">
              <w:rPr>
                <w:rFonts w:ascii="Times New Roman" w:eastAsia="MS Mincho" w:hAnsi="Times New Roman"/>
                <w:sz w:val="20"/>
                <w:iCs/>
                <w:color w:val="0000FF" w:themeColor="hyperlink"/>
                <w:u w:val="single"/>
              </w:rPr>
              <w:t>V-1487</w:t>
            </w:r>
          </w:fldSimple>
          <w:r>
            <w:rPr>
              <w:rFonts w:ascii="Times New Roman" w:eastAsia="MS Mincho" w:hAnsi="Times New Roman"/>
              <w:sz w:val="20"/>
              <w:iCs/>
            </w:rPr>
            <w:t>,
2015-12-21,
paskelbta TAR 2015-12-30, i. k. 2015-20991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d34c10afc611e5b12fbb7dc920ee2c">
            <w:r w:rsidRPr="00532B9F">
              <w:rPr>
                <w:rFonts w:ascii="Times New Roman" w:eastAsia="MS Mincho" w:hAnsi="Times New Roman"/>
                <w:sz w:val="20"/>
                <w:iCs/>
                <w:color w:val="0000FF" w:themeColor="hyperlink"/>
                <w:u w:val="single"/>
              </w:rPr>
              <w:t>V-1552</w:t>
            </w:r>
          </w:fldSimple>
          <w:r>
            <w:rPr>
              <w:rFonts w:ascii="Times New Roman" w:eastAsia="MS Mincho" w:hAnsi="Times New Roman"/>
              <w:sz w:val="20"/>
              <w:iCs/>
            </w:rPr>
            <w:t>,
2015-12-30,
paskelbta TAR 2015-12-31, i. k. 2015-21311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c98da036e311e69cf5d89a5fdd27cc">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2016-06-14,
paskelbta TAR 2016-06-20, i. k. 2016-17280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de25f048f811e6b5d09300a16a686c">
            <w:r w:rsidRPr="00532B9F">
              <w:rPr>
                <w:rFonts w:ascii="Times New Roman" w:eastAsia="MS Mincho" w:hAnsi="Times New Roman"/>
                <w:sz w:val="20"/>
                <w:iCs/>
                <w:color w:val="0000FF" w:themeColor="hyperlink"/>
                <w:u w:val="single"/>
              </w:rPr>
              <w:t>V-930</w:t>
            </w:r>
          </w:fldSimple>
          <w:r>
            <w:rPr>
              <w:rFonts w:ascii="Times New Roman" w:eastAsia="MS Mincho" w:hAnsi="Times New Roman"/>
              <w:sz w:val="20"/>
              <w:iCs/>
            </w:rPr>
            <w:t>,
2016-07-13,
paskelbta TAR 2016-07-13, i. k. 2016-20329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3e98d06de211e6a014b8463e530a88">
            <w:r w:rsidRPr="00532B9F">
              <w:rPr>
                <w:rFonts w:ascii="Times New Roman" w:eastAsia="MS Mincho" w:hAnsi="Times New Roman"/>
                <w:sz w:val="20"/>
                <w:iCs/>
                <w:color w:val="0000FF" w:themeColor="hyperlink"/>
                <w:u w:val="single"/>
              </w:rPr>
              <w:t>V-1026</w:t>
            </w:r>
          </w:fldSimple>
          <w:r>
            <w:rPr>
              <w:rFonts w:ascii="Times New Roman" w:eastAsia="MS Mincho" w:hAnsi="Times New Roman"/>
              <w:sz w:val="20"/>
              <w:iCs/>
            </w:rPr>
            <w:t>,
2016-08-26,
paskelbta TAR 2016-08-29, i. k. 2016-22816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22bf206e8011e6a014b8463e530a88">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2016-08-26,
paskelbta TAR 2016-08-30, i. k. 2016-22849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7e9700f90c11e68034be159a964f47">
            <w:r w:rsidRPr="00532B9F">
              <w:rPr>
                <w:rFonts w:ascii="Times New Roman" w:eastAsia="MS Mincho" w:hAnsi="Times New Roman"/>
                <w:sz w:val="20"/>
                <w:iCs/>
                <w:color w:val="0000FF" w:themeColor="hyperlink"/>
                <w:u w:val="single"/>
              </w:rPr>
              <w:t>V-177</w:t>
            </w:r>
          </w:fldSimple>
          <w:r>
            <w:rPr>
              <w:rFonts w:ascii="Times New Roman" w:eastAsia="MS Mincho" w:hAnsi="Times New Roman"/>
              <w:sz w:val="20"/>
              <w:iCs/>
            </w:rPr>
            <w:t>,
2017-02-20,
paskelbta TAR 2017-02-23, i. k. 2017-02940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a20190565a11e7846ef01bfffb9b64">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2017-06-19,
paskelbta TAR 2017-06-21, i. k. 2017-10361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90d2700a8211e8a5fc9d9b3a58917b">
            <w:r w:rsidRPr="00532B9F">
              <w:rPr>
                <w:rFonts w:ascii="Times New Roman" w:eastAsia="MS Mincho" w:hAnsi="Times New Roman"/>
                <w:sz w:val="20"/>
                <w:iCs/>
                <w:color w:val="0000FF" w:themeColor="hyperlink"/>
                <w:u w:val="single"/>
              </w:rPr>
              <w:t>V-124</w:t>
            </w:r>
          </w:fldSimple>
          <w:r>
            <w:rPr>
              <w:rFonts w:ascii="Times New Roman" w:eastAsia="MS Mincho" w:hAnsi="Times New Roman"/>
              <w:sz w:val="20"/>
              <w:iCs/>
            </w:rPr>
            <w:t>,
2018-02-02,
paskelbta TAR 2018-02-06, i. k. 2018-01808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organizavimo ir apmokėjimo tvarkos aprašo bei Pirminės ambulatorinės asmens sveikatos priežiūros paslaugų ir bazinių kainų sąrašo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5d20a02cf311e88ea9fc46d2024961">
            <w:r w:rsidRPr="00532B9F">
              <w:rPr>
                <w:rFonts w:ascii="Times New Roman" w:eastAsia="MS Mincho" w:hAnsi="Times New Roman"/>
                <w:sz w:val="20"/>
                <w:iCs/>
                <w:color w:val="0000FF" w:themeColor="hyperlink"/>
                <w:u w:val="single"/>
              </w:rPr>
              <w:t>V-304</w:t>
            </w:r>
          </w:fldSimple>
          <w:r>
            <w:rPr>
              <w:rFonts w:ascii="Times New Roman" w:eastAsia="MS Mincho" w:hAnsi="Times New Roman"/>
              <w:sz w:val="20"/>
              <w:iCs/>
            </w:rPr>
            <w:t>,
2018-03-19,
paskelbta TAR 2018-03-21, i. k. 2018-04262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ec620447e11e8ad2f97b2a095557a">
            <w:r w:rsidRPr="00532B9F">
              <w:rPr>
                <w:rFonts w:ascii="Times New Roman" w:eastAsia="MS Mincho" w:hAnsi="Times New Roman"/>
                <w:sz w:val="20"/>
                <w:iCs/>
                <w:color w:val="0000FF" w:themeColor="hyperlink"/>
                <w:u w:val="single"/>
              </w:rPr>
              <w:t>V-468</w:t>
            </w:r>
          </w:fldSimple>
          <w:r>
            <w:rPr>
              <w:rFonts w:ascii="Times New Roman" w:eastAsia="MS Mincho" w:hAnsi="Times New Roman"/>
              <w:sz w:val="20"/>
              <w:iCs/>
            </w:rPr>
            <w:t>,
2018-04-19,
paskelbta TAR 2018-04-20, i. k. 2018-06353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8e81c0634611e8acbae39398545bed">
            <w:r w:rsidRPr="00532B9F">
              <w:rPr>
                <w:rFonts w:ascii="Times New Roman" w:eastAsia="MS Mincho" w:hAnsi="Times New Roman"/>
                <w:sz w:val="20"/>
                <w:iCs/>
                <w:color w:val="0000FF" w:themeColor="hyperlink"/>
                <w:u w:val="single"/>
              </w:rPr>
              <w:t>V-617</w:t>
            </w:r>
          </w:fldSimple>
          <w:r>
            <w:rPr>
              <w:rFonts w:ascii="Times New Roman" w:eastAsia="MS Mincho" w:hAnsi="Times New Roman"/>
              <w:sz w:val="20"/>
              <w:iCs/>
            </w:rPr>
            <w:t>,
2018-05-28,
paskelbta TAR 2018-05-30, i. k. 2018-08649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6a66b08c1a11e8adc2b65cf0f647e0">
            <w:r w:rsidRPr="00532B9F">
              <w:rPr>
                <w:rFonts w:ascii="Times New Roman" w:eastAsia="MS Mincho" w:hAnsi="Times New Roman"/>
                <w:sz w:val="20"/>
                <w:iCs/>
                <w:color w:val="0000FF" w:themeColor="hyperlink"/>
                <w:u w:val="single"/>
              </w:rPr>
              <w:t>V-826</w:t>
            </w:r>
          </w:fldSimple>
          <w:r>
            <w:rPr>
              <w:rFonts w:ascii="Times New Roman" w:eastAsia="MS Mincho" w:hAnsi="Times New Roman"/>
              <w:sz w:val="20"/>
              <w:iCs/>
            </w:rPr>
            <w:t>,
2018-07-19,
paskelbta TAR 2018-07-23, i. k. 2018-12257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29b5009ea11e9a5eaf2cd290f1944">
            <w:r w:rsidRPr="00532B9F">
              <w:rPr>
                <w:rFonts w:ascii="Times New Roman" w:eastAsia="MS Mincho" w:hAnsi="Times New Roman"/>
                <w:sz w:val="20"/>
                <w:iCs/>
                <w:color w:val="0000FF" w:themeColor="hyperlink"/>
                <w:u w:val="single"/>
              </w:rPr>
              <w:t>V-1436</w:t>
            </w:r>
          </w:fldSimple>
          <w:r>
            <w:rPr>
              <w:rFonts w:ascii="Times New Roman" w:eastAsia="MS Mincho" w:hAnsi="Times New Roman"/>
              <w:sz w:val="20"/>
              <w:iCs/>
            </w:rPr>
            <w:t>,
2018-12-13,
paskelbta TAR 2018-12-27, i. k. 2018-21530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d38dc0230211e9bf1ef395f41d6fbc">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2019-01-24,
paskelbta TAR 2019-01-28, i. k. 2019-01246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8152604c6b11e9b9e1d4aa8e4da0de">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2019-03-18,
paskelbta TAR 2019-03-22, i. k. 2019-04461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fca370a93711e9964cdd77475976b0">
            <w:r w:rsidRPr="00532B9F">
              <w:rPr>
                <w:rFonts w:ascii="Times New Roman" w:eastAsia="MS Mincho" w:hAnsi="Times New Roman"/>
                <w:sz w:val="20"/>
                <w:iCs/>
                <w:color w:val="0000FF" w:themeColor="hyperlink"/>
                <w:u w:val="single"/>
              </w:rPr>
              <w:t>V-838</w:t>
            </w:r>
          </w:fldSimple>
          <w:r>
            <w:rPr>
              <w:rFonts w:ascii="Times New Roman" w:eastAsia="MS Mincho" w:hAnsi="Times New Roman"/>
              <w:sz w:val="20"/>
              <w:iCs/>
            </w:rPr>
            <w:t>,
2019-07-17,
paskelbta TAR 2019-07-18, i. k. 2019-11829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9e79540a9fa11e9964cdd77475976b0">
            <w:r w:rsidRPr="00532B9F">
              <w:rPr>
                <w:rFonts w:ascii="Times New Roman" w:eastAsia="MS Mincho" w:hAnsi="Times New Roman"/>
                <w:sz w:val="20"/>
                <w:iCs/>
                <w:color w:val="0000FF" w:themeColor="hyperlink"/>
                <w:u w:val="single"/>
              </w:rPr>
              <w:t>V-856</w:t>
            </w:r>
          </w:fldSimple>
          <w:r>
            <w:rPr>
              <w:rFonts w:ascii="Times New Roman" w:eastAsia="MS Mincho" w:hAnsi="Times New Roman"/>
              <w:sz w:val="20"/>
              <w:iCs/>
            </w:rPr>
            <w:t>,
2019-07-18,
paskelbta TAR 2019-07-19, i. k. 2019-11922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f85d00e9c711e99681cd81dcdca52c">
            <w:r w:rsidRPr="00532B9F">
              <w:rPr>
                <w:rFonts w:ascii="Times New Roman" w:eastAsia="MS Mincho" w:hAnsi="Times New Roman"/>
                <w:sz w:val="20"/>
                <w:iCs/>
                <w:color w:val="0000FF" w:themeColor="hyperlink"/>
                <w:u w:val="single"/>
              </w:rPr>
              <w:t>V-1134</w:t>
            </w:r>
          </w:fldSimple>
          <w:r>
            <w:rPr>
              <w:rFonts w:ascii="Times New Roman" w:eastAsia="MS Mincho" w:hAnsi="Times New Roman"/>
              <w:sz w:val="20"/>
              <w:iCs/>
            </w:rPr>
            <w:t>,
2019-10-07,
paskelbta TAR 2019-10-08, i. k. 2019-15985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ad78a01c2411eabe008ea93139d588">
            <w:r w:rsidRPr="00532B9F">
              <w:rPr>
                <w:rFonts w:ascii="Times New Roman" w:eastAsia="MS Mincho" w:hAnsi="Times New Roman"/>
                <w:sz w:val="20"/>
                <w:iCs/>
                <w:color w:val="0000FF" w:themeColor="hyperlink"/>
                <w:u w:val="single"/>
              </w:rPr>
              <w:t>V-1425</w:t>
            </w:r>
          </w:fldSimple>
          <w:r>
            <w:rPr>
              <w:rFonts w:ascii="Times New Roman" w:eastAsia="MS Mincho" w:hAnsi="Times New Roman"/>
              <w:sz w:val="20"/>
              <w:iCs/>
            </w:rPr>
            <w:t>,
2019-12-11,
paskelbta TAR 2019-12-12, i. k. 2019-19956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6486a0223e11eabe008ea93139d588">
            <w:r w:rsidRPr="00532B9F">
              <w:rPr>
                <w:rFonts w:ascii="Times New Roman" w:eastAsia="MS Mincho" w:hAnsi="Times New Roman"/>
                <w:sz w:val="20"/>
                <w:iCs/>
                <w:color w:val="0000FF" w:themeColor="hyperlink"/>
                <w:u w:val="single"/>
              </w:rPr>
              <w:t>V-1472</w:t>
            </w:r>
          </w:fldSimple>
          <w:r>
            <w:rPr>
              <w:rFonts w:ascii="Times New Roman" w:eastAsia="MS Mincho" w:hAnsi="Times New Roman"/>
              <w:sz w:val="20"/>
              <w:iCs/>
            </w:rPr>
            <w:t>,
2019-12-18,
paskelbta TAR 2019-12-19, i. k. 2019-20608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da9d90257611eabe008ea93139d588">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2019-12-20,
paskelbta TAR 2019-12-23, i. k. 2019-21168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cd151059fc11ea931dbf3357b5b1c0">
            <w:r w:rsidRPr="00532B9F">
              <w:rPr>
                <w:rFonts w:ascii="Times New Roman" w:eastAsia="MS Mincho" w:hAnsi="Times New Roman"/>
                <w:sz w:val="20"/>
                <w:iCs/>
                <w:color w:val="0000FF" w:themeColor="hyperlink"/>
                <w:u w:val="single"/>
              </w:rPr>
              <w:t>V-236</w:t>
            </w:r>
          </w:fldSimple>
          <w:r>
            <w:rPr>
              <w:rFonts w:ascii="Times New Roman" w:eastAsia="MS Mincho" w:hAnsi="Times New Roman"/>
              <w:sz w:val="20"/>
              <w:iCs/>
            </w:rPr>
            <w:t>,
2020-02-27,
paskelbta TAR 2020-02-28, i. k. 2020-04385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d4631d08ab111eab005936df725feed">
            <w:r w:rsidRPr="00532B9F">
              <w:rPr>
                <w:rFonts w:ascii="Times New Roman" w:eastAsia="MS Mincho" w:hAnsi="Times New Roman"/>
                <w:sz w:val="20"/>
                <w:iCs/>
                <w:color w:val="0000FF" w:themeColor="hyperlink"/>
                <w:u w:val="single"/>
              </w:rPr>
              <w:t>V-1015</w:t>
            </w:r>
          </w:fldSimple>
          <w:r>
            <w:rPr>
              <w:rFonts w:ascii="Times New Roman" w:eastAsia="MS Mincho" w:hAnsi="Times New Roman"/>
              <w:sz w:val="20"/>
              <w:iCs/>
            </w:rPr>
            <w:t>,
2020-04-29,
paskelbta TAR 2020-04-30, i. k. 2020-09150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a986a0943711ea9515f752ff221ec9">
            <w:r w:rsidRPr="00532B9F">
              <w:rPr>
                <w:rFonts w:ascii="Times New Roman" w:eastAsia="MS Mincho" w:hAnsi="Times New Roman"/>
                <w:sz w:val="20"/>
                <w:iCs/>
                <w:color w:val="0000FF" w:themeColor="hyperlink"/>
                <w:u w:val="single"/>
              </w:rPr>
              <w:t>V-1113</w:t>
            </w:r>
          </w:fldSimple>
          <w:r>
            <w:rPr>
              <w:rFonts w:ascii="Times New Roman" w:eastAsia="MS Mincho" w:hAnsi="Times New Roman"/>
              <w:sz w:val="20"/>
              <w:iCs/>
            </w:rPr>
            <w:t>,
2020-05-11,
paskelbta TAR 2020-05-12, i. k. 2020-10133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0915190bc5c11eab9d9cd0c85e0b745">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2020-07-01,
paskelbta TAR 2020-07-02, i. k. 2020-14876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8508800ee311ebb74de75171d26d52">
            <w:r w:rsidRPr="00532B9F">
              <w:rPr>
                <w:rFonts w:ascii="Times New Roman" w:eastAsia="MS Mincho" w:hAnsi="Times New Roman"/>
                <w:sz w:val="20"/>
                <w:iCs/>
                <w:color w:val="0000FF" w:themeColor="hyperlink"/>
                <w:u w:val="single"/>
              </w:rPr>
              <w:t>V-2275</w:t>
            </w:r>
          </w:fldSimple>
          <w:r>
            <w:rPr>
              <w:rFonts w:ascii="Times New Roman" w:eastAsia="MS Mincho" w:hAnsi="Times New Roman"/>
              <w:sz w:val="20"/>
              <w:iCs/>
            </w:rPr>
            <w:t>,
2020-10-15,
paskelbta TAR 2020-10-15, i. k. 2020-21492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6d23f01a8f11ebb0038a8cd8ff585f">
            <w:r w:rsidRPr="00532B9F">
              <w:rPr>
                <w:rFonts w:ascii="Times New Roman" w:eastAsia="MS Mincho" w:hAnsi="Times New Roman"/>
                <w:sz w:val="20"/>
                <w:iCs/>
                <w:color w:val="0000FF" w:themeColor="hyperlink"/>
                <w:u w:val="single"/>
              </w:rPr>
              <w:t>V-2436</w:t>
            </w:r>
          </w:fldSimple>
          <w:r>
            <w:rPr>
              <w:rFonts w:ascii="Times New Roman" w:eastAsia="MS Mincho" w:hAnsi="Times New Roman"/>
              <w:sz w:val="20"/>
              <w:iCs/>
            </w:rPr>
            <w:t>,
2020-10-30,
paskelbta TAR 2020-10-30, i. k. 2020-22704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9519801ab511ebb0038a8cd8ff585f">
            <w:r w:rsidRPr="00532B9F">
              <w:rPr>
                <w:rFonts w:ascii="Times New Roman" w:eastAsia="MS Mincho" w:hAnsi="Times New Roman"/>
                <w:sz w:val="20"/>
                <w:iCs/>
                <w:color w:val="0000FF" w:themeColor="hyperlink"/>
                <w:u w:val="single"/>
              </w:rPr>
              <w:t>V-2449</w:t>
            </w:r>
          </w:fldSimple>
          <w:r>
            <w:rPr>
              <w:rFonts w:ascii="Times New Roman" w:eastAsia="MS Mincho" w:hAnsi="Times New Roman"/>
              <w:sz w:val="20"/>
              <w:iCs/>
            </w:rPr>
            <w:t>,
2020-10-30,
paskelbta TAR 2020-10-30, i. k. 2020-22771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d831ff044ef11eb8d9fe110e148c770">
            <w:r w:rsidRPr="00532B9F">
              <w:rPr>
                <w:rFonts w:ascii="Times New Roman" w:eastAsia="MS Mincho" w:hAnsi="Times New Roman"/>
                <w:sz w:val="20"/>
                <w:iCs/>
                <w:color w:val="0000FF" w:themeColor="hyperlink"/>
                <w:u w:val="single"/>
              </w:rPr>
              <w:t>V-2980</w:t>
            </w:r>
          </w:fldSimple>
          <w:r>
            <w:rPr>
              <w:rFonts w:ascii="Times New Roman" w:eastAsia="MS Mincho" w:hAnsi="Times New Roman"/>
              <w:sz w:val="20"/>
              <w:iCs/>
            </w:rPr>
            <w:t>,
2020-12-21,
paskelbta TAR 2020-12-23, i. k. 2020-28293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5def70649711eb9dc7b575f08e8bea">
            <w:r w:rsidRPr="00532B9F">
              <w:rPr>
                <w:rFonts w:ascii="Times New Roman" w:eastAsia="MS Mincho" w:hAnsi="Times New Roman"/>
                <w:sz w:val="20"/>
                <w:iCs/>
                <w:color w:val="0000FF" w:themeColor="hyperlink"/>
                <w:u w:val="single"/>
              </w:rPr>
              <w:t>V-199</w:t>
            </w:r>
          </w:fldSimple>
          <w:r>
            <w:rPr>
              <w:rFonts w:ascii="Times New Roman" w:eastAsia="MS Mincho" w:hAnsi="Times New Roman"/>
              <w:sz w:val="20"/>
              <w:iCs/>
            </w:rPr>
            <w:t>,
2021-02-01,
paskelbta TAR 2021-02-01, i. k. 2021-01886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210f00992711eb9fecb5ecd3bd711c">
            <w:r w:rsidRPr="00532B9F">
              <w:rPr>
                <w:rFonts w:ascii="Times New Roman" w:eastAsia="MS Mincho" w:hAnsi="Times New Roman"/>
                <w:sz w:val="20"/>
                <w:iCs/>
                <w:color w:val="0000FF" w:themeColor="hyperlink"/>
                <w:u w:val="single"/>
              </w:rPr>
              <w:t>V-771</w:t>
            </w:r>
          </w:fldSimple>
          <w:r>
            <w:rPr>
              <w:rFonts w:ascii="Times New Roman" w:eastAsia="MS Mincho" w:hAnsi="Times New Roman"/>
              <w:sz w:val="20"/>
              <w:iCs/>
            </w:rPr>
            <w:t>,
2021-04-09,
paskelbta TAR 2021-04-09, i. k. 2021-07531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1a390b24a11eba871a26c1fc3fbc1">
            <w:r w:rsidRPr="00532B9F">
              <w:rPr>
                <w:rFonts w:ascii="Times New Roman" w:eastAsia="MS Mincho" w:hAnsi="Times New Roman"/>
                <w:sz w:val="20"/>
                <w:iCs/>
                <w:color w:val="0000FF" w:themeColor="hyperlink"/>
                <w:u w:val="single"/>
              </w:rPr>
              <w:t>V-1060</w:t>
            </w:r>
          </w:fldSimple>
          <w:r>
            <w:rPr>
              <w:rFonts w:ascii="Times New Roman" w:eastAsia="MS Mincho" w:hAnsi="Times New Roman"/>
              <w:sz w:val="20"/>
              <w:iCs/>
            </w:rPr>
            <w:t>,
2021-05-11,
paskelbta TAR 2021-05-11, i. k. 2021-10480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a27f70bc7611eb8c24980b2b0e0fef">
            <w:r w:rsidRPr="00532B9F">
              <w:rPr>
                <w:rFonts w:ascii="Times New Roman" w:eastAsia="MS Mincho" w:hAnsi="Times New Roman"/>
                <w:sz w:val="20"/>
                <w:iCs/>
                <w:color w:val="0000FF" w:themeColor="hyperlink"/>
                <w:u w:val="single"/>
              </w:rPr>
              <w:t>V-1190</w:t>
            </w:r>
          </w:fldSimple>
          <w:r>
            <w:rPr>
              <w:rFonts w:ascii="Times New Roman" w:eastAsia="MS Mincho" w:hAnsi="Times New Roman"/>
              <w:sz w:val="20"/>
              <w:iCs/>
            </w:rPr>
            <w:t>,
2021-05-24,
paskelbta TAR 2021-05-24, i. k. 2021-11445                </w:t>
          </w:r>
        </w:p>
        <w:p>
          <w:pPr>
            <w:jc w:val="both"/>
            <w:rPr>
              <w:rFonts w:ascii="Times New Roman" w:hAnsi="Times New Roman"/>
            </w:rPr>
          </w:pPr>
          <w:r>
            <w:rPr>
              <w:rFonts w:ascii="Times New Roman" w:hAnsi="Times New Roman"/>
              <w:sz w:val="20"/>
            </w:rPr>
            <w:t>Dėl Lietuvos Respublikos sveikatos apsaugos ministro 2021 m. balandžio 9 d. įsakymo Nr. V-771 „Dėl Lietuvos Respublikos sveikatos apsaugos ministro 2005 m. gruodžio 5 d. įsakymo Nr. V-943 „Dėl Pirminės ambulatorinės asmens sveikatos priežiūros paslaugų teikimo organizavimo ir šių paslaugų išlaidų apmokėjimo tvarkos aprašo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856f90f02b11eb9f09e7df20500045">
            <w:r w:rsidRPr="00532B9F">
              <w:rPr>
                <w:rFonts w:ascii="Times New Roman" w:eastAsia="MS Mincho" w:hAnsi="Times New Roman"/>
                <w:sz w:val="20"/>
                <w:iCs/>
                <w:color w:val="0000FF" w:themeColor="hyperlink"/>
                <w:u w:val="single"/>
              </w:rPr>
              <w:t>V-1754</w:t>
            </w:r>
          </w:fldSimple>
          <w:r>
            <w:rPr>
              <w:rFonts w:ascii="Times New Roman" w:eastAsia="MS Mincho" w:hAnsi="Times New Roman"/>
              <w:sz w:val="20"/>
              <w:iCs/>
            </w:rPr>
            <w:t>,
2021-07-29,
paskelbta TAR 2021-07-29, i. k. 2021-16690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38abd0122811ec9f09e7df20500045">
            <w:r w:rsidRPr="00532B9F">
              <w:rPr>
                <w:rFonts w:ascii="Times New Roman" w:eastAsia="MS Mincho" w:hAnsi="Times New Roman"/>
                <w:sz w:val="20"/>
                <w:iCs/>
                <w:color w:val="0000FF" w:themeColor="hyperlink"/>
                <w:u w:val="single"/>
              </w:rPr>
              <w:t>V-2054</w:t>
            </w:r>
          </w:fldSimple>
          <w:r>
            <w:rPr>
              <w:rFonts w:ascii="Times New Roman" w:eastAsia="MS Mincho" w:hAnsi="Times New Roman"/>
              <w:sz w:val="20"/>
              <w:iCs/>
            </w:rPr>
            <w:t>,
2021-09-10,
paskelbta TAR 2021-09-10, i. k. 2021-19158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ea26f60170911ec9f09e7df20500045">
            <w:r w:rsidRPr="00532B9F">
              <w:rPr>
                <w:rFonts w:ascii="Times New Roman" w:eastAsia="MS Mincho" w:hAnsi="Times New Roman"/>
                <w:sz w:val="20"/>
                <w:iCs/>
                <w:color w:val="0000FF" w:themeColor="hyperlink"/>
                <w:u w:val="single"/>
              </w:rPr>
              <w:t>V-2096</w:t>
            </w:r>
          </w:fldSimple>
          <w:r>
            <w:rPr>
              <w:rFonts w:ascii="Times New Roman" w:eastAsia="MS Mincho" w:hAnsi="Times New Roman"/>
              <w:sz w:val="20"/>
              <w:iCs/>
            </w:rPr>
            <w:t>,
2021-09-16,
paskelbta TAR 2021-09-16, i. k. 2021-19534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7f2a101b6611ec93af8a5fb475d9bd">
            <w:r w:rsidRPr="00532B9F">
              <w:rPr>
                <w:rFonts w:ascii="Times New Roman" w:eastAsia="MS Mincho" w:hAnsi="Times New Roman"/>
                <w:sz w:val="20"/>
                <w:iCs/>
                <w:color w:val="0000FF" w:themeColor="hyperlink"/>
                <w:u w:val="single"/>
              </w:rPr>
              <w:t>V-2138</w:t>
            </w:r>
          </w:fldSimple>
          <w:r>
            <w:rPr>
              <w:rFonts w:ascii="Times New Roman" w:eastAsia="MS Mincho" w:hAnsi="Times New Roman"/>
              <w:sz w:val="20"/>
              <w:iCs/>
            </w:rPr>
            <w:t>,
2021-09-22,
paskelbta TAR 2021-09-22, i. k. 2021-19816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6f48d03ca311ec992fe4cdfceb5666">
            <w:r w:rsidRPr="00532B9F">
              <w:rPr>
                <w:rFonts w:ascii="Times New Roman" w:eastAsia="MS Mincho" w:hAnsi="Times New Roman"/>
                <w:sz w:val="20"/>
                <w:iCs/>
                <w:color w:val="0000FF" w:themeColor="hyperlink"/>
                <w:u w:val="single"/>
              </w:rPr>
              <w:t>V-2466</w:t>
            </w:r>
          </w:fldSimple>
          <w:r>
            <w:rPr>
              <w:rFonts w:ascii="Times New Roman" w:eastAsia="MS Mincho" w:hAnsi="Times New Roman"/>
              <w:sz w:val="20"/>
              <w:iCs/>
            </w:rPr>
            <w:t>,
2021-11-03,
paskelbta TAR 2021-11-03, i. k. 2021-22828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c412ef05f0311eca9ac839120d251c4">
            <w:r w:rsidRPr="00532B9F">
              <w:rPr>
                <w:rFonts w:ascii="Times New Roman" w:eastAsia="MS Mincho" w:hAnsi="Times New Roman"/>
                <w:sz w:val="20"/>
                <w:iCs/>
                <w:color w:val="0000FF" w:themeColor="hyperlink"/>
                <w:u w:val="single"/>
              </w:rPr>
              <w:t>V-2869</w:t>
            </w:r>
          </w:fldSimple>
          <w:r>
            <w:rPr>
              <w:rFonts w:ascii="Times New Roman" w:eastAsia="MS Mincho" w:hAnsi="Times New Roman"/>
              <w:sz w:val="20"/>
              <w:iCs/>
            </w:rPr>
            <w:t>,
2021-12-17,
paskelbta TAR 2021-12-17, i. k. 2021-26055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d821906a0611eca9ac839120d251c4">
            <w:r w:rsidRPr="00532B9F">
              <w:rPr>
                <w:rFonts w:ascii="Times New Roman" w:eastAsia="MS Mincho" w:hAnsi="Times New Roman"/>
                <w:sz w:val="20"/>
                <w:iCs/>
                <w:color w:val="0000FF" w:themeColor="hyperlink"/>
                <w:u w:val="single"/>
              </w:rPr>
              <w:t>V-3003</w:t>
            </w:r>
          </w:fldSimple>
          <w:r>
            <w:rPr>
              <w:rFonts w:ascii="Times New Roman" w:eastAsia="MS Mincho" w:hAnsi="Times New Roman"/>
              <w:sz w:val="20"/>
              <w:iCs/>
            </w:rPr>
            <w:t>,
2021-12-31,
paskelbta TAR 2021-12-31, i. k. 2021-27876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ffeb60801511ec993ff5ca6e8ba60c">
            <w:r w:rsidRPr="00532B9F">
              <w:rPr>
                <w:rFonts w:ascii="Times New Roman" w:eastAsia="MS Mincho" w:hAnsi="Times New Roman"/>
                <w:sz w:val="20"/>
                <w:iCs/>
                <w:color w:val="0000FF" w:themeColor="hyperlink"/>
                <w:u w:val="single"/>
              </w:rPr>
              <w:t>V-172</w:t>
            </w:r>
          </w:fldSimple>
          <w:r>
            <w:rPr>
              <w:rFonts w:ascii="Times New Roman" w:eastAsia="MS Mincho" w:hAnsi="Times New Roman"/>
              <w:sz w:val="20"/>
              <w:iCs/>
            </w:rPr>
            <w:t>,
2022-01-28,
paskelbta TAR 2022-01-28, i. k. 2022-01384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7bd430bf9811ec8d9390588bf2de65">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2022-04-19,
paskelbta TAR 2022-04-19, i. k. 2022-07930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946970c7ae11ec8d9390588bf2de65">
            <w:r w:rsidRPr="00532B9F">
              <w:rPr>
                <w:rFonts w:ascii="Times New Roman" w:eastAsia="MS Mincho" w:hAnsi="Times New Roman"/>
                <w:sz w:val="20"/>
                <w:iCs/>
                <w:color w:val="0000FF" w:themeColor="hyperlink"/>
                <w:u w:val="single"/>
              </w:rPr>
              <w:t>V-865</w:t>
            </w:r>
          </w:fldSimple>
          <w:r>
            <w:rPr>
              <w:rFonts w:ascii="Times New Roman" w:eastAsia="MS Mincho" w:hAnsi="Times New Roman"/>
              <w:sz w:val="20"/>
              <w:iCs/>
            </w:rPr>
            <w:t>,
2022-04-29,
paskelbta TAR 2022-04-29, i. k. 2022-08985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582f40cc7411ec8d9390588bf2de65">
            <w:r w:rsidRPr="00532B9F">
              <w:rPr>
                <w:rFonts w:ascii="Times New Roman" w:eastAsia="MS Mincho" w:hAnsi="Times New Roman"/>
                <w:sz w:val="20"/>
                <w:iCs/>
                <w:color w:val="0000FF" w:themeColor="hyperlink"/>
                <w:u w:val="single"/>
              </w:rPr>
              <w:t>V-915</w:t>
            </w:r>
          </w:fldSimple>
          <w:r>
            <w:rPr>
              <w:rFonts w:ascii="Times New Roman" w:eastAsia="MS Mincho" w:hAnsi="Times New Roman"/>
              <w:sz w:val="20"/>
              <w:iCs/>
            </w:rPr>
            <w:t>,
2022-05-05,
paskelbta TAR 2022-05-05, i. k. 2022-09568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760ea0d5dd11ec8d9390588bf2de65">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2022-05-17,
paskelbta TAR 2022-05-17, i. k. 2022-10394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38ba70e32611ec8d9390588bf2de65">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2022-06-03,
paskelbta TAR 2022-06-03, i. k. 2022-12226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651af0e63f11ecb369fde863feb27d">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2022-06-07,
paskelbta TAR 2022-06-07, i. k. 2022-12286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204c60ed6c11eca1d4e3c2a811665d">
            <w:r w:rsidRPr="00532B9F">
              <w:rPr>
                <w:rFonts w:ascii="Times New Roman" w:eastAsia="MS Mincho" w:hAnsi="Times New Roman"/>
                <w:sz w:val="20"/>
                <w:iCs/>
                <w:color w:val="0000FF" w:themeColor="hyperlink"/>
                <w:u w:val="single"/>
              </w:rPr>
              <w:t>V-1075</w:t>
            </w:r>
          </w:fldSimple>
          <w:r>
            <w:rPr>
              <w:rFonts w:ascii="Times New Roman" w:eastAsia="MS Mincho" w:hAnsi="Times New Roman"/>
              <w:sz w:val="20"/>
              <w:iCs/>
            </w:rPr>
            <w:t>,
2022-06-16,
paskelbta TAR 2022-06-16, i. k. 2022-12916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399cb04e2811edbc04912defe897d1">
            <w:r w:rsidRPr="00532B9F">
              <w:rPr>
                <w:rFonts w:ascii="Times New Roman" w:eastAsia="MS Mincho" w:hAnsi="Times New Roman"/>
                <w:sz w:val="20"/>
                <w:iCs/>
                <w:color w:val="0000FF" w:themeColor="hyperlink"/>
                <w:u w:val="single"/>
              </w:rPr>
              <w:t>V-1554</w:t>
            </w:r>
          </w:fldSimple>
          <w:r>
            <w:rPr>
              <w:rFonts w:ascii="Times New Roman" w:eastAsia="MS Mincho" w:hAnsi="Times New Roman"/>
              <w:sz w:val="20"/>
              <w:iCs/>
            </w:rPr>
            <w:t>,
2022-10-17,
paskelbta TAR 2022-10-17, i. k. 2022-21059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4018905b8211edbc04912defe897d1">
            <w:r w:rsidRPr="00532B9F">
              <w:rPr>
                <w:rFonts w:ascii="Times New Roman" w:eastAsia="MS Mincho" w:hAnsi="Times New Roman"/>
                <w:sz w:val="20"/>
                <w:iCs/>
                <w:color w:val="0000FF" w:themeColor="hyperlink"/>
                <w:u w:val="single"/>
              </w:rPr>
              <w:t>V-1628</w:t>
            </w:r>
          </w:fldSimple>
          <w:r>
            <w:rPr>
              <w:rFonts w:ascii="Times New Roman" w:eastAsia="MS Mincho" w:hAnsi="Times New Roman"/>
              <w:sz w:val="20"/>
              <w:iCs/>
            </w:rPr>
            <w:t>,
2022-11-03,
paskelbta TAR 2022-11-03, i. k. 2022-22352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4b5c00765911edbc04912defe897d1">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2022-12-07,
paskelbta TAR 2022-12-07, i. k. 2022-24971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9c02c0765911edbc04912defe897d1">
            <w:r w:rsidRPr="00532B9F">
              <w:rPr>
                <w:rFonts w:ascii="Times New Roman" w:eastAsia="MS Mincho" w:hAnsi="Times New Roman"/>
                <w:sz w:val="20"/>
                <w:iCs/>
                <w:color w:val="0000FF" w:themeColor="hyperlink"/>
                <w:u w:val="single"/>
              </w:rPr>
              <w:t>V-1832</w:t>
            </w:r>
          </w:fldSimple>
          <w:r>
            <w:rPr>
              <w:rFonts w:ascii="Times New Roman" w:eastAsia="MS Mincho" w:hAnsi="Times New Roman"/>
              <w:sz w:val="20"/>
              <w:iCs/>
            </w:rPr>
            <w:t>,
2022-12-07,
paskelbta TAR 2022-12-07, i. k. 2022-24972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c52cd079e011edbc04912defe897d1">
            <w:r w:rsidRPr="00532B9F">
              <w:rPr>
                <w:rFonts w:ascii="Times New Roman" w:eastAsia="MS Mincho" w:hAnsi="Times New Roman"/>
                <w:sz w:val="20"/>
                <w:iCs/>
                <w:color w:val="0000FF" w:themeColor="hyperlink"/>
                <w:u w:val="single"/>
              </w:rPr>
              <w:t>V-1839</w:t>
            </w:r>
          </w:fldSimple>
          <w:r>
            <w:rPr>
              <w:rFonts w:ascii="Times New Roman" w:eastAsia="MS Mincho" w:hAnsi="Times New Roman"/>
              <w:sz w:val="20"/>
              <w:iCs/>
            </w:rPr>
            <w:t>,
2022-12-12,
paskelbta TAR 2022-12-12, i. k. 2022-25253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6317508db711ed8df094f359a60216">
            <w:r w:rsidRPr="00532B9F">
              <w:rPr>
                <w:rFonts w:ascii="Times New Roman" w:eastAsia="MS Mincho" w:hAnsi="Times New Roman"/>
                <w:sz w:val="20"/>
                <w:iCs/>
                <w:color w:val="0000FF" w:themeColor="hyperlink"/>
                <w:u w:val="single"/>
              </w:rPr>
              <w:t>V-17</w:t>
            </w:r>
          </w:fldSimple>
          <w:r>
            <w:rPr>
              <w:rFonts w:ascii="Times New Roman" w:eastAsia="MS Mincho" w:hAnsi="Times New Roman"/>
              <w:sz w:val="20"/>
              <w:iCs/>
            </w:rPr>
            <w:t>,
2023-01-05,
paskelbta TAR 2023-01-06, i. k. 2023-00375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9f5cb0b98d11ed8df094f359a60216">
            <w:r w:rsidRPr="00532B9F">
              <w:rPr>
                <w:rFonts w:ascii="Times New Roman" w:eastAsia="MS Mincho" w:hAnsi="Times New Roman"/>
                <w:sz w:val="20"/>
                <w:iCs/>
                <w:color w:val="0000FF" w:themeColor="hyperlink"/>
                <w:u w:val="single"/>
              </w:rPr>
              <w:t>V-293</w:t>
            </w:r>
          </w:fldSimple>
          <w:r>
            <w:rPr>
              <w:rFonts w:ascii="Times New Roman" w:eastAsia="MS Mincho" w:hAnsi="Times New Roman"/>
              <w:sz w:val="20"/>
              <w:iCs/>
            </w:rPr>
            <w:t>,
2023-03-03,
paskelbta TAR 2023-03-03, i. k. 2023-03953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e66bd0de8411ed9978886e85107ab2">
            <w:r w:rsidRPr="00532B9F">
              <w:rPr>
                <w:rFonts w:ascii="Times New Roman" w:eastAsia="MS Mincho" w:hAnsi="Times New Roman"/>
                <w:sz w:val="20"/>
                <w:iCs/>
                <w:color w:val="0000FF" w:themeColor="hyperlink"/>
                <w:u w:val="single"/>
              </w:rPr>
              <w:t>V-466</w:t>
            </w:r>
          </w:fldSimple>
          <w:r>
            <w:rPr>
              <w:rFonts w:ascii="Times New Roman" w:eastAsia="MS Mincho" w:hAnsi="Times New Roman"/>
              <w:sz w:val="20"/>
              <w:iCs/>
            </w:rPr>
            <w:t>,
2023-04-19,
paskelbta TAR 2023-04-19, i. k. 2023-07548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d39160de8411ed9978886e85107ab2">
            <w:r w:rsidRPr="00532B9F">
              <w:rPr>
                <w:rFonts w:ascii="Times New Roman" w:eastAsia="MS Mincho" w:hAnsi="Times New Roman"/>
                <w:sz w:val="20"/>
                <w:iCs/>
                <w:color w:val="0000FF" w:themeColor="hyperlink"/>
                <w:u w:val="single"/>
              </w:rPr>
              <w:t>V-465</w:t>
            </w:r>
          </w:fldSimple>
          <w:r>
            <w:rPr>
              <w:rFonts w:ascii="Times New Roman" w:eastAsia="MS Mincho" w:hAnsi="Times New Roman"/>
              <w:sz w:val="20"/>
              <w:iCs/>
            </w:rPr>
            <w:t>,
2023-04-19,
paskelbta TAR 2023-04-19, i. k. 2023-07547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af1b50168711ee9f7ec2ffce8b47bc">
            <w:r w:rsidRPr="00532B9F">
              <w:rPr>
                <w:rFonts w:ascii="Times New Roman" w:eastAsia="MS Mincho" w:hAnsi="Times New Roman"/>
                <w:sz w:val="20"/>
                <w:iCs/>
                <w:color w:val="0000FF" w:themeColor="hyperlink"/>
                <w:u w:val="single"/>
              </w:rPr>
              <w:t>V-743</w:t>
            </w:r>
          </w:fldSimple>
          <w:r>
            <w:rPr>
              <w:rFonts w:ascii="Times New Roman" w:eastAsia="MS Mincho" w:hAnsi="Times New Roman"/>
              <w:sz w:val="20"/>
              <w:iCs/>
            </w:rPr>
            <w:t>,
2023-06-29,
paskelbta TAR 2023-06-29, i. k. 2023-13198                </w:t>
          </w:r>
        </w:p>
        <w:p>
          <w:pPr>
            <w:jc w:val="both"/>
            <w:rPr>
              <w:rFonts w:ascii="Times New Roman" w:hAnsi="Times New Roman"/>
            </w:rPr>
          </w:pPr>
          <w:r>
            <w:rPr>
              <w:rFonts w:ascii="Times New Roman" w:hAnsi="Times New Roman"/>
              <w:sz w:val="20"/>
            </w:rPr>
            <w:t>Dėl techninės klaidos ištaisymo Lietuvos Respublikos sveikatos apsaugos ministro 2023 m. balandžio 19 d. įsakyme Nr. V-465 „Dėl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13073009b411ee9978886e85107ab2">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2023-06-13,
paskelbta TAR 2023-06-13, i. k. 2023-11717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db0eb02b6c11ee9de9e7e0fd363afc">
            <w:r w:rsidRPr="00532B9F">
              <w:rPr>
                <w:rFonts w:ascii="Times New Roman" w:eastAsia="MS Mincho" w:hAnsi="Times New Roman"/>
                <w:sz w:val="20"/>
                <w:iCs/>
                <w:color w:val="0000FF" w:themeColor="hyperlink"/>
                <w:u w:val="single"/>
              </w:rPr>
              <w:t>V-853</w:t>
            </w:r>
          </w:fldSimple>
          <w:r>
            <w:rPr>
              <w:rFonts w:ascii="Times New Roman" w:eastAsia="MS Mincho" w:hAnsi="Times New Roman"/>
              <w:sz w:val="20"/>
              <w:iCs/>
            </w:rPr>
            <w:t>,
2023-07-26,
paskelbta TAR 2023-07-26, i. k. 2023-15164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6cbf20a61111eea5a28c81c82193a8">
            <w:r w:rsidRPr="00532B9F">
              <w:rPr>
                <w:rFonts w:ascii="Times New Roman" w:eastAsia="MS Mincho" w:hAnsi="Times New Roman"/>
                <w:sz w:val="20"/>
                <w:iCs/>
                <w:color w:val="0000FF" w:themeColor="hyperlink"/>
                <w:u w:val="single"/>
              </w:rPr>
              <w:t>V-1390</w:t>
            </w:r>
          </w:fldSimple>
          <w:r>
            <w:rPr>
              <w:rFonts w:ascii="Times New Roman" w:eastAsia="MS Mincho" w:hAnsi="Times New Roman"/>
              <w:sz w:val="20"/>
              <w:iCs/>
            </w:rPr>
            <w:t>,
2023-12-29,
paskelbta TAR 2023-12-29, i. k. 2023-25851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b61ad0b6c911eea5a28c81c82193a8">
            <w:r w:rsidRPr="00532B9F">
              <w:rPr>
                <w:rFonts w:ascii="Times New Roman" w:eastAsia="MS Mincho" w:hAnsi="Times New Roman"/>
                <w:sz w:val="20"/>
                <w:iCs/>
                <w:color w:val="0000FF" w:themeColor="hyperlink"/>
                <w:u w:val="single"/>
              </w:rPr>
              <w:t>V-66</w:t>
            </w:r>
          </w:fldSimple>
          <w:r>
            <w:rPr>
              <w:rFonts w:ascii="Times New Roman" w:eastAsia="MS Mincho" w:hAnsi="Times New Roman"/>
              <w:sz w:val="20"/>
              <w:iCs/>
            </w:rPr>
            <w:t>,
2024-01-19,
paskelbta TAR 2024-01-19, i. k. 2024-00889                </w:t>
          </w:r>
        </w:p>
        <w:p>
          <w:pPr>
            <w:jc w:val="both"/>
            <w:rPr>
              <w:rFonts w:ascii="Times New Roman" w:hAnsi="Times New Roman"/>
            </w:rPr>
          </w:pPr>
          <w:r>
            <w:rPr>
              <w:rFonts w:ascii="Times New Roman" w:hAnsi="Times New Roman"/>
              <w:sz w:val="20"/>
            </w:rPr>
            <w:t>Dėl techninės klaidos ištaisymo Lietuvos Respublikos sveikatos apsaugos ministro 2023 m. gruodžio 29 d. įsakyme Nr. V-1390 „Dėl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4ca6d0dbcf11eead77e967e3995264">
            <w:r w:rsidRPr="00532B9F">
              <w:rPr>
                <w:rFonts w:ascii="Times New Roman" w:eastAsia="MS Mincho" w:hAnsi="Times New Roman"/>
                <w:sz w:val="20"/>
                <w:iCs/>
                <w:color w:val="0000FF" w:themeColor="hyperlink"/>
                <w:u w:val="single"/>
              </w:rPr>
              <w:t>V-293</w:t>
            </w:r>
          </w:fldSimple>
          <w:r>
            <w:rPr>
              <w:rFonts w:ascii="Times New Roman" w:eastAsia="MS Mincho" w:hAnsi="Times New Roman"/>
              <w:sz w:val="20"/>
              <w:iCs/>
            </w:rPr>
            <w:t>,
2024-03-06,
paskelbta TAR 2024-03-06, i. k. 2024-04204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3da4a0218e11efbdaea558de59136c">
            <w:r w:rsidRPr="00532B9F">
              <w:rPr>
                <w:rFonts w:ascii="Times New Roman" w:eastAsia="MS Mincho" w:hAnsi="Times New Roman"/>
                <w:sz w:val="20"/>
                <w:iCs/>
                <w:color w:val="0000FF" w:themeColor="hyperlink"/>
                <w:u w:val="single"/>
              </w:rPr>
              <w:t>V-606</w:t>
            </w:r>
          </w:fldSimple>
          <w:r>
            <w:rPr>
              <w:rFonts w:ascii="Times New Roman" w:eastAsia="MS Mincho" w:hAnsi="Times New Roman"/>
              <w:sz w:val="20"/>
              <w:iCs/>
            </w:rPr>
            <w:t>,
2024-06-03,
paskelbta TAR 2024-06-03, i. k. 2024-10082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b1d810354c11efbdaea558de59136c">
            <w:r w:rsidRPr="00532B9F">
              <w:rPr>
                <w:rFonts w:ascii="Times New Roman" w:eastAsia="MS Mincho" w:hAnsi="Times New Roman"/>
                <w:sz w:val="20"/>
                <w:iCs/>
                <w:color w:val="0000FF" w:themeColor="hyperlink"/>
                <w:u w:val="single"/>
              </w:rPr>
              <w:t>V-695</w:t>
            </w:r>
          </w:fldSimple>
          <w:r>
            <w:rPr>
              <w:rFonts w:ascii="Times New Roman" w:eastAsia="MS Mincho" w:hAnsi="Times New Roman"/>
              <w:sz w:val="20"/>
              <w:iCs/>
            </w:rPr>
            <w:t>,
2024-06-28,
paskelbta TAR 2024-06-28, i. k. 2024-12102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5d5010509011efbdaea558de59136c">
            <w:r w:rsidRPr="00532B9F">
              <w:rPr>
                <w:rFonts w:ascii="Times New Roman" w:eastAsia="MS Mincho" w:hAnsi="Times New Roman"/>
                <w:sz w:val="20"/>
                <w:iCs/>
                <w:color w:val="0000FF" w:themeColor="hyperlink"/>
                <w:u w:val="single"/>
              </w:rPr>
              <w:t>V-795</w:t>
            </w:r>
          </w:fldSimple>
          <w:r>
            <w:rPr>
              <w:rFonts w:ascii="Times New Roman" w:eastAsia="MS Mincho" w:hAnsi="Times New Roman"/>
              <w:sz w:val="20"/>
              <w:iCs/>
            </w:rPr>
            <w:t>,
2024-08-01,
paskelbta TAR 2024-08-02, i. k. 2024-14085                </w:t>
          </w:r>
        </w:p>
        <w:p>
          <w:pPr>
            <w:jc w:val="both"/>
            <w:rPr>
              <w:rFonts w:ascii="Times New Roman" w:hAnsi="Times New Roman"/>
            </w:rPr>
          </w:pPr>
          <w:r>
            <w:rPr>
              <w:rFonts w:ascii="Times New Roman" w:hAnsi="Times New Roman"/>
              <w:sz w:val="20"/>
            </w:rPr>
            <w:t>Dėl Lietuvos Respublikos sveikatos apsaugos ministro 2023 m. gruodžio 29 d. įsakymą Nr. V-1390 „Dėl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c4d484858911efabdbb4a1fc8b0b63">
            <w:r w:rsidRPr="00532B9F">
              <w:rPr>
                <w:rFonts w:ascii="Times New Roman" w:eastAsia="MS Mincho" w:hAnsi="Times New Roman"/>
                <w:sz w:val="20"/>
                <w:iCs/>
                <w:color w:val="0000FF" w:themeColor="hyperlink"/>
                <w:u w:val="single"/>
              </w:rPr>
              <w:t>V-981</w:t>
            </w:r>
          </w:fldSimple>
          <w:r>
            <w:rPr>
              <w:rFonts w:ascii="Times New Roman" w:eastAsia="MS Mincho" w:hAnsi="Times New Roman"/>
              <w:sz w:val="20"/>
              <w:iCs/>
            </w:rPr>
            <w:t>,
2024-10-08,
paskelbta TAR 2024-10-08, i. k. 2024-17662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cc5d1b78211ef88c08519262548c4">
            <w:r w:rsidRPr="00532B9F">
              <w:rPr>
                <w:rFonts w:ascii="Times New Roman" w:eastAsia="MS Mincho" w:hAnsi="Times New Roman"/>
                <w:sz w:val="20"/>
                <w:iCs/>
                <w:color w:val="0000FF" w:themeColor="hyperlink"/>
                <w:u w:val="single"/>
              </w:rPr>
              <w:t>V-1296</w:t>
            </w:r>
          </w:fldSimple>
          <w:r>
            <w:rPr>
              <w:rFonts w:ascii="Times New Roman" w:eastAsia="MS Mincho" w:hAnsi="Times New Roman"/>
              <w:sz w:val="20"/>
              <w:iCs/>
            </w:rPr>
            <w:t>,
2024-12-11,
paskelbta TAR 2024-12-11, i. k. 2024-21913                </w:t>
          </w:r>
        </w:p>
        <w:p>
          <w:pPr>
            <w:jc w:val="both"/>
            <w:rPr>
              <w:rFonts w:ascii="Times New Roman" w:hAnsi="Times New Roman"/>
            </w:rPr>
          </w:pPr>
          <w:r>
            <w:rPr>
              <w:rFonts w:ascii="Times New Roman" w:hAnsi="Times New Roman"/>
              <w:sz w:val="20"/>
            </w:rPr>
            <w:t>Dėl Lietuvos Respublikos sveikatos apsaugos ministro 2024 m. birželio 28 d. įsakymo Nr. V-695 „Dėl Lietuvos Respublikos sveikatos apsaugos ministro 2005 m. gruodžio 5 d. įsakymo Nr. V-943 „Dėl Pirminės ambulatorinės asmens sveikatos priežiūros paslaugų teikimo organizavimo ir šių paslaugų išlaidų apmokėjimo tvarkos aprašo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4e5046a72a11ef90b5ee8931e5ce5e">
            <w:r w:rsidRPr="00532B9F">
              <w:rPr>
                <w:rFonts w:ascii="Times New Roman" w:eastAsia="MS Mincho" w:hAnsi="Times New Roman"/>
                <w:sz w:val="20"/>
                <w:iCs/>
                <w:color w:val="0000FF" w:themeColor="hyperlink"/>
                <w:u w:val="single"/>
              </w:rPr>
              <w:t>V-1133</w:t>
            </w:r>
          </w:fldSimple>
          <w:r>
            <w:rPr>
              <w:rFonts w:ascii="Times New Roman" w:eastAsia="MS Mincho" w:hAnsi="Times New Roman"/>
              <w:sz w:val="20"/>
              <w:iCs/>
            </w:rPr>
            <w:t>,
2024-11-20,
paskelbta TAR 2024-11-20, i. k. 2024-20192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ec046c73811efa5ddd96c482819f5">
            <w:r w:rsidRPr="00532B9F">
              <w:rPr>
                <w:rFonts w:ascii="Times New Roman" w:eastAsia="MS Mincho" w:hAnsi="Times New Roman"/>
                <w:sz w:val="20"/>
                <w:iCs/>
                <w:color w:val="0000FF" w:themeColor="hyperlink"/>
                <w:u w:val="single"/>
              </w:rPr>
              <w:t>V-1380</w:t>
            </w:r>
          </w:fldSimple>
          <w:r>
            <w:rPr>
              <w:rFonts w:ascii="Times New Roman" w:eastAsia="MS Mincho" w:hAnsi="Times New Roman"/>
              <w:sz w:val="20"/>
              <w:iCs/>
            </w:rPr>
            <w:t>,
2024-12-31,
paskelbta TAR 2024-12-31, i. k. 2024-23553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615d90c90411efa5ddd96c482819f5">
            <w:r w:rsidRPr="00532B9F">
              <w:rPr>
                <w:rFonts w:ascii="Times New Roman" w:eastAsia="MS Mincho" w:hAnsi="Times New Roman"/>
                <w:sz w:val="20"/>
                <w:iCs/>
                <w:color w:val="0000FF" w:themeColor="hyperlink"/>
                <w:u w:val="single"/>
              </w:rPr>
              <w:t>V-3</w:t>
            </w:r>
          </w:fldSimple>
          <w:r>
            <w:rPr>
              <w:rFonts w:ascii="Times New Roman" w:eastAsia="MS Mincho" w:hAnsi="Times New Roman"/>
              <w:sz w:val="20"/>
              <w:iCs/>
            </w:rPr>
            <w:t>,
2025-01-02,
paskelbta TAR 2025-01-02, i. k. 2025-00030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d195f4d73b11efa5ddd96c482819f5">
            <w:r w:rsidRPr="00532B9F">
              <w:rPr>
                <w:rFonts w:ascii="Times New Roman" w:eastAsia="MS Mincho" w:hAnsi="Times New Roman"/>
                <w:sz w:val="20"/>
                <w:iCs/>
                <w:color w:val="0000FF" w:themeColor="hyperlink"/>
                <w:u w:val="single"/>
              </w:rPr>
              <w:t>V-34</w:t>
            </w:r>
          </w:fldSimple>
          <w:r>
            <w:rPr>
              <w:rFonts w:ascii="Times New Roman" w:eastAsia="MS Mincho" w:hAnsi="Times New Roman"/>
              <w:sz w:val="20"/>
              <w:iCs/>
            </w:rPr>
            <w:t>,
2025-01-20,
paskelbta TAR 2025-01-21, i. k. 2025-00643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48e384cdc311efa5ddd96c482819f5">
            <w:r w:rsidRPr="00532B9F">
              <w:rPr>
                <w:rFonts w:ascii="Times New Roman" w:eastAsia="MS Mincho" w:hAnsi="Times New Roman"/>
                <w:sz w:val="20"/>
                <w:iCs/>
                <w:color w:val="0000FF" w:themeColor="hyperlink"/>
                <w:u w:val="single"/>
              </w:rPr>
              <w:t>V-13</w:t>
            </w:r>
          </w:fldSimple>
          <w:r>
            <w:rPr>
              <w:rFonts w:ascii="Times New Roman" w:eastAsia="MS Mincho" w:hAnsi="Times New Roman"/>
              <w:sz w:val="20"/>
              <w:iCs/>
            </w:rPr>
            <w:t>,
2025-01-08,
paskelbta TAR 2025-01-08, i. k. 2025-00194                </w:t>
          </w:r>
        </w:p>
        <w:p>
          <w:pPr>
            <w:jc w:val="both"/>
            <w:rPr>
              <w:rFonts w:ascii="Times New Roman" w:hAnsi="Times New Roman"/>
            </w:rPr>
          </w:pPr>
          <w:r>
            <w:rPr>
              <w:rFonts w:ascii="Times New Roman" w:hAnsi="Times New Roman"/>
              <w:sz w:val="20"/>
            </w:rPr>
            <w:t>Dėl Lietuvos Respublikos sveikatos apsaugos ministro 2025 m. sausio 2 d. įsakymo Nr. V-3 „Dėl Lietuvos Respublikos sveikatos apsaugos ministro 2005 m. gruodžio 5 d. įsakymo Nr. V-943 „Dėl Pirminės ambulatorinės asmens sveikatos priežiūros paslaugų teikimo organizavimo ir šių paslaugų išlaidų apmokėjimo tvarkos aprašo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074784cdc311efa5ddd96c482819f5">
            <w:r w:rsidRPr="00532B9F">
              <w:rPr>
                <w:rFonts w:ascii="Times New Roman" w:eastAsia="MS Mincho" w:hAnsi="Times New Roman"/>
                <w:sz w:val="20"/>
                <w:iCs/>
                <w:color w:val="0000FF" w:themeColor="hyperlink"/>
                <w:u w:val="single"/>
              </w:rPr>
              <w:t>V-14</w:t>
            </w:r>
          </w:fldSimple>
          <w:r>
            <w:rPr>
              <w:rFonts w:ascii="Times New Roman" w:eastAsia="MS Mincho" w:hAnsi="Times New Roman"/>
              <w:sz w:val="20"/>
              <w:iCs/>
            </w:rPr>
            <w:t>,
2025-01-08,
paskelbta TAR 2025-01-08, i. k. 2025-00195                </w:t>
          </w:r>
        </w:p>
        <w:p>
          <w:pPr>
            <w:jc w:val="both"/>
            <w:rPr>
              <w:rFonts w:ascii="Times New Roman" w:hAnsi="Times New Roman"/>
            </w:rPr>
          </w:pPr>
          <w:r>
            <w:rPr>
              <w:rFonts w:ascii="Times New Roman" w:hAnsi="Times New Roman"/>
              <w:sz w:val="20"/>
            </w:rPr>
            <w:t>Dėl Lietuvos Respublikos sveikatos apsaugos ministro 2024 m. birželio 28 d. įsakymo Nr. V-695 „Dėl Lietuvos Respublikos sveikatos apsaugos ministro 2005 m. gruodžio 5 d. įsakymo Nr. V-943 „Dėl Pirminės ambulatorinės asmens sveikatos priežiūros paslaugų teikimo organizavimo ir šių paslaugų išlaidų apmokėjimo tvarkos aprašo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e62967635fc11f08fdabd4950271e2c">
            <w:r w:rsidRPr="00532B9F">
              <w:rPr>
                <w:rFonts w:ascii="Times New Roman" w:eastAsia="MS Mincho" w:hAnsi="Times New Roman"/>
                <w:sz w:val="20"/>
                <w:iCs/>
                <w:color w:val="0000FF" w:themeColor="hyperlink"/>
                <w:u w:val="single"/>
              </w:rPr>
              <w:t>V-487</w:t>
            </w:r>
          </w:fldSimple>
          <w:r>
            <w:rPr>
              <w:rFonts w:ascii="Times New Roman" w:eastAsia="MS Mincho" w:hAnsi="Times New Roman"/>
              <w:sz w:val="20"/>
              <w:iCs/>
            </w:rPr>
            <w:t>,
2025-05-21,
paskelbta TAR 2025-05-21, i. k. 2025-08959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95cbc6663b11f0a8bbd1e98310677d">
            <w:r w:rsidRPr="00532B9F">
              <w:rPr>
                <w:rFonts w:ascii="Times New Roman" w:eastAsia="MS Mincho" w:hAnsi="Times New Roman"/>
                <w:sz w:val="20"/>
                <w:iCs/>
                <w:color w:val="0000FF" w:themeColor="hyperlink"/>
                <w:u w:val="single"/>
              </w:rPr>
              <w:t>V-682</w:t>
            </w:r>
          </w:fldSimple>
          <w:r>
            <w:rPr>
              <w:rFonts w:ascii="Times New Roman" w:eastAsia="MS Mincho" w:hAnsi="Times New Roman"/>
              <w:sz w:val="20"/>
              <w:iCs/>
            </w:rPr>
            <w:t>,
2025-07-21,
paskelbta TAR 2025-07-21, i. k. 2025-13102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cae39067cd11f0a8bbd1e98310677d">
            <w:r w:rsidRPr="00532B9F">
              <w:rPr>
                <w:rFonts w:ascii="Times New Roman" w:eastAsia="MS Mincho" w:hAnsi="Times New Roman"/>
                <w:sz w:val="20"/>
                <w:iCs/>
                <w:color w:val="0000FF" w:themeColor="hyperlink"/>
                <w:u w:val="single"/>
              </w:rPr>
              <w:t>V-691</w:t>
            </w:r>
          </w:fldSimple>
          <w:r>
            <w:rPr>
              <w:rFonts w:ascii="Times New Roman" w:eastAsia="MS Mincho" w:hAnsi="Times New Roman"/>
              <w:sz w:val="20"/>
              <w:iCs/>
            </w:rPr>
            <w:t>,
2025-07-23,
paskelbta TAR 2025-07-23, i. k. 2025-13189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d0b86792711f0a8bbd1e98310677d">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2025-08-14,
paskelbta TAR 2025-08-14, i. k. 2025-14064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8f3321dc9f11f08918e1adc7c5b1ec">
            <w:r w:rsidRPr="00532B9F">
              <w:rPr>
                <w:rFonts w:ascii="Times New Roman" w:eastAsia="MS Mincho" w:hAnsi="Times New Roman"/>
                <w:sz w:val="20"/>
                <w:iCs/>
                <w:color w:val="0000FF" w:themeColor="hyperlink"/>
                <w:u w:val="single"/>
              </w:rPr>
              <w:t>V-1181</w:t>
            </w:r>
          </w:fldSimple>
          <w:r>
            <w:rPr>
              <w:rFonts w:ascii="Times New Roman" w:eastAsia="MS Mincho" w:hAnsi="Times New Roman"/>
              <w:sz w:val="20"/>
              <w:iCs/>
            </w:rPr>
            <w:t>,
2025-12-19,
paskelbta TAR 2025-12-19, i. k. 2025-21996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7256e6eb3011f09cfce49e7aeb76fe">
            <w:r w:rsidRPr="00532B9F">
              <w:rPr>
                <w:rFonts w:ascii="Times New Roman" w:eastAsia="MS Mincho" w:hAnsi="Times New Roman"/>
                <w:sz w:val="20"/>
                <w:iCs/>
                <w:color w:val="0000FF" w:themeColor="hyperlink"/>
                <w:u w:val="single"/>
              </w:rPr>
              <w:t>V-10</w:t>
            </w:r>
          </w:fldSimple>
          <w:r>
            <w:rPr>
              <w:rFonts w:ascii="Times New Roman" w:eastAsia="MS Mincho" w:hAnsi="Times New Roman"/>
              <w:sz w:val="20"/>
              <w:iCs/>
            </w:rPr>
            <w:t>,
2026-01-06,
paskelbta TAR 2026-01-06, i. k. 2026-00109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d52c81eb3011f09cfce49e7aeb76fe">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2026-01-06,
paskelbta TAR 2026-01-06, i. k. 2026-00108                </w:t>
          </w:r>
        </w:p>
        <w:p>
          <w:pPr>
            <w:jc w:val="both"/>
            <w:rPr>
              <w:rFonts w:ascii="Times New Roman" w:hAnsi="Times New Roman"/>
            </w:rPr>
          </w:pPr>
          <w:r>
            <w:rPr>
              <w:rFonts w:ascii="Times New Roman" w:hAnsi="Times New Roman"/>
              <w:sz w:val="20"/>
            </w:rPr>
            <w:t>Dėl Lietuvos Respublikos sveikatos apsaugos ministro 2023 m. sausio 5 d. įsakymo Nr. V-17 „Dėl Lietuvos Respublikos sveikatos apsaugos ministro 2005 m. gruodžio 5 d. įsakymo Nr. V-943 „Dėl Pirminės ambulatorinės asmens sveikatos priežiūros paslaugų teikimo organizavimo ir šių paslaugų išlaidų apmokėjimo tvarkos aprašo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088db0eb3011f09cfce49e7aeb76fe">
            <w:r w:rsidRPr="00532B9F">
              <w:rPr>
                <w:rFonts w:ascii="Times New Roman" w:eastAsia="MS Mincho" w:hAnsi="Times New Roman"/>
                <w:sz w:val="20"/>
                <w:iCs/>
                <w:color w:val="0000FF" w:themeColor="hyperlink"/>
                <w:u w:val="single"/>
              </w:rPr>
              <w:t>V-9</w:t>
            </w:r>
          </w:fldSimple>
          <w:r>
            <w:rPr>
              <w:rFonts w:ascii="Times New Roman" w:eastAsia="MS Mincho" w:hAnsi="Times New Roman"/>
              <w:sz w:val="20"/>
              <w:iCs/>
            </w:rPr>
            <w:t>,
2026-01-06,
paskelbta TAR 2026-01-06, i. k. 2026-00107                </w:t>
          </w:r>
        </w:p>
        <w:p>
          <w:pPr>
            <w:jc w:val="both"/>
            <w:rPr>
              <w:rFonts w:ascii="Times New Roman" w:hAnsi="Times New Roman"/>
            </w:rPr>
          </w:pPr>
          <w:r>
            <w:rPr>
              <w:rFonts w:ascii="Times New Roman" w:hAnsi="Times New Roman"/>
              <w:sz w:val="20"/>
            </w:rPr>
            <w:t>Dėl Lietuvos Respublikos sveikatos apsaugos ministro 2023 m. gruodžio 29 d. įsakymo Nr. V-1390 „Dėl Lietuvos Respublikos sveikatos apsaugos ministro 2005 m. gruodžio 5 d. įsakymo Nr. V-943 „Dėl Pirminės ambulatorinės asmens sveikatos priežiūros paslaugų teikimo organizavimo ir šių paslaugų išlaidų apmokėjimo tvarkos aprašo 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bad9701066911f1b465ab875bcad79f">
            <w:r w:rsidRPr="00532B9F">
              <w:rPr>
                <w:rFonts w:ascii="Times New Roman" w:eastAsia="MS Mincho" w:hAnsi="Times New Roman"/>
                <w:sz w:val="20"/>
                <w:iCs/>
                <w:color w:val="0000FF" w:themeColor="hyperlink"/>
                <w:u w:val="single"/>
              </w:rPr>
              <w:t>V-119</w:t>
            </w:r>
          </w:fldSimple>
          <w:r>
            <w:rPr>
              <w:rFonts w:ascii="Times New Roman" w:eastAsia="MS Mincho" w:hAnsi="Times New Roman"/>
              <w:sz w:val="20"/>
              <w:iCs/>
            </w:rPr>
            <w:t>,
2026-02-10,
paskelbta TAR 2026-02-10, i. k. 2026-02060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2a4e564ddd11f180c9c618618421ed">
            <w:r w:rsidRPr="00532B9F">
              <w:rPr>
                <w:rFonts w:ascii="Times New Roman" w:eastAsia="MS Mincho" w:hAnsi="Times New Roman"/>
                <w:sz w:val="20"/>
                <w:iCs/>
                <w:color w:val="0000FF" w:themeColor="hyperlink"/>
                <w:u w:val="single"/>
              </w:rPr>
              <w:t>V-478</w:t>
            </w:r>
          </w:fldSimple>
          <w:r>
            <w:rPr>
              <w:rFonts w:ascii="Times New Roman" w:eastAsia="MS Mincho" w:hAnsi="Times New Roman"/>
              <w:sz w:val="20"/>
              <w:iCs/>
            </w:rPr>
            <w:t>,
2026-05-12,
paskelbta TAR 2026-05-12, i. k. 2026-07949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0a47d6752111f1b53dfa020e517810">
            <w:r w:rsidRPr="00532B9F">
              <w:rPr>
                <w:rFonts w:ascii="Times New Roman" w:eastAsia="MS Mincho" w:hAnsi="Times New Roman"/>
                <w:sz w:val="20"/>
                <w:iCs/>
                <w:color w:val="0000FF" w:themeColor="hyperlink"/>
                <w:u w:val="single"/>
              </w:rPr>
              <w:t>V-652</w:t>
            </w:r>
          </w:fldSimple>
          <w:r>
            <w:rPr>
              <w:rFonts w:ascii="Times New Roman" w:eastAsia="MS Mincho" w:hAnsi="Times New Roman"/>
              <w:sz w:val="20"/>
              <w:iCs/>
            </w:rPr>
            <w:t>,
2026-07-01,
paskelbta TAR 2026-07-01, i. k. 2026-11380                </w:t>
          </w:r>
        </w:p>
        <w:p>
          <w:pPr>
            <w:jc w:val="both"/>
            <w:rPr>
              <w:rFonts w:ascii="Times New Roman" w:hAnsi="Times New Roman"/>
            </w:rPr>
          </w:pPr>
          <w:r>
            <w:rPr>
              <w:rFonts w:ascii="Times New Roman" w:hAnsi="Times New Roman"/>
              <w:sz w:val="20"/>
            </w:rPr>
            <w:t>Dėl Lietuvos Respublikos sveikatos apsaugos ministro 2005 m. gruodžio 5 d. įsakymo Nr. V-943 „Dėl Pirminės ambulatorinės asmens sveikatos priežiūros paslaugų teikimo organizavimo ir šių paslaugų išlaidų apmokėjimo tvarkos aprašo 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UI">
    <w:altName w:val="MS Mincho"/>
    <w:panose1 w:val="00000000000000000000"/>
    <w:charset w:val="80"/>
    <w:family w:val="auto"/>
    <w:notTrueType/>
    <w:pitch w:val="default"/>
    <w:sig w:usb0="00000001" w:usb1="08070000" w:usb2="00000010" w:usb3="00000000" w:csb0="00020000" w:csb1="00000000"/>
  </w:font>
  <w:font w:name="Aptos">
    <w:charset w:val="00"/>
    <w:family w:val="swiss"/>
    <w:pitch w:val="variable"/>
    <w:sig w:usb0="20000287" w:usb1="00000003" w:usb2="00000000" w:usb3="00000000" w:csb0="0000019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mn-cs">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986"/>
        <w:tab w:val="right" w:pos="9972"/>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szCs w:val="24"/>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rPr>
        <w:rFonts w:ascii="Arial" w:hAnsi="Arial"/>
        <w:sz w:val="20"/>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rPr>
        <w:rFonts w:ascii="Arial" w:hAnsi="Arial"/>
        <w:sz w:val="20"/>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rPr>
        <w:rFonts w:ascii="Arial" w:hAnsi="Arial"/>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29</w:t>
    </w:r>
    <w:r>
      <w:rPr>
        <w:lang w:val="en-GB"/>
      </w:rPr>
      <w:fldChar w:fldCharType="end"/>
    </w:r>
  </w:p>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33</w:t>
    </w:r>
    <w:r>
      <w:rPr>
        <w:lang w:val="en-GB"/>
      </w:rPr>
      <w:fldChar w:fldCharType="end"/>
    </w:r>
  </w:p>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jc w:val="cente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jc w:val="cente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0"/>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jc w:val="cente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firstLine="720"/>
      <w:rPr>
        <w:rFonts w:ascii="Arial" w:hAnsi="Arial"/>
        <w:sz w:val="20"/>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0"/>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jc w:val="cente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0"/>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jc w:val="cente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0"/>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jc w:val="cente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rPr>
        <w:rFonts w:ascii="Arial" w:hAnsi="Arial"/>
        <w:sz w:val="20"/>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p>
  <w:p>
    <w:pPr>
      <w:tabs>
        <w:tab w:val="center" w:pos="4153"/>
        <w:tab w:val="right" w:pos="8306"/>
      </w:tabs>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w:t>
    </w:r>
    <w:r>
      <w:rPr>
        <w:szCs w:val="24"/>
      </w:rPr>
      <w:fldChar w:fldCharType="end"/>
    </w:r>
  </w:p>
  <w:p>
    <w:pPr>
      <w:tabs>
        <w:tab w:val="center" w:pos="4153"/>
        <w:tab w:val="right" w:pos="8306"/>
      </w:tabs>
      <w:rPr>
        <w:szCs w:val="24"/>
      </w:rPr>
    </w:pPr>
  </w:p>
  <w:p>
    <w:pPr>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19</w:t>
    </w:r>
    <w:r>
      <w:rPr>
        <w:szCs w:val="24"/>
      </w:rPr>
      <w:fldChar w:fldCharType="end"/>
    </w:r>
  </w:p>
  <w:p>
    <w:pPr>
      <w:tabs>
        <w:tab w:val="center" w:pos="4153"/>
        <w:tab w:val="right" w:pos="8306"/>
      </w:tabs>
      <w:jc w:val="center"/>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153"/>
        <w:tab w:val="right" w:pos="8306"/>
      </w:tabs>
      <w:jc w:val="center"/>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40</w:t>
    </w:r>
    <w:r>
      <w:rPr>
        <w:szCs w:val="24"/>
      </w:rPr>
      <w:fldChar w:fldCharType="end"/>
    </w:r>
  </w:p>
  <w:p>
    <w:pPr>
      <w:tabs>
        <w:tab w:val="center" w:pos="4153"/>
        <w:tab w:val="right" w:pos="8306"/>
      </w:tabs>
      <w:jc w:val="center"/>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34</w:t>
    </w:r>
    <w:r>
      <w:rPr>
        <w:szCs w:val="24"/>
      </w:rPr>
      <w:fldChar w:fldCharType="end"/>
    </w:r>
  </w:p>
  <w:p>
    <w:pPr>
      <w:tabs>
        <w:tab w:val="center" w:pos="4153"/>
        <w:tab w:val="right" w:pos="8306"/>
      </w:tabs>
      <w:jc w:val="center"/>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153"/>
        <w:tab w:val="right" w:pos="8306"/>
      </w:tabs>
      <w:jc w:val="center"/>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w:instrText>
    </w:r>
    <w:r>
      <w:rPr>
        <w:szCs w:val="24"/>
      </w:rPr>
      <w:instrText>* MERGEFORMAT</w:instrText>
    </w:r>
    <w:r>
      <w:rPr>
        <w:szCs w:val="24"/>
      </w:rPr>
      <w:fldChar w:fldCharType="separate"/>
    </w:r>
    <w:r>
      <w:rPr>
        <w:szCs w:val="24"/>
      </w:rPr>
      <w:t>40</w:t>
    </w:r>
    <w:r>
      <w:rPr>
        <w:szCs w:val="24"/>
      </w:rPr>
      <w:fldChar w:fldCharType="end"/>
    </w:r>
  </w:p>
  <w:p>
    <w:pPr>
      <w:tabs>
        <w:tab w:val="center" w:pos="4153"/>
        <w:tab w:val="right" w:pos="8306"/>
      </w:tabs>
      <w:jc w:val="center"/>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24</w:t>
    </w:r>
    <w:r>
      <w:rPr>
        <w:szCs w:val="24"/>
      </w:rPr>
      <w:fldChar w:fldCharType="end"/>
    </w:r>
  </w:p>
  <w:p>
    <w:pPr>
      <w:tabs>
        <w:tab w:val="center" w:pos="4153"/>
        <w:tab w:val="right" w:pos="8306"/>
      </w:tabs>
      <w:jc w:val="center"/>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40</w:t>
    </w:r>
    <w:r>
      <w:rPr>
        <w:szCs w:val="24"/>
      </w:rPr>
      <w:fldChar w:fldCharType="end"/>
    </w:r>
  </w:p>
  <w:p>
    <w:pPr>
      <w:tabs>
        <w:tab w:val="center" w:pos="4153"/>
        <w:tab w:val="right" w:pos="8306"/>
      </w:tabs>
      <w:jc w:val="center"/>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31</w:t>
    </w:r>
    <w:r>
      <w:rPr>
        <w:szCs w:val="24"/>
      </w:rPr>
      <w:fldChar w:fldCharType="end"/>
    </w:r>
  </w:p>
  <w:p>
    <w:pPr>
      <w:tabs>
        <w:tab w:val="center" w:pos="4153"/>
        <w:tab w:val="right" w:pos="8306"/>
      </w:tabs>
      <w:jc w:val="center"/>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37</w:t>
    </w:r>
    <w:r>
      <w:rPr>
        <w:szCs w:val="24"/>
      </w:rPr>
      <w:fldChar w:fldCharType="end"/>
    </w:r>
  </w:p>
  <w:p>
    <w:pPr>
      <w:tabs>
        <w:tab w:val="center" w:pos="4153"/>
        <w:tab w:val="right" w:pos="8306"/>
      </w:tabs>
      <w:jc w:val="center"/>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36</w:t>
    </w:r>
    <w:r>
      <w:rPr>
        <w:szCs w:val="24"/>
      </w:rPr>
      <w:fldChar w:fldCharType="end"/>
    </w:r>
  </w:p>
  <w:p>
    <w:pPr>
      <w:tabs>
        <w:tab w:val="center" w:pos="4153"/>
        <w:tab w:val="right" w:pos="8306"/>
      </w:tabs>
      <w:jc w:val="center"/>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37</w:t>
    </w:r>
    <w:r>
      <w:rPr>
        <w:szCs w:val="24"/>
      </w:rPr>
      <w:fldChar w:fldCharType="end"/>
    </w:r>
  </w:p>
  <w:p>
    <w:pPr>
      <w:tabs>
        <w:tab w:val="center" w:pos="4153"/>
        <w:tab w:val="right" w:pos="8306"/>
      </w:tabs>
      <w:jc w:val="center"/>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pPr>
      <w:tabs>
        <w:tab w:val="center" w:pos="4153"/>
        <w:tab w:val="right" w:pos="8306"/>
      </w:tabs>
      <w:jc w:val="center"/>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20</w:t>
    </w:r>
    <w:r>
      <w:rPr>
        <w:szCs w:val="24"/>
      </w:rPr>
      <w:fldChar w:fldCharType="end"/>
    </w:r>
  </w:p>
  <w:p>
    <w:pPr>
      <w:tabs>
        <w:tab w:val="center" w:pos="4153"/>
        <w:tab w:val="right" w:pos="8306"/>
      </w:tabs>
      <w:jc w:val="center"/>
      <w:rPr>
        <w:szCs w:val="24"/>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33</w:t>
    </w:r>
    <w:r>
      <w:rPr>
        <w:szCs w:val="24"/>
      </w:rPr>
      <w:fldChar w:fldCharType="end"/>
    </w:r>
  </w:p>
  <w:p>
    <w:pPr>
      <w:tabs>
        <w:tab w:val="center" w:pos="4153"/>
        <w:tab w:val="right" w:pos="8306"/>
      </w:tabs>
      <w:jc w:val="center"/>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20</w:t>
    </w:r>
    <w:r>
      <w:rPr>
        <w:szCs w:val="24"/>
      </w:rPr>
      <w:fldChar w:fldCharType="end"/>
    </w:r>
  </w:p>
  <w:p>
    <w:pPr>
      <w:tabs>
        <w:tab w:val="center" w:pos="4153"/>
        <w:tab w:val="right" w:pos="8306"/>
      </w:tabs>
      <w:jc w:val="center"/>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22</w:t>
    </w:r>
    <w:r>
      <w:rPr>
        <w:szCs w:val="24"/>
      </w:rPr>
      <w:fldChar w:fldCharType="end"/>
    </w:r>
  </w:p>
  <w:p>
    <w:pPr>
      <w:tabs>
        <w:tab w:val="center" w:pos="4153"/>
        <w:tab w:val="right" w:pos="8306"/>
      </w:tabs>
      <w:jc w:val="center"/>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jc w:val="center"/>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8</w:t>
    </w:r>
    <w:r>
      <w:rPr>
        <w:szCs w:val="24"/>
      </w:rPr>
      <w:fldChar w:fldCharType="end"/>
    </w:r>
  </w:p>
  <w:p>
    <w:pPr>
      <w:tabs>
        <w:tab w:val="center" w:pos="4153"/>
        <w:tab w:val="right" w:pos="8306"/>
      </w:tabs>
      <w:jc w:val="center"/>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35</w:t>
    </w:r>
    <w:r>
      <w:rPr>
        <w:szCs w:val="24"/>
      </w:rPr>
      <w:fldChar w:fldCharType="end"/>
    </w:r>
  </w:p>
  <w:p>
    <w:pPr>
      <w:tabs>
        <w:tab w:val="center" w:pos="4153"/>
        <w:tab w:val="right" w:pos="8306"/>
      </w:tabs>
      <w:jc w:val="center"/>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21</w:t>
    </w:r>
    <w:r>
      <w:rPr>
        <w:szCs w:val="24"/>
      </w:rPr>
      <w:fldChar w:fldCharType="end"/>
    </w:r>
  </w:p>
  <w:p>
    <w:pPr>
      <w:tabs>
        <w:tab w:val="center" w:pos="4153"/>
        <w:tab w:val="right" w:pos="8306"/>
      </w:tabs>
      <w:jc w:val="center"/>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24</w:t>
    </w:r>
    <w:r>
      <w:rPr>
        <w:szCs w:val="24"/>
      </w:rPr>
      <w:fldChar w:fldCharType="end"/>
    </w:r>
  </w:p>
  <w:p>
    <w:pPr>
      <w:tabs>
        <w:tab w:val="center" w:pos="4153"/>
        <w:tab w:val="right" w:pos="8306"/>
      </w:tabs>
      <w:jc w:val="center"/>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34</w:t>
    </w:r>
    <w:r>
      <w:rPr>
        <w:szCs w:val="24"/>
      </w:rPr>
      <w:fldChar w:fldCharType="end"/>
    </w:r>
  </w:p>
  <w:p>
    <w:pPr>
      <w:tabs>
        <w:tab w:val="center" w:pos="4153"/>
        <w:tab w:val="right" w:pos="8306"/>
      </w:tabs>
      <w:jc w:val="center"/>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30</w:t>
    </w:r>
    <w:r>
      <w:rPr>
        <w:szCs w:val="24"/>
      </w:rPr>
      <w:fldChar w:fldCharType="end"/>
    </w:r>
  </w:p>
  <w:p>
    <w:pPr>
      <w:tabs>
        <w:tab w:val="center" w:pos="4153"/>
        <w:tab w:val="right" w:pos="8306"/>
      </w:tabs>
      <w:jc w:val="center"/>
      <w:rPr>
        <w:szCs w:val="24"/>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153"/>
        <w:tab w:val="right" w:pos="8306"/>
      </w:tabs>
      <w:jc w:val="center"/>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jc w:val="center"/>
      <w:rPr>
        <w:szCs w:val="24"/>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37</w:t>
    </w:r>
    <w:r>
      <w:rPr>
        <w:szCs w:val="24"/>
      </w:rPr>
      <w:fldChar w:fldCharType="end"/>
    </w:r>
  </w:p>
  <w:p>
    <w:pPr>
      <w:tabs>
        <w:tab w:val="center" w:pos="4153"/>
        <w:tab w:val="right" w:pos="8306"/>
      </w:tabs>
      <w:jc w:val="center"/>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36</w:t>
    </w:r>
    <w:r>
      <w:rPr>
        <w:szCs w:val="24"/>
      </w:rPr>
      <w:fldChar w:fldCharType="end"/>
    </w:r>
  </w:p>
  <w:p>
    <w:pPr>
      <w:tabs>
        <w:tab w:val="center" w:pos="4153"/>
        <w:tab w:val="right" w:pos="8306"/>
      </w:tabs>
      <w:jc w:val="center"/>
      <w:rPr>
        <w:szCs w:val="24"/>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37</w:t>
    </w:r>
    <w:r>
      <w:rPr>
        <w:szCs w:val="24"/>
      </w:rPr>
      <w:fldChar w:fldCharType="end"/>
    </w:r>
  </w:p>
  <w:p>
    <w:pPr>
      <w:tabs>
        <w:tab w:val="center" w:pos="4153"/>
        <w:tab w:val="right" w:pos="8306"/>
      </w:tabs>
      <w:jc w:val="center"/>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153"/>
        <w:tab w:val="right" w:pos="8306"/>
      </w:tabs>
      <w:jc w:val="center"/>
      <w:rPr>
        <w:szCs w:val="24"/>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41</w:t>
    </w:r>
    <w:r>
      <w:rPr>
        <w:szCs w:val="24"/>
      </w:rPr>
      <w:fldChar w:fldCharType="end"/>
    </w:r>
  </w:p>
  <w:p>
    <w:pPr>
      <w:tabs>
        <w:tab w:val="center" w:pos="4153"/>
        <w:tab w:val="right" w:pos="8306"/>
      </w:tabs>
      <w:jc w:val="center"/>
      <w:rPr>
        <w:szCs w:val="24"/>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30</w:t>
    </w:r>
    <w:r>
      <w:rPr>
        <w:szCs w:val="24"/>
      </w:rPr>
      <w:fldChar w:fldCharType="end"/>
    </w:r>
  </w:p>
  <w:p>
    <w:pPr>
      <w:tabs>
        <w:tab w:val="center" w:pos="4153"/>
        <w:tab w:val="right" w:pos="8306"/>
      </w:tabs>
      <w:jc w:val="center"/>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153"/>
        <w:tab w:val="right" w:pos="8306"/>
      </w:tabs>
      <w:jc w:val="center"/>
      <w:rPr>
        <w:szCs w:val="24"/>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12</w:t>
    </w:r>
    <w:r>
      <w:rPr>
        <w:szCs w:val="24"/>
      </w:rPr>
      <w:fldChar w:fldCharType="end"/>
    </w:r>
  </w:p>
  <w:p>
    <w:pPr>
      <w:tabs>
        <w:tab w:val="center" w:pos="4153"/>
        <w:tab w:val="right" w:pos="8306"/>
      </w:tabs>
      <w:jc w:val="center"/>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36</w:t>
    </w:r>
    <w:r>
      <w:rPr>
        <w:szCs w:val="24"/>
      </w:rPr>
      <w:fldChar w:fldCharType="end"/>
    </w:r>
  </w:p>
  <w:p>
    <w:pPr>
      <w:tabs>
        <w:tab w:val="center" w:pos="4153"/>
        <w:tab w:val="right" w:pos="8306"/>
      </w:tabs>
      <w:jc w:val="center"/>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jc w:val="center"/>
      <w:rPr>
        <w:szCs w:val="24"/>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39</w:t>
    </w:r>
    <w:r>
      <w:rPr>
        <w:szCs w:val="24"/>
      </w:rPr>
      <w:fldChar w:fldCharType="end"/>
    </w:r>
  </w:p>
  <w:p>
    <w:pPr>
      <w:tabs>
        <w:tab w:val="center" w:pos="4153"/>
        <w:tab w:val="right" w:pos="8306"/>
      </w:tabs>
      <w:jc w:val="center"/>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39</w:t>
    </w:r>
    <w:r>
      <w:rPr>
        <w:szCs w:val="24"/>
      </w:rPr>
      <w:fldChar w:fldCharType="end"/>
    </w:r>
  </w:p>
  <w:p>
    <w:pPr>
      <w:tabs>
        <w:tab w:val="center" w:pos="4153"/>
        <w:tab w:val="right" w:pos="8306"/>
      </w:tabs>
      <w:jc w:val="center"/>
      <w:rPr>
        <w:szCs w:val="24"/>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35</w:t>
    </w:r>
    <w:r>
      <w:rPr>
        <w:szCs w:val="24"/>
      </w:rPr>
      <w:fldChar w:fldCharType="end"/>
    </w:r>
  </w:p>
  <w:p>
    <w:pPr>
      <w:tabs>
        <w:tab w:val="center" w:pos="4153"/>
        <w:tab w:val="right" w:pos="8306"/>
      </w:tabs>
      <w:jc w:val="center"/>
      <w:rPr>
        <w:szCs w:val="24"/>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13</w:t>
    </w:r>
    <w:r>
      <w:rPr>
        <w:szCs w:val="24"/>
      </w:rPr>
      <w:fldChar w:fldCharType="end"/>
    </w:r>
  </w:p>
  <w:p>
    <w:pPr>
      <w:tabs>
        <w:tab w:val="center" w:pos="4153"/>
        <w:tab w:val="right" w:pos="8306"/>
      </w:tabs>
      <w:jc w:val="center"/>
      <w:rPr>
        <w:szCs w:val="24"/>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15</w:t>
    </w:r>
    <w:r>
      <w:rPr>
        <w:rFonts w:ascii="Arial" w:hAnsi="Arial"/>
        <w:sz w:val="20"/>
      </w:rPr>
      <w:fldChar w:fldCharType="end"/>
    </w:r>
  </w:p>
  <w:p>
    <w:pPr>
      <w:tabs>
        <w:tab w:val="center" w:pos="4819"/>
        <w:tab w:val="right" w:pos="9638"/>
      </w:tabs>
      <w:ind w:firstLine="720"/>
      <w:jc w:val="cente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15</w:t>
    </w:r>
    <w:r>
      <w:rPr>
        <w:rFonts w:ascii="Arial" w:hAnsi="Arial"/>
        <w:sz w:val="20"/>
      </w:rPr>
      <w:fldChar w:fldCharType="end"/>
    </w:r>
  </w:p>
  <w:p>
    <w:pPr>
      <w:tabs>
        <w:tab w:val="center" w:pos="4819"/>
        <w:tab w:val="right" w:pos="9638"/>
      </w:tabs>
      <w:ind w:firstLine="720"/>
      <w:jc w:val="cente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4</w:t>
    </w:r>
    <w:r>
      <w:rPr>
        <w:rFonts w:ascii="Arial" w:hAnsi="Arial"/>
        <w:sz w:val="20"/>
      </w:rPr>
      <w:fldChar w:fldCharType="end"/>
    </w:r>
  </w:p>
  <w:p>
    <w:pPr>
      <w:tabs>
        <w:tab w:val="center" w:pos="4819"/>
        <w:tab w:val="right" w:pos="9638"/>
      </w:tabs>
      <w:ind w:firstLine="720"/>
      <w:jc w:val="cente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15</w:t>
    </w:r>
    <w:r>
      <w:rPr>
        <w:rFonts w:ascii="Arial" w:hAnsi="Arial"/>
        <w:sz w:val="20"/>
      </w:rPr>
      <w:fldChar w:fldCharType="end"/>
    </w:r>
  </w:p>
  <w:p>
    <w:pPr>
      <w:tabs>
        <w:tab w:val="center" w:pos="4819"/>
        <w:tab w:val="right" w:pos="9638"/>
      </w:tabs>
      <w:ind w:firstLine="720"/>
      <w:jc w:val="cente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28</w:t>
    </w:r>
    <w:r>
      <w:rPr>
        <w:rFonts w:ascii="Arial" w:hAnsi="Arial"/>
        <w:sz w:val="20"/>
      </w:rPr>
      <w:fldChar w:fldCharType="end"/>
    </w:r>
  </w:p>
  <w:p>
    <w:pPr>
      <w:tabs>
        <w:tab w:val="center" w:pos="4819"/>
        <w:tab w:val="right" w:pos="9638"/>
      </w:tabs>
      <w:ind w:firstLine="720"/>
      <w:jc w:val="cente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17</w:t>
    </w:r>
    <w:r>
      <w:rPr>
        <w:rFonts w:ascii="Arial" w:hAnsi="Arial"/>
        <w:sz w:val="20"/>
      </w:rPr>
      <w:fldChar w:fldCharType="end"/>
    </w:r>
  </w:p>
  <w:p>
    <w:pPr>
      <w:tabs>
        <w:tab w:val="center" w:pos="4819"/>
        <w:tab w:val="right" w:pos="9638"/>
      </w:tabs>
      <w:ind w:firstLine="720"/>
      <w:jc w:val="cente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33</w:t>
    </w:r>
    <w:r>
      <w:rPr>
        <w:rFonts w:ascii="Arial" w:hAnsi="Arial"/>
        <w:sz w:val="20"/>
      </w:rPr>
      <w:fldChar w:fldCharType="end"/>
    </w:r>
  </w:p>
  <w:p>
    <w:pPr>
      <w:tabs>
        <w:tab w:val="center" w:pos="4819"/>
        <w:tab w:val="right" w:pos="9638"/>
      </w:tabs>
      <w:ind w:firstLine="720"/>
      <w:jc w:val="cente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6</w:t>
    </w:r>
    <w:r>
      <w:rPr>
        <w:rFonts w:ascii="Arial" w:hAnsi="Arial"/>
        <w:sz w:val="20"/>
      </w:rPr>
      <w:fldChar w:fldCharType="end"/>
    </w:r>
  </w:p>
  <w:p>
    <w:pPr>
      <w:tabs>
        <w:tab w:val="center" w:pos="4819"/>
        <w:tab w:val="right" w:pos="9638"/>
      </w:tabs>
      <w:ind w:firstLine="720"/>
      <w:jc w:val="cente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3</w:t>
    </w:r>
    <w:r>
      <w:rPr>
        <w:rFonts w:ascii="Arial" w:hAnsi="Arial"/>
        <w:sz w:val="20"/>
      </w:rPr>
      <w:fldChar w:fldCharType="end"/>
    </w:r>
  </w:p>
  <w:p>
    <w:pPr>
      <w:tabs>
        <w:tab w:val="center" w:pos="4819"/>
        <w:tab w:val="right" w:pos="9638"/>
      </w:tabs>
      <w:ind w:firstLine="720"/>
      <w:jc w:val="cente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7</w:t>
    </w:r>
    <w:r>
      <w:rPr>
        <w:rFonts w:ascii="Arial" w:hAnsi="Arial"/>
        <w:sz w:val="20"/>
      </w:rPr>
      <w:fldChar w:fldCharType="end"/>
    </w:r>
  </w:p>
  <w:p>
    <w:pPr>
      <w:tabs>
        <w:tab w:val="center" w:pos="4819"/>
        <w:tab w:val="right" w:pos="9638"/>
      </w:tabs>
      <w:ind w:firstLine="720"/>
      <w:jc w:val="cente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7</w:t>
    </w:r>
    <w:r>
      <w:rPr>
        <w:rFonts w:ascii="Arial" w:hAnsi="Arial"/>
        <w:sz w:val="20"/>
      </w:rPr>
      <w:fldChar w:fldCharType="end"/>
    </w:r>
  </w:p>
  <w:p>
    <w:pPr>
      <w:tabs>
        <w:tab w:val="center" w:pos="4819"/>
        <w:tab w:val="right" w:pos="9638"/>
      </w:tabs>
      <w:ind w:firstLine="720"/>
      <w:jc w:val="cente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4</w:t>
    </w:r>
    <w:r>
      <w:rPr>
        <w:rFonts w:ascii="Arial" w:hAnsi="Arial"/>
        <w:sz w:val="20"/>
      </w:rPr>
      <w:fldChar w:fldCharType="end"/>
    </w:r>
  </w:p>
  <w:p>
    <w:pPr>
      <w:tabs>
        <w:tab w:val="center" w:pos="4819"/>
        <w:tab w:val="right" w:pos="9638"/>
      </w:tabs>
      <w:ind w:firstLine="720"/>
      <w:jc w:val="cente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5</w:t>
    </w:r>
    <w:r>
      <w:rPr>
        <w:rFonts w:ascii="Arial" w:hAnsi="Arial"/>
        <w:sz w:val="20"/>
      </w:rPr>
      <w:fldChar w:fldCharType="end"/>
    </w:r>
  </w:p>
  <w:p>
    <w:pPr>
      <w:tabs>
        <w:tab w:val="center" w:pos="4819"/>
        <w:tab w:val="right" w:pos="9638"/>
      </w:tabs>
      <w:ind w:firstLine="720"/>
      <w:jc w:val="cente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10</w:t>
    </w:r>
    <w:r>
      <w:rPr>
        <w:rFonts w:ascii="Arial" w:hAnsi="Arial"/>
        <w:sz w:val="20"/>
      </w:rPr>
      <w:fldChar w:fldCharType="end"/>
    </w:r>
  </w:p>
  <w:p>
    <w:pPr>
      <w:tabs>
        <w:tab w:val="center" w:pos="4819"/>
        <w:tab w:val="right" w:pos="9638"/>
      </w:tabs>
      <w:ind w:firstLine="720"/>
      <w:jc w:val="cente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7</w:t>
    </w:r>
    <w:r>
      <w:rPr>
        <w:rFonts w:ascii="Arial" w:hAnsi="Arial"/>
        <w:sz w:val="20"/>
      </w:rPr>
      <w:fldChar w:fldCharType="end"/>
    </w:r>
  </w:p>
  <w:p>
    <w:pPr>
      <w:tabs>
        <w:tab w:val="center" w:pos="4819"/>
        <w:tab w:val="right" w:pos="9638"/>
      </w:tabs>
      <w:ind w:firstLine="720"/>
      <w:jc w:val="cente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25</w:t>
    </w:r>
    <w:r>
      <w:rPr>
        <w:rFonts w:ascii="Arial" w:hAnsi="Arial"/>
        <w:sz w:val="20"/>
      </w:rPr>
      <w:fldChar w:fldCharType="end"/>
    </w:r>
  </w:p>
  <w:p>
    <w:pPr>
      <w:tabs>
        <w:tab w:val="center" w:pos="4819"/>
        <w:tab w:val="right" w:pos="9638"/>
      </w:tabs>
      <w:ind w:firstLine="720"/>
      <w:jc w:val="cente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7</w:t>
    </w:r>
    <w:r>
      <w:rPr>
        <w:rFonts w:ascii="Arial" w:hAnsi="Arial"/>
        <w:sz w:val="20"/>
      </w:rPr>
      <w:fldChar w:fldCharType="end"/>
    </w:r>
  </w:p>
  <w:p>
    <w:pPr>
      <w:tabs>
        <w:tab w:val="center" w:pos="4819"/>
        <w:tab w:val="right" w:pos="9638"/>
      </w:tabs>
      <w:ind w:firstLine="720"/>
      <w:jc w:val="cente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firstLine="720"/>
      <w:rPr>
        <w:rFonts w:ascii="Arial" w:hAnsi="Arial"/>
        <w:sz w:val="20"/>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rPr>
        <w:rFonts w:ascii="Arial" w:hAnsi="Arial"/>
        <w:sz w:val="20"/>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16</w:t>
    </w:r>
    <w:r>
      <w:rPr>
        <w:rFonts w:ascii="Arial" w:hAnsi="Arial"/>
        <w:sz w:val="20"/>
      </w:rPr>
      <w:fldChar w:fldCharType="end"/>
    </w:r>
  </w:p>
  <w:p>
    <w:pPr>
      <w:tabs>
        <w:tab w:val="center" w:pos="4819"/>
        <w:tab w:val="right" w:pos="9638"/>
      </w:tabs>
      <w:ind w:firstLine="720"/>
      <w:jc w:val="cente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ind w:firstLine="720"/>
      <w:rPr>
        <w:rFonts w:ascii="Arial" w:hAnsi="Arial"/>
        <w:sz w:val="20"/>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29</w:t>
    </w:r>
    <w:r>
      <w:rPr>
        <w:lang w:val="en-GB"/>
      </w:rPr>
      <w:fldChar w:fldCharType="end"/>
    </w:r>
  </w:p>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instrText xml:space="preserve"> </w:instrTex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007666B3"/>
    <w:multiLevelType w:val="hybridMultilevel"/>
    <w:tmpl w:val="A71EDD10"/>
    <w:lvl w:ilvl="0" w:tplc="31E23910">
      <w:start w:val="42"/>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16cid:durableId="1948925816">
    <w:abstractNumId w:val="0"/>
  </w:num>
</w:numbering>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embedSystemFonts/>
  <w:proofState w:spelling="clean" w:grammar="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C6D0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FD86648"/>
  <w15:docId w15:val="{6E27870F-B618-47FD-9CE1-82439EA48F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iPriority w:val="99"/>
    <w:semiHidden/>
    <w:unhideWhenUsed/>
    <w:rPr>
      <w:color w:val="0000FF"/>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header" Target="header185.xml"/>
  <Relationship Id="rId10" Type="http://schemas.openxmlformats.org/officeDocument/2006/relationships/footnotes" Target="footnotes.xml"/>
  <Relationship Id="rId11" Type="http://schemas.openxmlformats.org/officeDocument/2006/relationships/numbering" Target="numbering.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202.xml"/>
  <Relationship Id="rId17" Type="http://schemas.openxmlformats.org/officeDocument/2006/relationships/header" Target="header203.xml"/>
  <Relationship Id="rId18" Type="http://schemas.openxmlformats.org/officeDocument/2006/relationships/footer" Target="footer199.xml"/>
  <Relationship Id="rId19" Type="http://schemas.openxmlformats.org/officeDocument/2006/relationships/footer" Target="footer200.xml"/>
  <Relationship Id="rId2" Type="http://schemas.openxmlformats.org/officeDocument/2006/relationships/header" Target="header186.xml"/>
  <Relationship Id="rId20" Type="http://schemas.openxmlformats.org/officeDocument/2006/relationships/header" Target="header204.xml"/>
  <Relationship Id="rId21" Type="http://schemas.openxmlformats.org/officeDocument/2006/relationships/footer" Target="footer201.xml"/>
  <Relationship Id="rId22" Type="http://schemas.openxmlformats.org/officeDocument/2006/relationships/header" Target="header258.xml"/>
  <Relationship Id="rId23" Type="http://schemas.openxmlformats.org/officeDocument/2006/relationships/hyperlink" TargetMode="External" Target="https://www.e-tar.lt/portal/legalAct.html?documentId=229f5cb0b98d11ed8df094f359a60216"/>
  <Relationship Id="rId24" Type="http://schemas.openxmlformats.org/officeDocument/2006/relationships/header" Target="header330.xml"/>
  <Relationship Id="rId25" Type="http://schemas.openxmlformats.org/officeDocument/2006/relationships/header" Target="header331.xml"/>
  <Relationship Id="rId26" Type="http://schemas.openxmlformats.org/officeDocument/2006/relationships/footer" Target="footer280.xml"/>
  <Relationship Id="rId27" Type="http://schemas.openxmlformats.org/officeDocument/2006/relationships/footer" Target="footer281.xml"/>
  <Relationship Id="rId28" Type="http://schemas.openxmlformats.org/officeDocument/2006/relationships/header" Target="header332.xml"/>
  <Relationship Id="rId29" Type="http://schemas.openxmlformats.org/officeDocument/2006/relationships/footer" Target="footer282.xml"/>
  <Relationship Id="rId3" Type="http://schemas.openxmlformats.org/officeDocument/2006/relationships/footer" Target="footer184.xml"/>
  <Relationship Id="rId30" Type="http://schemas.openxmlformats.org/officeDocument/2006/relationships/customXml" Target="../customXml/item2.xml"/>
  <Relationship Id="rId4" Type="http://schemas.openxmlformats.org/officeDocument/2006/relationships/footer" Target="footer185.xml"/>
  <Relationship Id="rId5" Type="http://schemas.openxmlformats.org/officeDocument/2006/relationships/header" Target="header187.xml"/>
  <Relationship Id="rId6" Type="http://schemas.openxmlformats.org/officeDocument/2006/relationships/footer" Target="footer186.xml"/>
  <Relationship Id="rId7" Type="http://schemas.openxmlformats.org/officeDocument/2006/relationships/customXml" Target="../customXml/item1.xml"/>
  <Relationship Id="rId8" Type="http://schemas.openxmlformats.org/officeDocument/2006/relationships/endnotes" Target="endnotes.xml"/>
  <Relationship Id="rId9" Type="http://schemas.openxmlformats.org/officeDocument/2006/relationships/fontTable" Target="fontTable.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3af3187db5af409ab3f1e2f6223d0da7" PartId="0c28b8b930b04eb6833bf6523d21e558">
    <Part Type="preambule" DocPartId="5a47523685584b55a7763baf5ee58fce" PartId="61e4dbdaccae436db43918967c8b4cd3"/>
    <Part Type="punktas" Nr="1" Abbr="1 p." DocPartId="cefda0f5618340e2801197833f693d7e" PartId="92b0fac22c0748efb80947507c04530f"/>
    <Part Type="punktas" Nr="2" Abbr="2 p." DocPartId="063ed01594964fcdb9f18b160d6d6dd9" PartId="7e39445b3e994891bb1232096c921a0e"/>
    <Part Type="punktas" Nr="3" Abbr="3 p." DocPartId="9d5fd0f678954fbfb46d3280cc9f0f2c" PartId="c8c61e7bd07f41ef81febe5449006e65"/>
    <Part Type="signatura" DocPartId="1541ac98e39d4e74816f682ec38226ed" PartId="0a653303633844a1a36511063fe3096d"/>
  </Part>
  <Part Type="patvirtinta" Title="PIRMINĖS AMBULATORINĖS ASMENS SVEIKATOS PRIEŽIŪROS PASLAUGŲ TEIKIMO ORGANIZAVIMO IR ŠIŲ PASLAUGŲ IŠLAIDŲ APMOKĖJIMO TVARKOS APRAŠAS" DocPartId="e1518857b1c74ef0824b4275c9516e66" PartId="5e110299616347689465b388bea9cd8d">
    <Part Type="skyrius" Nr="1" Title="BENDROSIOS NUOSTATOS" DocPartId="3a617efe02054354a75cdde6fb16c2ca" PartId="44a7e62ad1b7483db96f44ce470f7197">
      <Part Type="punktas" Nr="1" Abbr="1 p." DocPartId="1d21a92ea06b40a3af7decd2285680ef" PartId="049a470c6c214fd89a4b33471c3d643f"/>
      <Part Type="punktas" Nr="2" Abbr="2 p." DocPartId="14e6c4f7d79c487b9857084f67a3ca27" PartId="0610d8c215464caa8bd7a23c1abcf5c9"/>
      <Part Type="punktas" Nr="3" Abbr="3 p." DocPartId="522e01d6542a4c839d0a572111dfb203" PartId="44cfe73e9e1b4f83bf0c7906891cf488">
        <Part Type="papunktis" Nr="3.1" Abbr="3.1 pp." DocPartId="5567145575664d1b843641226af2d1bf" PartId="d56df4bcb8bc47f08f0000fcbc0b82d6"/>
        <Part Type="papunktis" Nr="3.2" Abbr="3.2 pp." DocPartId="17929cf512dd46659cd7e7f941b36afc" PartId="a1461ef013784c50b6f1a704e30ca3ee"/>
        <Part Type="papunktis" Nr="3.3" Abbr="3.3 pp." DocPartId="75f82c31de4640e9acf1b21fb7b0339e" PartId="d18a9dd10c0f4db9ba0353651c8ab5b9"/>
        <Part Type="papunktis" Nr="3.4" Abbr="3.4 pp." DocPartId="d36dc1dc3e22492cbcc4d52bb8886455" PartId="cbd826d0719342719410b408f28d088d"/>
        <Part Type="papunktis" Nr="3.5" Abbr="3.5 pp." DocPartId="1b0c690d3d2947d08147470b1165799c" PartId="ae2f3dbd85e04d8d8c3f7be63c85c7eb"/>
        <Part Type="papunktis" Nr="3.6" Abbr="3.6 pp." DocPartId="9740e17cdcaf430483e68821845e64fd" PartId="fd51bd80cdc74087847c579fae9f888d"/>
        <Part Type="papunktis" Nr="3.7" Abbr="3.7 pp." DocPartId="4cba04f9303944f3850739336800ad81" PartId="b82d7abea777454bbf7235b48371648c"/>
        <Part Type="papunktis" Nr="3.7-1" Abbr="3.7-1 pp." DocPartId="80f0dd2a5edd4ddba8337b2f8552baec" PartId="b425d16215304d898a1813b6e93894c9"/>
        <Part Type="papunktis" Nr="3.8" Abbr="3.8 pp." DocPartId="50288957e5fb46d4a11c56821403a5da" PartId="6e065a480eb1411a8119300374d28a10"/>
        <Part Type="papunktis" Nr="3.9" Abbr="3.9 pp." DocPartId="b5008aa96b644bff979676bf18f9ce3b" PartId="33419260a9b0406783e62a3ee5a5346b"/>
        <Part Type="papunktis" Nr="3.10" Abbr="3.10 pp." DocPartId="6c4d7430f1314bd0a76fbe72ad827b34" PartId="b728394a823f4c6cbd187717c4d02314"/>
        <Part Type="papunktis" Nr="3.11" Abbr="3.11 pp." DocPartId="355685e3a33e4ca1aafe86949ef8e66a" PartId="414905bc8c8f4b8389f5b4ff428e086b"/>
        <Part Type="papunktis" Nr="3.12" Abbr="3.12 pp." DocPartId="13512e0de2b44f16b17bf18f15d9ed8e" PartId="82a2e5c808f44f5f9d714c19249d6ea4"/>
        <Part Type="papunktis" Nr="3.13" Abbr="3.13 pp." DocPartId="0e268d4a438f4dce81327f664c6b1ecd" PartId="6af82b7cb1b342929e62993c66dd9b96"/>
      </Part>
    </Part>
    <Part Type="skyrius" Nr="2" Title="PAASP PASLAUGŲ TEIKIMO ORGANIZAVIMO TVARKA" DocPartId="a1a2dd5df5ac4a97b47cefb4d84c976f" PartId="c308d98aa40242c3b272182c65e20e92">
      <Part Type="punktas" Nr="4" Abbr="4 p." DocPartId="3bf2508ef0fc41d593e3c58c57c89642" PartId="b9bc9bf5cdf0466ca9a7c496de0f7e40"/>
      <Part Type="punktas" Nr="4-1" Abbr="4-1 p." DocPartId="b21f61b7be6b46999f45fa7c4ad75498" PartId="0e119390354743ce93cebce1729031aa"/>
      <Part Type="punktas" Nr="4-2" Abbr="4-2 p." DocPartId="ecc01bf0368a4b228b85fd3854425782" PartId="6138dd9ecded476994e01a504bdbab5e"/>
      <Part Type="punktas" Nr="5" Abbr="5 p." DocPartId="45e89c88aa2e4c30a2f113263ca5baaa" PartId="fd1fdc59d93d4aa4a28a5897752dbaa2"/>
      <Part Type="punktas" Nr="6" Abbr="6 p." DocPartId="40b23660e91544e9847c7e791d18fbd4" PartId="c25d1d2851a94febbcec7e193ccf2e15"/>
      <Part Type="punktas" Nr="7" Abbr="7 p." DocPartId="797d283a9e834191a12297d61b0a42e0" PartId="6fecfcfa964a427488393ce54b66da86"/>
      <Part Type="punktas" Nr="7-1" Abbr="7-1 p." DocPartId="85d7f4a13cfc427285c315341fa4afa7" PartId="ed7c2eb109ca4f1bb096275e7c40026a">
        <Part Type="papunktis" Nr="7-1.1" Abbr="7-1.1 pp." DocPartId="3fb8792c4b494e1fb8d2b8331ee1ae1c" PartId="1d52a872b02c41708122fbe2d72b4990"/>
        <Part Type="papunktis" Nr="7-1.2" Abbr="7-1.2 pp." DocPartId="ddf965e42de54dc8b1203bcb778304ab" PartId="7a5312186d4741c1beeb150dc779888d"/>
        <Part Type="papunktis" Nr="7-1.3" Abbr="7-1.3 pp." DocPartId="d04c6917f92b43c8820371338bfb4cbd" PartId="69c4e607eacb4f5eb4a0c7b29eeaae42"/>
      </Part>
      <Part Type="punktas" Nr="7-2" Abbr="7-2 p." DocPartId="06b20476b4cb4c11aa54cb5fc25c3e09" PartId="6e8e80ecea7c4875b46505557465e016"/>
      <Part Type="punktas" Nr="8" Abbr="8 p." DocPartId="f76f2693e2054b43bf0ca828120aa8e1" PartId="54a46467bf1c4c44852499bd9426b165"/>
      <Part Type="punktas" Nr="9" Abbr="9 p." DocPartId="d999111af3b642c69e47b868c45b84f1" PartId="2fad1c5c3e444fa38906ddc369c44ae8"/>
      <Part Type="punktas" Nr="9-1" Abbr="9-1 p." DocPartId="abe201cbea034a7d940cdfa8254ab3d5" PartId="4c3a82f235404554b98e6e07b88f4c1e">
        <Part Type="papunktis" Nr="9-1.1" Abbr="9-1.1 pp." DocPartId="e38949050a634f9aa82118041c947dfc" PartId="d45290902ef7486e9e52a823bb65ceb3"/>
        <Part Type="papunktis" Nr="9-1.2" Abbr="9-1.2 pp." DocPartId="cfc7d1be93a04b1e9c04458d7d9d9b0f" PartId="786aeb8b837249b5a1de4a71334152c7"/>
        <Part Type="papunktis" Nr="9-1.3" Abbr="9-1.3 pp." DocPartId="db886379899847c1812ca71f4a70f798" PartId="d7e795d759824da3baf0330ff53fde4c"/>
        <Part Type="papunktis" Nr="9-1.4" Abbr="9-1.4 pp." DocPartId="6b846b495e4e4166b1247e9b36b8fdcd" PartId="66a646edc1194b58a6e75a33a83149a7"/>
        <Part Type="papunktis" Nr="9-1.5" Abbr="9-1.5 pp." DocPartId="ce9aed8e55a44c3896a754c38f2969e7" PartId="4df187fc44fb4b3fad77ff4efd763dbb"/>
        <Part Type="papunktis" Nr="9-1.6" Abbr="9-1.6 pp." DocPartId="a24fcf123f754058b24d07b075b76267" PartId="507b4a0e16b44408ac7ad6fa4da322f9"/>
        <Part Type="papunktis" Nr="9-1.7" Abbr="9-1.7 pp." DocPartId="2fc984143ffa4b16837fdabe8b3fc3ed" PartId="b2606349e610411a9963ffac74a57ddf"/>
        <Part Type="papunktis" Nr="9-1.8" Abbr="9-1.8 pp." DocPartId="a6cb7c18053f44f5b5e8b60ca45dfddd" PartId="45d6445b5dab4acb9c77974f89b30368"/>
        <Part Type="papunktis" Nr="9-1.9" Abbr="9-1.9 pp." DocPartId="49f8a410cb2243e2ac1d8f15c2e82ce3" PartId="938857b219ce441092da5b0325dff43b"/>
        <Part Type="papunktis" Nr="9-1.10" Abbr="9-1.10 pp." DocPartId="ada01876bd0f42b8b74bcb4a2620de0b" PartId="8aec8f682396469b806af2337952ef0b"/>
        <Part Type="papunktis" Nr="9-1.11" Abbr="9-1.11 pp." DocPartId="02f0c6f0d1274f93803201350d23b931" PartId="676d958b1ad349b0baaff7cb3b7e8c4c"/>
        <Part Type="papunktis" Nr="9-1.12" Abbr="9-1.12 pp." DocPartId="df9e1d9afb68400a89e765074bc7480e" PartId="898f28e305d14da39eeaf2a07f9b0efe"/>
        <Part Type="papunktis" Nr="9-1.13" Abbr="9-1.13 pp." DocPartId="56c8046c47324a6aa970b4cf8fbc8931" PartId="c8392ad550dd4b0aae33282f8324422a"/>
        <Part Type="papunktis" Nr="9-1.14" Abbr="9-1.14 pp." DocPartId="d61411853c5a47c6b25e7c507f6c72b3" PartId="8e16106fe7cd48dd9dee8a55c4fcc70f"/>
        <Part Type="papunktis" Nr="9-1.15" Abbr="9-1.15 pp." DocPartId="08d6ba5ed9dc44e7ad6cd9432c945d22" PartId="6afb36bacc8a428ba64ff5b549e62b23"/>
        <Part Type="papunktis" Nr="9-1.16" Abbr="9-1.16 pp." DocPartId="2000787f5b80423dbcc1e7bb569fe94f" PartId="5aeac9d0df1a4f46a0f682853297b780"/>
        <Part Type="papunktis" Nr="9-1.17" Abbr="9-1.17 pp." DocPartId="44b5046a5d2041278de14ccc6b8fbca0" PartId="f1441c7b4cb5410aa6d4cc7e2d1fe3a3"/>
        <Part Type="papunktis" Nr="9-1.18" Abbr="9-1.18 pp." DocPartId="1adf3e81472248bdba8be8633bb7d4db" PartId="8b5365b2301a4460ab525b65a9295132"/>
        <Part Type="papunktis" Nr="9-1.19" Abbr="9-1.19 pp." DocPartId="0f3fd5f86d0043b8afe494fff7ffc98b" PartId="64dfcae78524496293e495dfa9afbb91"/>
        <Part Type="papunktis" Nr="9-1.20" Abbr="9-1.20 pp." DocPartId="9c5be5382f42479287e56fa1f18cedf2" PartId="71df3b83a6ac4444be4d947166174693"/>
        <Part Type="papunktis" Nr="9-1.21" Abbr="9-1.21 pp." DocPartId="cd4d4053f5ec49ae943bf990e4229b38" PartId="90624923ce4b44669510b65d3e1a8fc4"/>
        <Part Type="papunktis" Nr="9-1.22" Abbr="9-1.22 pp." DocPartId="65dd415d6aeb4724a1593e7576b5b8b4" PartId="b243be8e98224b9dba8d1bf92d8a8541"/>
        <Part Type="papunktis" Nr="9-1.23" Abbr="9-1.23 pp." DocPartId="a88a7b77c93744c9bfff1bace04abd2d" PartId="8407bb469d754d2485107283ba56d569"/>
        <Part Type="papunktis" Nr="9-1.24" Abbr="9-1.24 pp." DocPartId="fa89c16e38c84794a4fb6582c019bcc8" PartId="33cdb7788e254d0a942bef59859711ca"/>
        <Part Type="papunktis" Nr="9-1.25" Abbr="9-1.25 pp." DocPartId="67ff5c3f823646b98460855a7e267bf4" PartId="af089e41d1644e9dbaca39dd6b366298"/>
        <Part Type="papunktis" Nr="9-1.26" Abbr="9-1.26 pp." DocPartId="b5edf26161524bbd836146de8b7dc27c" PartId="25601d308f424c5387b56489f923d83a"/>
      </Part>
      <Part Type="punktas" Nr="9-2" Abbr="9-2 p." DocPartId="0714639f0fae4d41bb0f9f4275f4de42" PartId="3f5316b56aa04eedbe23201dda1ce702"/>
      <Part Type="punktas" Nr="9-3" Abbr="9-3 p." DocPartId="a638ae61542a49e6872cbf69285c98d9" PartId="41d90a482f4e4848b9ef07f01eb7e997"/>
      <Part Type="punktas" Nr="10" Abbr="10 p." DocPartId="98d9fbf0ebb34e33a94f00a5bba126db" PartId="9c89924b34cd48b78bb41e67d29a7800">
        <Part Type="papunktis" Nr="10.1" Abbr="10.1 pp." DocPartId="e0cf52d9ab7449beb3335be3cabadd6f" PartId="ce1179fbe3234d4dad77ebdf65ce4329">
          <Part Type="papunktis" Nr="10.1.1" Abbr="10.1.1 pp." DocPartId="54a1e05f474c4ec281d1d782169d783c" PartId="97971e8a9b9e4ec0a07fe938da58c3b5"/>
          <Part Type="papunktis" Nr="10.1.2" Abbr="10.1.2 pp." DocPartId="f8c8924736fd48228dd05bef068868e5" PartId="663adff1fe3c49a08796ec4af39db9e7"/>
          <Part Type="papunktis" Nr="10.1.3" Abbr="10.1.3 pp." DocPartId="9bbfeb49ede84d0394daa04854d1f748" PartId="8f40a480d1e247e1867a0e5d4f0622cb"/>
        </Part>
        <Part Type="papunktis" Nr="10.2" Abbr="10.2 pp." DocPartId="bdf5a0607f204ec3956c8f4d27426ec3" PartId="4a9285d8fa3e40a7a05409472787aee3"/>
      </Part>
      <Part Type="punktas" Nr="11" Abbr="11 p." DocPartId="e44cb7815f434a80a8fabe9b20593769" PartId="1b4784f2107c44ada1c6b6b35766c360"/>
      <Part Type="punktas" Nr="12" Abbr="12 p." DocPartId="0ab105151f684fd494f304125a924cfa" PartId="b0b4d5e0c0904fc094762e71eb44be36">
        <Part Type="papunktis" Nr="12.1" Abbr="12.1 pp." DocPartId="a5fd36b45d6a44c9b808b762987a81df" PartId="d1c2a43941e64f88b177ce4d64cf4793">
          <Part Type="papunktis" Nr="12.1.1" Abbr="12.1.1 pp." DocPartId="541d50c42fa24c7f8983d78509b9e629" PartId="7888fc24f249440c8e301dc5d1135f00">
            <Part Type="papunktis" Nr="12.1.1.1" Abbr="12.1.1.1 pp." DocPartId="16f0e0dfd6f84192896c2d2a3a5d07c2" PartId="f84409f10a1943deb728f76e2d76c5af"/>
            <Part Type="papunktis" Nr="12.1.1.2" Abbr="12.1.1.2 pp." DocPartId="b618831bdeac48599f5e1b49ef5d22a6" PartId="3cddd61a6e82422b8ca064393f896696"/>
            <Part Type="papunktis" Nr="12.1.1.3" Abbr="12.1.1.3 pp." DocPartId="25b92cc2d3ef43e5b608a2728bef377a" PartId="efa87984acc6489aa7a8bc445773cd92"/>
            <Part Type="papunktis" Nr="12.1.1.4" Abbr="12.1.1.4 pp." DocPartId="b9afb8433b1a40eda4f4791fc6c33ae3" PartId="95c6cea79ca24e14836910b34fe6bd4e"/>
            <Part Type="papunktis" Nr="12.1.1.5" Abbr="12.1.1.5 pp." DocPartId="0ff86138b77b456bb22cb0957871c899" PartId="48c2e89ac7004a23b4ed6e74db586b0b"/>
            <Part Type="papunktis" Nr="12.1.1.6" Abbr="12.1.1.6 pp." DocPartId="331db5e672f541d29952fd408f13f295" PartId="ab432e887f324ca0a41a40126bf0b30c"/>
            <Part Type="papunktis" Nr="12.1.1.7" Abbr="12.1.1.7 pp." DocPartId="5867f932dd0c4ee19f77b1ceead375fe" PartId="207e89b5e7864c3597a84e22355b43ce"/>
            <Part Type="papunktis" Nr="12.1.1.8" Abbr="12.1.1.8 pp." DocPartId="d4b7464d44cb4a91bab9ec7edab0e4d1" PartId="a6e9fcd46fd5496f96e4f1e22b58574d"/>
            <Part Type="papunktis" Nr="12.1.1.9" Abbr="12.1.1.9 pp." DocPartId="939f68bb6774480187af0e856200c329" PartId="a6797af1baa84d1ca7794baad649d4d8"/>
            <Part Type="papunktis" Nr="12.1.1.10" Abbr="12.1.1.10 pp." DocPartId="681300aab8c14058bc506a5b1a9b8996" PartId="3a86ce446d7c44fe97bfce6bb1242525"/>
            <Part Type="papunktis" Nr="12.1.1.11" Abbr="12.1.1.11 pp." DocPartId="b2851a74c2384c0cbb019fdf071269eb" PartId="b2d452ee8dac4eeaa40567256237df69"/>
            <Part Type="papunktis" Nr="12.1.1.12" Abbr="12.1.1.12 pp." DocPartId="3add6fbab9914bf290dd31b248579c2b" PartId="dadd90b8eecf4ac088504444f59db6d5">
              <Part Type="papunktis" Nr="12.1.1.12.1" Abbr="12.1.1.12.1 pp." DocPartId="67c2c97068294150993a8f5cb39b014c" PartId="c7247b4e1e33467dbfe4ca40896c829f"/>
              <Part Type="papunktis" Nr="12.1.1.12.2" Abbr="12.1.1.12.2 pp." DocPartId="84051f81bc1e4efd863432505f1c5df0" PartId="ff31df5d04994cee84aa7f342853ac41"/>
              <Part Type="papunktis" Nr="12.1.1.12.3" Abbr="12.1.1.12.3 pp." DocPartId="b2411eccbc5a474e87fd706f7108ade7" PartId="d9a4dacd9c404c85b3a875b83fd382fd"/>
              <Part Type="papunktis" Nr="12.1.1.12.4" Abbr="12.1.1.12.4 pp." DocPartId="fb416c7194eb44dfad106c337b6be767" PartId="a032d4edaa7144b6ab915a646d7742ff"/>
              <Part Type="papunktis" Nr="12.1.1.12.5" Abbr="12.1.1.12.5 pp." DocPartId="8b126ea21e1344d4a0de1f07e6895c31" PartId="88deb4c864af4bae8e158058dea54824"/>
              <Part Type="papunktis" Nr="12.1.1.12.6" Abbr="12.1.1.12.6 pp." DocPartId="f224dc8199d340f7ace3bccc6a3e3e52" PartId="d6f5b5335bd849a0a2efd2328f9b1e09"/>
            </Part>
          </Part>
          <Part Type="papunktis" Nr="12.1.2" Abbr="12.1.2 pp." DocPartId="d3eb6dd54ce247dd9e45ed025b3478ae" PartId="a1930812bb724eff9ecb2b3afc035669">
            <Part Type="papunktis" Nr="12.1.2.1" Abbr="12.1.2.1 pp." DocPartId="8597970faef047e3a1d451e84da1edee" PartId="02f9e4874f1b4028b7e015476994ead8"/>
            <Part Type="papunktis" Nr="12.1.2.2" Abbr="12.1.2.2 pp." DocPartId="79b83e9f58a442dcae175cb55496974e" PartId="d33b6cc0abe244498db322a498d0ab09"/>
            <Part Type="papunktis" Nr="12.1.2.3" Abbr="12.1.2.3 pp." DocPartId="7aab810197dc47bc973b1e760733d144" PartId="0883386dedc243cfb67c532be93000c5"/>
            <Part Type="papunktis" Nr="12.1.2.4" Abbr="12.1.2.4 pp." DocPartId="598732b9a5f842149e1c1eeebda61ec0" PartId="9c494bb700c14d0fb3ca63a11c3f4e2b"/>
            <Part Type="papunktis" Nr="12.1.2.5" Abbr="12.1.2.5 pp." DocPartId="6fd9e4f3f8bf4cff8e87303c1e57d8b0" PartId="42ec0dbab760426b9ab2eaf2d3ac570d"/>
            <Part Type="papunktis" Nr="12.1.2.6" Abbr="12.1.2.6 pp." DocPartId="8a0495843de04e92ae55df9f6fcb42e8" PartId="f1267fb1b6134050ad7a924b50f2fa26"/>
            <Part Type="papunktis" Nr="12.1.2.7" Abbr="12.1.2.7 pp." DocPartId="856c4e41861f45209aa204f5c089c2b8" PartId="537413a0a94a40bb94cd8223529f7b1f"/>
            <Part Type="papunktis" Nr="12.1.2.8" Abbr="12.1.2.8 pp." DocPartId="c8283d80e6b14a848083ae92edcab7e6" PartId="92d2a2787ef544ec90e90ab896e2f807"/>
            <Part Type="papunktis" Nr="12.1.2.9" Abbr="12.1.2.9 pp." DocPartId="a075e9a4aa3b49fc8180aa6b52afed1c" PartId="d0d9d65d26dd4116b03a6c51686a6fab"/>
            <Part Type="papunktis" Nr="12.1.2.10" Abbr="12.1.2.10 pp." DocPartId="a1874bfcb9044d22907a501b76c675f9" PartId="e941da1cc6544f39a3505ef970c926cc"/>
            <Part Type="papunktis" Nr="12.1.2.11" Abbr="12.1.2.11 pp." DocPartId="1fd59f063e784e7bb0edd7485088e331" PartId="5e9ad4366751408682908a85526be6f3"/>
            <Part Type="papunktis" Nr="12.1.2.12" Abbr="12.1.2.12 pp." DocPartId="5a48199972c448e6b02edb7463dd8c4c" PartId="37da6093fc3247eeb6f831d7e24f847b">
              <Part Type="papunktis" Nr="12.1.2.12.1" Abbr="12.1.2.12.1 pp." DocPartId="32efa3b818aa49d3aa67ceede135de65" PartId="014645b970444aec9f6cf5dcaa7a2f9e"/>
              <Part Type="papunktis" Nr="12.1.2.12.2" Abbr="12.1.2.12.2 pp." DocPartId="8a05169e8a9744ff91136fa82ecbc658" PartId="c1afa6a7bd1e4fbba0fab061de4ee17a"/>
              <Part Type="papunktis" Nr="12.1.2.12.3" Abbr="12.1.2.12.3 pp." DocPartId="e76c9eaf96c24980899ee0a6e694ce1a" PartId="82251d857b994980bfcd465eaacea9d1"/>
              <Part Type="papunktis" Nr="12.1.2.12.4" Abbr="12.1.2.12.4 pp." DocPartId="eb4624254b54478d9bd75872884de25a" PartId="15c968f38f8c4faeb89a06e88cf6736d"/>
              <Part Type="papunktis" Nr="12.1.2.12.5" Abbr="12.1.2.12.5 pp." DocPartId="a9c8d600139c47c3b38c6881039cbae7" PartId="50e99433f89840d8a4e675ddd046d4c1"/>
              <Part Type="papunktis" Nr="12.1.2.12.6" Abbr="12.1.2.12.6 pp." DocPartId="597ce54a17004dd1b223b3c34580d283" PartId="064ad8cc8ead45c4a235660a88ffdfc8"/>
            </Part>
          </Part>
        </Part>
        <Part Type="papunktis" Nr="12.2" Abbr="12.2 pp." DocPartId="79a4d3e7631949278abb9e7441fc8944" PartId="2d8e3614ff264e738a9b1f21ebed25f1"/>
        <Part Type="papunktis" Nr="12.3" Abbr="12.3 pp." DocPartId="e2c8ebd116b94960975d28aa2ee40df6" PartId="de6259bb74fe4196bc765d6d3d5d4d45"/>
      </Part>
      <Part Type="punktas" Nr="13" Abbr="13 p." DocPartId="e8a499cfcd2c4efd8ab1fd96c2f07cbc" PartId="d7f0089fa650409988bb2a346ea66f4d"/>
      <Part Type="punktas" Nr="14" Abbr="14 p." DocPartId="0400ded1933546eea0cb4283bac62a0e" PartId="f20e133b5b0f4f8490918cc0c01642e9"/>
      <Part Type="punktas" Nr="15" Abbr="15 p." DocPartId="99df505652b34dd19bd4a9de6cf6e0e4" PartId="db4201860e2d4319ad169cd5c9143fa8"/>
      <Part Type="punktas" Nr="16" Abbr="16 p." DocPartId="45f7f8583f674a218e807047b62fe1a7" PartId="aaceb99ff2e146728c39ee7f71384e83"/>
      <Part Type="punktas" Nr="16-1" Abbr="16-1 p." DocPartId="7cf7cc8719cc459b915005979499bff9" PartId="c18de5e3d23d417eaad4bc8c6abd42d5"/>
      <Part Type="punktas" Nr="17" Abbr="17 p." DocPartId="08ff296a7d1d46beab5bd0bfee05d3f0" PartId="8a0955f956bb4c24881753a8205b8712"/>
      <Part Type="punktas" Nr="18" Abbr="18 p." DocPartId="d3bed2e60b2746138e6d4ef6e8c16b61" PartId="6238bf68715e4789a447d027b1a2f3b5"/>
      <Part Type="punktas" Nr="19" Abbr="19 p." DocPartId="f7add04de1a0438e867a9ea8f13495fc" PartId="3013f4d551b244498fb555cde2d10f4f"/>
      <Part Type="punktas" Nr="20" Abbr="20 p." DocPartId="677de03552bb4811af757a2ad5c2f40b" PartId="b5931a1d6f46439692ae11282b9519f5"/>
      <Part Type="punktas" Nr="21" Abbr="21 p." DocPartId="4dd55aa0b0f543859ccc6c5be3e118ee" PartId="0132c2c8e48c495ca5109269774f78dc"/>
      <Part Type="punktas" Nr="22" Abbr="22 p." DocPartId="cb65988cf27a4908972496360dd8c49f" PartId="4bd4454e2c694c028af927ef0a535976"/>
      <Part Type="punktas" Nr="23" Abbr="23 p." DocPartId="99d8ee2304b04733b795ff01faffe612" PartId="d0a6fe3be1c8432780ff5631fe786809"/>
      <Part Type="punktas" Nr="24" Abbr="24 p." DocPartId="a99b277cd0674b59ae8f9d13d8556091" PartId="1e0f2b3aade1430cb172cdcab1fc760e"/>
      <Part Type="punktas" Nr="24-1" Abbr="24-1 p." DocPartId="dc89142fb0b649368e9f0aa3759c3c0e" PartId="1beb5202eb2142ac835774bddad3ce96"/>
      <Part Type="punktas" Nr="24-2" Abbr="24-2 p." DocPartId="dba01ef18f224f9db5578e87c6945b75" PartId="aede7c2c33f844f7bcc865935cb686da"/>
      <Part Type="punktas" Nr="24-3" Abbr="24-3 p." DocPartId="ef9f36481e2a4783ba67c43f2fd70b59" PartId="931e0789efa14b99acf6467aa2a1598b"/>
      <Part Type="punktas" Nr="24-4" Abbr="24-4 p." DocPartId="e2b5ec7122374e5aa221ff15ff10145a" PartId="d47fe93c063e4916a125495f47747f82"/>
      <Part Type="punktas" Nr="24-5" Abbr="24-5 p." DocPartId="89d1208246654294be78ee9862526f9b" PartId="9b87ccf04acd47e5b9df89d173074aa0"/>
      <Part Type="punktas" Nr="25" Abbr="25 p." DocPartId="890e5b1141ae4a838932894a011552eb" PartId="1f8edb5bcabe4b9dbf737657b94c8814"/>
      <Part Type="punktas" Nr="25-1" Abbr="25-1 p." DocPartId="c7a307635bd64ac2a3b11147dfa4a918" PartId="0671d3353d6345c8a0c6e0c8b79ba21d"/>
      <Part Type="punktas" Nr="25-2" Abbr="25-2 p." DocPartId="b7b7527c3e7e4a3f8a1165b0a1e9ba10" PartId="7119eb482aa747118b454fc61406a3d4"/>
    </Part>
    <Part Type="skyrius" Nr="3" Title="„III SKYRIUS PAASP PASLAUGŲ IŠLAIDŲ APMOKĖJIMO PSDF BIUDŽETO LĖŠOMIS TVARKA“." DocPartId="bc02d9c928fd445b9da66104b970676b" PartId="3c804ca931184b54ab2e7a9ca0f7b745">
      <Part Type="punktas" Nr="26" Abbr="26 p." DocPartId="5da20c87a1ca40f894d9d193e5c72c83" PartId="b425c02bc06d4b59917cfbccb804e90f">
        <Part Type="papunktis" Nr="26.1" Abbr="26.1 pp." DocPartId="9a92cdf64dcc4d4a861f4edebc2bdd19" PartId="d33c5b02a5d44c9097741743b6a50d49"/>
        <Part Type="papunktis" Nr="26.2" Abbr="26.2 pp." DocPartId="16529a5c8c224d8280c7d60b3894d34a" PartId="aa7ca2920436426e9cca2cc8bad9137b"/>
        <Part Type="papunktis" Nr="26.3" Abbr="26.3 pp." DocPartId="f0f63c105ba443079433b6164e8b5572" PartId="5ddb073d9e734d8e9b0c3f07d34d274f"/>
      </Part>
      <Part Type="punktas" Nr="27" Abbr="27 p." DocPartId="a2e448ec5e8948e78a29c87cd80b221e" PartId="2fd1e131a42c455a89c57707b0b5894e">
        <Part Type="papunktis" Nr="27.1" Abbr="27.1 pp." DocPartId="aa38270adfa94291b3e8efc322b794bc" PartId="0df6a4754cfb4554be6253617483a3cf">
          <Part Type="papunktis" Nr="27.1.1" Abbr="27.1.1 pp." DocPartId="d6c8884907b04d9bae920420b1ac08ba" PartId="6736bab49d5b4090aa59c6faa1c905dc"/>
          <Part Type="papunktis" Nr="27.1.2" Abbr="27.1.2 pp." DocPartId="062c4e0cafe64e0d8613a33be454b529" PartId="b612c23334c44f94b797697c920fd3bc"/>
          <Part Type="papunktis" Nr="27.1.3" Abbr="27.1.3 pp." DocPartId="404be62dc2ad4c4cb61fc2a98acebc3d" PartId="b927c1b977df47758a0680928d6cdf13"/>
          <Part Type="papunktis" Nr="27.1.4" Abbr="27.1.4 pp." DocPartId="d988a3e0e666441185d4b30a04e920fa" PartId="c583c2449a0b42d69c17399cc0e87497"/>
        </Part>
        <Part Type="papunktis" Nr="27.2" Abbr="27.2 pp." DocPartId="8c9fbbfaddab4661953bb8bf11c0b867" PartId="2cdd53275fa545daba3592f1b48ab611">
          <Part Type="papunktis" Nr="27.2.1" Abbr="27.2.1 pp." DocPartId="45bacd3cb4ce4c3b99ed4457d5b97091" PartId="59456f1f827c4f56813eecea959d64b2"/>
          <Part Type="papunktis" Nr="27.2.2" Abbr="27.2.2 pp." DocPartId="f6f189ae58744e80bc2d6940682fdeff" PartId="0cde5466d63741058206270d01ab67d0"/>
        </Part>
        <Part Type="papunktis" Nr="27.3" Abbr="27.3 pp." DocPartId="3335f48400d04bc8a11ff524c1727b3d" PartId="962333618c7d4b2990d3eef21dea9ae0">
          <Part Type="papunktis" Nr="27.3.1" Abbr="27.3.1 pp." DocPartId="6b0ac2ce5704499baebaec9f641dc26c" PartId="18ed653032ec4bb2aa6399b5177e7912"/>
          <Part Type="papunktis" Nr="27.3.2" Abbr="27.3.2 pp." DocPartId="a1588df8f3354460bd170aaf87429cfd" PartId="5cbf51aab28649ff9334ceab50eb09ca">
            <Part Type="papunktis" Nr="27.3.2.1" Abbr="27.3.2.1 pp." DocPartId="1f8b6d20f8274cc895bdb1d26a262e1d" PartId="2a809f9f388e46bc82738be895e09c8f"/>
            <Part Type="papunktis" Nr="27.3.2.2" Abbr="27.3.2.2 pp." DocPartId="9832edf03fb94b46b424842a2ed34673" PartId="2d337fe60af84d4a85f48eb7ff49063c"/>
            <Part Type="papunktis" Nr="27.3.2.3" Abbr="27.3.2.3 pp." DocPartId="bf0f863b98c14946a95008025102eb8a" PartId="cb6f3c4b7fa147f288aa7330b8499c0c"/>
          </Part>
        </Part>
        <Part Type="papunktis" Nr="27.3-1" Abbr="27.3-1 pp." DocPartId="19c1bafe28424a679c44f5f544082bd4" PartId="b4a1a361d5ec42bd8a97c88d5455edc6"/>
        <Part Type="papunktis" Nr="27.4" Abbr="27.4 pp." DocPartId="872c67ba34824c37bcdbb0ebe18b10d6" PartId="8b1337371fa845a49e9f26552d41b576">
          <Part Type="papunktis" Nr="27.4.1" Abbr="27.4.1 pp." DocPartId="12a339099fbe472ca06e2d597dcf12ca" PartId="cd0d968a57b147758ea557180e30a226"/>
          <Part Type="papunktis" Nr="27.4.2" Abbr="27.4.2 pp." DocPartId="807bbbfcb0b74f7b85c60f571ae8beae" PartId="63cb5c16db274593b678e6068546e0a0"/>
          <Part Type="papunktis" Nr="27.4.3" Abbr="27.4.3 pp." DocPartId="6f4695b06f5a4954aa0e47cc2bd2459a" PartId="efb50459d0fc43f5ac3e4597f1c416d4"/>
        </Part>
        <Part Type="papunktis" Nr="27.5" Abbr="27.5 pp." DocPartId="125f20f8e8804dac9f7b44bcf87ed69f" PartId="7a13761defe74167955c047e2caab06b">
          <Part Type="papunktis" Nr="27.5.1" Abbr="27.5.1 pp." DocPartId="a3923498ea9d4e2aa0141b7d37420c82" PartId="7657ca5f437d4200a020fc233a702922">
            <Part Type="papunktis" Nr="27.5.1.1" Abbr="27.5.1.1 pp." DocPartId="bed9b71af34346cbb7f31bf9521daea7" PartId="19b2ad38630848a0b113686760b2ee3f"/>
            <Part Type="papunktis" Nr="27.5.1.2" Abbr="27.5.1.2 pp." DocPartId="7cbabb4fe7a44cefbbee6ce2d3c3f93e" PartId="7209b79ee03f4d17a05ac3fb57e17ed9"/>
          </Part>
          <Part Type="papunktis" Nr="27.5.2" Abbr="27.5.2 pp." DocPartId="971ad51fd95e4d4a9565e57986fbead5" PartId="b8c6483d2a274b8ca3a0198ea25f58e1">
            <Part Type="papunktis" Nr="27.5.2.1" Abbr="27.5.2.1 pp." DocPartId="2ee9c92985514058a26dc8dda9365f41" PartId="c4bd7aa23891498b95e367bd220727f3"/>
            <Part Type="papunktis" Nr="27.5.2.2" Abbr="27.5.2.2 pp." DocPartId="720908ed99f24e03aba8ac64e2827e5f" PartId="057a0c36be0c478b829f9ac2c11911cc"/>
          </Part>
        </Part>
      </Part>
      <Part Type="punktas" Nr="27-1" Abbr="27-1 p." DocPartId="aad89c9f08fd437f924cb1d33dcc7ae7" PartId="1f91a3ffa3ba40c6a9bb43adb6db57aa"/>
      <Part Type="punktas" Nr="27-2" Abbr="27-2 p." DocPartId="fccf6fb8b1f04b3f98c295a28306062b" PartId="7a39e086e1cd4ecd8cc5790e67f9d764"/>
      <Part Type="punktas" Nr="27-3" Abbr="27-3 p." DocPartId="33266b659db54caa89a962357a6052a8" PartId="b900f16eab474c878217f07a4c94a9a4"/>
      <Part Type="punktas" Nr="28" Abbr="28 p." DocPartId="a67fd555fb2f444296141063092fdf7a" PartId="7cd2eb71ca6445e7a3ddee6b163d7940">
        <Part Type="papunktis" Nr="28.1" Abbr="28.1 pp." DocPartId="02c5313960a144cf80e4c7cf8aa66838" PartId="5f0a4b8c068a4f4fab661f1419596749"/>
        <Part Type="papunktis" Nr="28.2" Abbr="28.2 pp." DocPartId="1f0ea699d5d2444a84f35616581ba128" PartId="badd1611aee740bc907e37a2d749b641"/>
        <Part Type="papunktis" Nr="28.3" Abbr="28.3 pp." DocPartId="ca1fe542eeae4a59a6183d88ede45ee9" PartId="89590d94d7274d19a840881a05307e1b"/>
        <Part Type="papunktis" Nr="28.4" Abbr="28.4 pp." DocPartId="b4535907ac3944ee89d1de6f662c4e0b" PartId="c8c5547e3541432ea26e5c2a77920e7a"/>
        <Part Type="papunktis" Nr="28.5" Abbr="28.5 pp." DocPartId="c7edf86a85444d1cb9293deeff385222" PartId="0d52214f7c56499699767640f4843623"/>
      </Part>
      <Part Type="punktas" Nr="28-1" Abbr="28-1 p." DocPartId="8bc89e07f8f742dfb9fc8d540f352bcc" PartId="36d4d9729edd45aa8baa844ccb3a372f"/>
      <Part Type="punktas" Nr="29" Abbr="29 p." DocPartId="fc9c5063b537430caf924c835d90e35c" PartId="d2d020afcc844dac8e22e75a4fd1464f"/>
      <Part Type="punktas" Nr="30" Abbr="30 p." DocPartId="9ef308e532354dc5bba8b1e6f5bdd94c" PartId="c68f4e6eb5b94e38b1ac6afcb2437157"/>
      <Part Type="punktas" Nr="31" Abbr="31 p." DocPartId="c8e8e2aed9a241379da4654365966f67" PartId="1a15aaee8e824816a5f493a3518f1057"/>
      <Part Type="punktas" Nr="32" Abbr="32 p." DocPartId="07ccf7d256e44abbb89467e572b46455" PartId="7b384c02bb8649569fc013e1614574ec"/>
      <Part Type="punktas" Nr="33" Abbr="33 p." DocPartId="b3de8f2223844d1c99cde2d3ed2810d4" PartId="33b361844bd24b26ba8cbf33b84953c1"/>
      <Part Type="punktas" Nr="34" Abbr="34 p." DocPartId="d63be24e204d4fa790c3220a9a82e959" PartId="759ba2d4b6894073a8d00830970db6fd"/>
      <Part Type="punktas" Nr="34-1" Abbr="34-1 p." DocPartId="78d06d241a8f460c9bfc8b60a5d4f1f4" PartId="774cbe8e033341cc8eeded4e70b7a6b5"/>
      <Part Type="punktas" Nr="34-2" Abbr="34-2 p." DocPartId="113f18d0581d43ea87076e7f609a61e8" PartId="392c79a6c6d04f2f8124c5db4b9a82a9"/>
    </Part>
    <Part Type="skyrius" Nr="4" Title="PAASP PASLAUGOS, UŽ KURIAS MOKAMAS SKATINAMASIS PRIEDAS, IR ŠIŲ PASLAUGŲ TEIKIMO BEI APMOKĖJIMO PSDF BIUDŽETO LĖŠOMIS SĄLYGOS" DocPartId="3f3526af0db04b6c830335a2f306b25f" PartId="de940932db58403fab3c2ad1fa4f8e76">
      <Part Type="punktas" Nr="35" Abbr="35 p." DocPartId="1085fd96c93c4cf8b956bbd77d279b69" PartId="07af9f51c033423ea41e7aced4b4aaf5"/>
    </Part>
    <Part Type="skyrius" Nr="5" Title="MOKĖTINOS SUMOS UŽ PASIEKTAS GERŲ PAASP REZULTATŲ RODIKLIŲ REIKŠMES APSKAIČIAVIMAS" DocPartId="33241a7357a94da896670fc2593d1e00" PartId="2c8a24c4ad6449d4876f85791e3fe4e2">
      <Part Type="punktas" Nr="37" Abbr="37 p." DocPartId="e61e9ccf5a7e428698b04fd89c400a09" PartId="412c323a1b4840e49d77563e1c93275e"/>
      <Part Type="punktas" Nr="38" Abbr="38 p." DocPartId="de63132f0a0e47638e9499feea154ef3" PartId="85372560ab274320842510e8b0b9f6fe"/>
      <Part Type="punktas" Nr="39" Abbr="39 p." DocPartId="dc057fd302ff429ea5df8683256720dc" PartId="5d71ce0930d04b098635bf499e01e42b"/>
      <Part Type="punktas" Nr="40" Abbr="40 p." DocPartId="d973e1e869c944bb8723d84e5b954483" PartId="1c481d1b4c2b4bf6be1da04b063a554f"/>
      <Part Type="punktas" Nr="40-1" Abbr="40-1 p." DocPartId="d5772229970b450492d05b9acbd69fa0" PartId="b171c69485f84907be77f50b8a10b63f"/>
      <Part Type="punktas" Nr="41" Abbr="41 p." DocPartId="8e41d26814434af5b55977e85bb3efd9" PartId="bdaaa723e2a74ec3acd1f23060bb1acb"/>
      <Part Type="punktas" Nr="42" Abbr="42 p." DocPartId="24f1105176f1412185c7f4b803e6fed3" PartId="9eeeb4ea339a4c109911425af4ddf8c1"/>
      <Part Type="punktas" Nr="43" Abbr="43 p." DocPartId="41914d664bd94f818e9f213d4a359a18" PartId="27020dec81ef40ef824a70b211308c0a"/>
    </Part>
    <Part Type="skyrius" Nr="6" Title="SKUBIOS AMBULATORINĖS PASLAUGOS APMOKĖJIMO PSDF BIUDŽETO LĖŠOMIS SĄLYGOS" DocPartId="b0c190a2a7ff43af98ef379e150312a4" PartId="3e0589e33d1b455196c1f4d83102869a">
      <Part Type="punktas" Nr="44" Abbr="44 p." DocPartId="3992c9f0e3424370a29a4d400c0df2ec" PartId="f45b02f37de74f258c860a0a11f2f694"/>
      <Part Type="punktas" Nr="45" Abbr="45 p." DocPartId="facf384e956942edaecceec31fa945ea" PartId="1d022edd13a44b20b17c03a9126ccbd1"/>
      <Part Type="punktas" Nr="46" Abbr="46 p." DocPartId="ccb0c273432a4c23a3bbbb1fd22748cb" PartId="40b1996f21d440bbb285f403b211758e"/>
      <Part Type="punktas" Nr="47" Abbr="47 p." DocPartId="bad33ad4c7514de8b7e183a6ce76f6a5" PartId="5aebe5e3189a452eac76fedd782edeab"/>
      <Part Type="punktas" Nr="48" Abbr="48 p." DocPartId="0eb9e18c84f241688225816a3e198e03" PartId="050c1485c24945cc99b85ed48dfa161c"/>
    </Part>
    <Part Type="pabaiga" DocPartId="90ea59f6ea1c47fba34b2432281666c3" PartId="5062e9e88fb74425a5ac522a48a80de5"/>
  </Part>
  <Part Type="priedas" Nr="1" Abbr="pr." Title="GERŲ PIRMINĖS AMBULATORINĖS ASMENS SVEIKATOS PRIEŽIŪROS REZULTATŲ RODIKLIŲ REIKŠMIŲ APSKAIČIAVIMO METODIKA" DocPartId="15aeb9b92c744041a2384c166e44fbc6" PartId="2a0f4315d26d4437965bf007a16206e2">
    <Part Type="skyrius" Nr="1" Title="BENDROSIOS NUOSTATOS" DocPartId="f3729a2bdd4d40499145d3bf98450b95" PartId="272e8bbf21ea42138c53a2ba97325c53">
      <Part Type="punktas" Nr="1" Abbr="pr. 1 p." DocPartId="509d8274099f43d4b103cc64b896a76c" PartId="e1148fa86cd04a56baff80bb689aead4"/>
      <Part Type="punktas" Nr="2" Abbr="pr. 2 p." DocPartId="90641c32b52e4c659ff3401ab1914469" PartId="2d70790d2a904d66a478886a9f3f7385"/>
      <Part Type="punktas" Nr="3" Abbr="pr. 3 p." DocPartId="b268659704f640a5a109902945a96f71" PartId="93fd3203f1fb4002b68dd73f5b46e5d7">
        <Part Type="papunktis" Nr="3.1" Abbr="pr. 3.1 pp." DocPartId="15148d663a2349d4a9f8c7f54c6e4cbb" PartId="f72eed5ce2f04414acca03ba508e9fca"/>
        <Part Type="papunktis" Nr="3.2" Abbr="pr. 3.2 pp." DocPartId="33202875b5dd4e4b88e0622dd45f0fa8" PartId="9e4766e2d59e4007931b63920343e9a0"/>
      </Part>
    </Part>
    <Part Type="skyrius" Nr="2" Title="PAASP RODIKLIŲ REIKŠMIŲ SKAIČIAVIMO PRINCIPAI" DocPartId="71343b3d1d6f4edd9ce04bcabfbbb402" PartId="1e0f9931856940b386b53cd58acf46b2">
      <Part Type="punktas" Nr="4" Abbr="pr. 4 p." DocPartId="46ceb493bc0f490eb28daebd301ab9bd" PartId="c690bdca974447139f062737a695f3f4"/>
      <Part Type="punktas" Nr="5" Abbr="pr. 5 p." DocPartId="e11f2fa527ac44018a31595afda8ab6b" PartId="0819c8c733124406a0233d5ec23393f6"/>
      <Part Type="punktas" Nr="6" Abbr="pr. 6 p." DocPartId="2d297580d81a4a7284b81fbff057e982" PartId="6281c9e976114f5fa2e1f973bc3cdcc4"/>
      <Part Type="punktas" Nr="7" Abbr="pr. 7 p." DocPartId="2d4680cf37554779b158f6acd7d73315" PartId="d98015a9dcdb4419af9c90ac208ed377"/>
      <Part Type="punktas" Nr="8" Abbr="pr. 8 p." DocPartId="d5fc832413f04e03b665adb8659228eb" PartId="246a279a3d6e4b069770b0eb6520f5e9"/>
      <Part Type="punktas" Nr="9" Abbr="pr. 9 p." DocPartId="7edf66d20b9b4ee68c044b03c314800f" PartId="65ad09ff0b0b4d0fa4860da042a8853c"/>
      <Part Type="punktas" Nr="10" Abbr="pr. 10 p." DocPartId="bc3206b82a7440738e8bdf178d6582fb" PartId="6959bf1484b6425799757457cf8ae2ab"/>
      <Part Type="punktas" Nr="11" Abbr="pr. 11 p." DocPartId="aaba1799851948ff8122bef47aa84038" PartId="a3565e2cd99449cbbbc9fd1f2aad910f">
        <Part Type="papunktis" Nr="11.1" Abbr="pr. 11.1 pp." DocPartId="101eec80f344470b86febde58f58b1df" PartId="6aaf28f903dd43c3863d4f8819046169"/>
        <Part Type="papunktis" Nr="11.2" Abbr="pr. 11.2 pp." DocPartId="198dc7729ba94494a1d606c533f68597" PartId="6d93429e89334751997fe2625e291a31"/>
        <Part Type="papunktis" Nr="11.3" Abbr="pr. 11.3 pp." DocPartId="74d28400ee3f4a65ae9bb54ec959d0e6" PartId="0bc751a43ea64341b593b3e67a7224e5"/>
      </Part>
      <Part Type="punktas" Nr="11-1" Abbr="pr. 11-1 p." DocPartId="41cade268e9942f9b05694e743d2b066" PartId="7a61d5e038b940f7a091c51945b0e1dd"/>
      <Part Type="punktas" Nr="11-2" Abbr="pr. 11-2 p." DocPartId="ae7bf3e6878a46eaa8b0683f9a50d00c" PartId="9bb125497d95459f9e521421e8b95cbc">
        <Part Type="papunktis" Nr="11-2.1" Abbr="pr. 11-2.1 pp." DocPartId="b10641ce6cbd4265815bb3f15cc43fb0" PartId="7c63559238a14defb0a9042086a4d11a"/>
        <Part Type="papunktis" Nr="11-2.2" Abbr="pr. 11-2.2 pp." DocPartId="e08c3049c0a5498aafe8172c14c2e531" PartId="ddfa45bcb2454970a5bbc16d78494e54"/>
        <Part Type="papunktis" Nr="11-2.3" Abbr="pr. 11-2.3 pp." DocPartId="ab637164167b48538c82e34adb4b55e2" PartId="a8c6d2a5afec4d858eeba3cbfa0be3d2"/>
      </Part>
    </Part>
    <Part Type="skyrius" Nr="3" Title="PAASP RODIKLIŲ SĄRAŠAS IR PAASP RODIKLIŲ REIKŠMIŲ SKAIČIAVIMO TAISYKLĖS" DocPartId="4d3f2e6d90c24c4ca82730867783883b" PartId="851595eb54314e638032c4ffd2db47fe">
      <Part Type="punktas" Nr="12" Abbr="pr. 12 p." DocPartId="68003c63633d4329a3bddd03b169fde4" PartId="d097dbba15664efab85b8a1ba9c7ad93"/>
    </Part>
  </Part>
  <Part Type="priedas" Nr="2" Abbr="2 pr." Title="ŠEIMOS GYDYTOJO KOMANDOS NARIŲ FUNKCIJOS" DocPartId="4746907359e3423c97ea2910f4142b95" PartId="15ae02abd92c4d5fa46491daf724700a">
    <Part Type="punktas" Nr="1" Abbr="2 pr. 1 p." DocPartId="842ec6bb91a74a8c808d65f9a3fb6d96" PartId="d21b4b0090fc47ebbf9874bc357b1a85">
      <Part Type="papunktis" Nr="1.1" Abbr="2 pr. 1.1 pp." DocPartId="c617c067ed474bf8a600044bd31f25c1" PartId="8cad976b66814708a03f2e65893c079d"/>
      <Part Type="papunktis" Nr="1.2" Abbr="2 pr. 1.2 pp." DocPartId="54860b772f8c431da32259736763d8f6" PartId="4533d73bca554ad198ddf97d1242ceb5"/>
      <Part Type="papunktis" Nr="1.3" Abbr="2 pr. 1.3 pp." DocPartId="3c0509853cee4f939b072d1d5c5510ec" PartId="d552d58c34cb4635b201df8b2bb34584"/>
      <Part Type="papunktis" Nr="1.4" Abbr="2 pr. 1.4 pp." DocPartId="1881bb1266b74f429358f79502a6900f" PartId="a5aface5ffa146618dbf6b8705bec7e6"/>
      <Part Type="papunktis" Nr="1.5" Abbr="2 pr. 1.5 pp." DocPartId="2156d542a141499d9d4a89eda4b02882" PartId="781a0f6c80f54eaca7d901f6a6c35e75"/>
    </Part>
    <Part Type="punktas" Nr="2" Abbr="2 pr. 2 p." DocPartId="3c5e31fb78204b23b0d78f1d6a6b2791" PartId="78e5aac968e94f11ac9e38f40ed17e7d">
      <Part Type="papunktis" Nr="2.1" Abbr="2 pr. 2.1 pp." DocPartId="c164e29fbac048a0be56a6285fa1d4cb" PartId="67c0faf10fbf4cecb3ab2bab02ee5003"/>
      <Part Type="papunktis" Nr="2.2" Abbr="2 pr. 2.2 pp." DocPartId="4385d03eb5274f9b99dc548c09419a55" PartId="4df756ed990140beaf73a1422c741dbe"/>
      <Part Type="papunktis" Nr="2.3" Abbr="2 pr. 2.3 pp." DocPartId="8f13a06028d544e7a1ffa7f6a9dbafb4" PartId="0fe842b3a6194a6cbbffe9cef9443122"/>
      <Part Type="papunktis" Nr="2.4" Abbr="2 pr. 2.4 pp." DocPartId="77f9d5b2cc9f406e9d9296e6444dd226" PartId="684b78ebca314921916a9f17be5af4f1"/>
      <Part Type="papunktis" Nr="2.5" Abbr="2 pr. 2.5 pp." DocPartId="d62ca2ea676a41728784caa2cfea1896" PartId="d8a048ef24294d0b86ccbdc2e9650034"/>
    </Part>
    <Part Type="punktas" Nr="3" Abbr="2 pr. 3 p." DocPartId="cdc9708e6be2427a9fd03e8eb8d2c5cc" PartId="e1a34a319fd8466cafdf8dcc32042ef5"/>
    <Part Type="punktas" Nr="4" Abbr="2 pr. 4 p." DocPartId="fd7eb40091114495a5ab553a367d40b8" PartId="1aeaa69ebc9849f98ff70721d0465d5f"/>
    <Part Type="punktas" Nr="5" Abbr="2 pr. 5 p." DocPartId="e4457ec230cc4034af938164b907fdd7" PartId="5eca46ea815c4bf1a6777432305b31ba"/>
    <Part Type="punktas" Nr="6" Abbr="2 pr. 6 p." DocPartId="0083ab2bed74418eb0f9ab54158851d5" PartId="85f1c4ca67324998871699e8ae5b950a"/>
    <Part Type="punktas" Nr="7" Abbr="2 pr. 7 p." DocPartId="bc60f3dcf3924596a9fe2fa9146b3159" PartId="4f6bb9a61db34e6cbff84bdb983f172f"/>
    <Part Type="punktas" Nr="8" Abbr="2 pr. 8 p." DocPartId="08a12bc1d2d64142ae4699949825e509" PartId="0f3491f42d704160bc93bd9d80b7aef4"/>
    <Part Type="punktas" Nr="9" Abbr="2 pr. 9 p." DocPartId="e435001dc4f249ad9599dd223b9d5ac9" PartId="31896dc4302d48cd9cbccb47b9826e56"/>
    <Part Type="pabaiga" DocPartId="4bc73168e03c406798718206dd33a201" PartId="c87ec6a206354b0b8bca802a2672b81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67D6594-ABBE-42E3-863A-75EE542B7DCE}">
  <ds:schemaRefs>
    <ds:schemaRef ds:uri="http://schemas.openxmlformats.org/officeDocument/2006/bibliography"/>
  </ds:schemaRefs>
</ds:datastoreItem>
</file>

<file path=customXml/itemProps2.xml><?xml version="1.0" encoding="utf-8"?>
<ds:datastoreItem xmlns:ds="http://schemas.openxmlformats.org/officeDocument/2006/customXml" ds:itemID="{B506DDAB-137D-4609-836D-A9B9AA08EF66}">
  <ds:schemaRefs>
    <ds:schemaRef ds:uri="http://lrs.lt/TAIS/DocParts"/>
  </ds:schemaRefs>
</ds:datastoreItem>
</file>

<file path=customXml/itemProps3.xml><?xml version="1.0" encoding="utf-8"?>
<ds:datastoreItem xmlns:ds="http://schemas.openxmlformats.org/officeDocument/2006/customXml" ds:itemID="{99DF2369-BE38-4243-A6C4-8E473C8F488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496</TotalTime>
  <Pages>77</Pages>
  <Words>118154</Words>
  <Characters>67348</Characters>
  <Application>Microsoft Office Word</Application>
  <DocSecurity>0</DocSecurity>
  <Lines>561</Lines>
  <Paragraphs>370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SVEIKATOS APSAUGOS MINISTRO</vt:lpstr>
    </vt:vector>
  </TitlesOfParts>
  <Company>Leksinova</Company>
  <LinksUpToDate>false</LinksUpToDate>
  <CharactersWithSpaces>185132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2015-08-05T20:19:00Z</dcterms:created>
  <dc:creator>Algirdas Andrijauskas</dc:creator>
  <lastModifiedBy>TAMALIŪNIENĖ Vilija</lastModifiedBy>
  <dcterms:modified xsi:type="dcterms:W3CDTF">2026-07-06T09:16:00Z</dcterms:modified>
  <revision>175</revision>
  <dc:title>LIETUVOS RESPUBLIKOS SVEIKATOS APSAUGOS MINISTRO</dc:title>
</coreProperties>
</file>