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5b0ccc753b649f7bb471a4333787f1b"/>
        <w:lock w:val="sdtLocked"/>
        <w:richText/>
      </w:sdtPr>
      <w:sdtContent>
        <w:p>
          <w:pPr>
            <w:jc w:val="both"/>
            <w:rPr>
              <w:rFonts w:ascii="Times New Roman" w:hAnsi="Times New Roman"/>
            </w:rPr>
          </w:pPr>
          <w:r>
            <w:rPr>
              <w:rFonts w:ascii="Times New Roman" w:hAnsi="Times New Roman"/>
              <w:b/>
              <w:i/>
            </w:rPr>
            <w:t>Suvestinė redakcija nuo 2025-03-06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AD0E88AB790">
            <w:r w:rsidRPr="00532B9F">
              <w:rPr>
                <w:rFonts w:ascii="Times New Roman" w:eastAsia="MS Mincho" w:hAnsi="Times New Roman"/>
                <w:sz w:val="20"/>
                <w:i/>
                <w:iCs/>
                <w:color w:val="0000FF" w:themeColor="hyperlink"/>
                <w:u w:val="single"/>
              </w:rPr>
              <w:t>128-4621</w:t>
            </w:r>
          </w:fldSimple>
          <w:r>
            <w:rPr>
              <w:rFonts w:ascii="Times New Roman" w:eastAsia="MS Mincho" w:hAnsi="Times New Roman"/>
              <w:sz w:val="20"/>
              <w:i/>
              <w:iCs/>
            </w:rPr>
            <w:t>, i. k. 1052250ISAK07/3-467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2020-06-12:</w:t>
          </w:r>
        </w:p>
        <w:p>
          <w:pPr>
            <w:rPr>
              <w:rFonts w:ascii="Times New Roman" w:hAnsi="Times New Roman"/>
              <w:sz w:val="20"/>
              <w:i/>
            </w:rPr>
          </w:pPr>
          <w:r>
            <w:rPr>
              <w:rFonts w:ascii="Times New Roman" w:hAnsi="Times New Roman"/>
              <w:sz w:val="20"/>
              <w:i/>
            </w:rPr>
            <w:t xml:space="preserve">Nr. </w:t>
          </w:r>
          <w:fldSimple w:instr="HYPERLINK https://www.e-tar.lt/portal/legalAct.html?documentId=67f01b60abe911eab9d9cd0c85e0b745">
            <w:r w:rsidRPr="00532B9F">
              <w:rPr>
                <w:rFonts w:ascii="Times New Roman" w:eastAsia="MS Mincho" w:hAnsi="Times New Roman"/>
                <w:sz w:val="20"/>
                <w:i/>
                <w:iCs/>
                <w:color w:val="0000FF" w:themeColor="hyperlink"/>
                <w:u w:val="single"/>
              </w:rPr>
              <w:t>V-1428/D1-355/3-370</w:t>
            </w:r>
          </w:fldSimple>
          <w:r>
            <w:rPr>
              <w:rFonts w:ascii="Times New Roman" w:eastAsia="MS Mincho" w:hAnsi="Times New Roman"/>
              <w:sz w:val="20"/>
              <w:i/>
              <w:iCs/>
            </w:rPr>
            <w:t>,
2020-06-10,
paskelbta TAR 2020-06-11, i. k. 2020-12844                </w:t>
          </w:r>
        </w:p>
        <w:p>
          <w:pPr>
            <w:rPr>
              <w:rFonts w:ascii="Times New Roman" w:hAnsi="Times New Roman"/>
              <w:sz w:val="22"/>
            </w:rPr>
          </w:pPr>
        </w:p>
        <w:p>
          <w:pPr>
            <w:jc w:val="center"/>
            <w:rPr>
              <w:rFonts w:eastAsia="Calibri"/>
              <w:b/>
              <w:szCs w:val="22"/>
            </w:rPr>
          </w:pPr>
          <w:r>
            <w:rPr>
              <w:rFonts w:eastAsia="Calibri"/>
              <w:b/>
              <w:szCs w:val="22"/>
            </w:rPr>
            <w:t>LIETUVOS RESPUBLIKOS SVEIKATOS APSAUGOS MINISTRAS</w:t>
          </w:r>
        </w:p>
        <w:p>
          <w:pPr>
            <w:rPr>
              <w:rFonts w:eastAsia="Calibri"/>
              <w:szCs w:val="22"/>
            </w:rPr>
          </w:pPr>
        </w:p>
        <w:p>
          <w:pPr>
            <w:jc w:val="center"/>
            <w:rPr>
              <w:rFonts w:eastAsia="Calibri"/>
              <w:b/>
              <w:szCs w:val="22"/>
            </w:rPr>
          </w:pPr>
          <w:r>
            <w:rPr>
              <w:rFonts w:eastAsia="Calibri"/>
              <w:b/>
              <w:szCs w:val="22"/>
            </w:rPr>
            <w:t>LIETUVOS RESPUBLIKOS APLINKOS MINISTRAS</w:t>
          </w:r>
        </w:p>
        <w:p>
          <w:pPr>
            <w:rPr>
              <w:rFonts w:eastAsia="Calibri"/>
              <w:szCs w:val="22"/>
            </w:rPr>
          </w:pPr>
        </w:p>
        <w:p>
          <w:pPr>
            <w:jc w:val="center"/>
            <w:rPr>
              <w:rFonts w:eastAsia="Calibri"/>
              <w:b/>
              <w:szCs w:val="22"/>
            </w:rPr>
          </w:pPr>
          <w:r>
            <w:rPr>
              <w:rFonts w:eastAsia="Calibri"/>
              <w:b/>
              <w:szCs w:val="22"/>
            </w:rPr>
            <w:t>LIETUVOS RESPUBLIKOS SUSISIEKIMO MINISTRAS</w:t>
          </w:r>
        </w:p>
        <w:p>
          <w:pPr>
            <w:rPr>
              <w:rFonts w:eastAsia="Calibri"/>
              <w:szCs w:val="22"/>
            </w:rPr>
          </w:pPr>
        </w:p>
        <w:p>
          <w:pPr>
            <w:jc w:val="center"/>
            <w:rPr>
              <w:rFonts w:eastAsia="Calibri"/>
              <w:b/>
              <w:szCs w:val="22"/>
            </w:rPr>
          </w:pPr>
          <w:r>
            <w:rPr>
              <w:rFonts w:eastAsia="Calibri"/>
              <w:b/>
              <w:szCs w:val="22"/>
            </w:rPr>
            <w:t>ĮSAKYMAS</w:t>
          </w:r>
        </w:p>
        <w:p>
          <w:pPr>
            <w:ind w:firstLine="709"/>
            <w:jc w:val="center"/>
            <w:rPr>
              <w:rFonts w:eastAsia="Calibri"/>
              <w:b/>
              <w:szCs w:val="22"/>
            </w:rPr>
          </w:pPr>
          <w:r>
            <w:rPr>
              <w:rFonts w:eastAsia="Calibri"/>
              <w:b/>
              <w:szCs w:val="22"/>
            </w:rPr>
            <w:t>DĖL EUROPOS SĄJUNGOS TRIUKŠMO VALDYMO SEKTORIAUS TEISĖS AKTŲ REIKALAVIMŲ ĮGYVENDINIMO ATASKAITŲ TEIKIMO EUROPOS KOMISIJAI TAISYKLIŲ PATVIRTINIMO</w:t>
          </w:r>
        </w:p>
        <w:p>
          <w:pPr>
            <w:jc w:val="center"/>
            <w:rPr>
              <w:rFonts w:eastAsia="Calibri"/>
              <w:b/>
              <w:szCs w:val="22"/>
            </w:rPr>
          </w:pPr>
        </w:p>
        <w:p>
          <w:pPr>
            <w:jc w:val="center"/>
            <w:rPr>
              <w:rFonts w:eastAsia="Calibri"/>
              <w:b/>
              <w:szCs w:val="22"/>
            </w:rPr>
          </w:pPr>
          <w:r>
            <w:rPr>
              <w:szCs w:val="24"/>
            </w:rPr>
            <w:t>2005 m. spalio 25 d. Nr. V-787/D1-507/3-467</w:t>
          </w:r>
        </w:p>
        <w:p>
          <w:pPr>
            <w:jc w:val="center"/>
            <w:rPr>
              <w:rFonts w:eastAsia="Calibri"/>
              <w:szCs w:val="22"/>
            </w:rPr>
          </w:pPr>
          <w:r>
            <w:rPr>
              <w:rFonts w:eastAsia="Calibri"/>
              <w:szCs w:val="22"/>
            </w:rPr>
            <w:t>Vilnius</w:t>
          </w:r>
        </w:p>
        <w:p>
          <w:pPr>
            <w:jc w:val="center"/>
            <w:rPr>
              <w:rFonts w:eastAsia="Calibri"/>
              <w:b/>
              <w:szCs w:val="22"/>
            </w:rPr>
          </w:pPr>
        </w:p>
        <w:sdt>
          <w:sdtPr>
            <w:alias w:val="preambule"/>
            <w:tag w:val="part_29d1ec482f624506a63eb450123ed5e0"/>
            <w:lock w:val="sdtLocked"/>
            <w:richText/>
          </w:sdtPr>
          <w:sdtContent>
            <w:p>
              <w:pPr>
                <w:ind w:firstLine="709"/>
                <w:jc w:val="both"/>
                <w:rPr>
                  <w:rFonts w:eastAsia="Calibri"/>
                  <w:szCs w:val="22"/>
                </w:rPr>
              </w:pPr>
              <w:r>
                <w:rPr>
                  <w:rFonts w:eastAsia="Calibri"/>
                  <w:szCs w:val="22"/>
                </w:rPr>
                <w:t>Vadovaudamiesi Lietuvos Respublikos triukšmo valdymo įstatymo 25 straipsnio 2 dalimi, atsižvelgdami į Lietuvos Respublikos Vyriausybės 2004 m. balandžio 7 d. nutarimo Nr. 388 „Dėl Informacijos ir ataskaitų, susijusių su Europos Sąjungos aplinkos sektoriaus teisės aktų įgyvendinimu ir teikiamų Europos Komisijai, Europos cheminių medžiagų agentūrai ir Europos aplinkos agentūrai rengimo ir teikimo tvarkos aprašo patvirtinimo“ 2 punkto nuostatas bei įgyvendindami 2002 m. birželio 25 d. Europos Parlamento ir Tarybos direktyvą 2002/49/EB dėl aplinkos triukšmo įvertinimo ir valdymo su paskutiniais pakeitimais, padarytais 2019 m. birželio 5 d. Europos Parlamento ir Tarybos reglamentu (ES) 2019/1010,</w:t>
              </w:r>
            </w:p>
          </w:sdtContent>
        </w:sdt>
        <w:sdt>
          <w:sdtPr>
            <w:alias w:val="pastraipa"/>
            <w:tag w:val="part_768bbc0b0caa4d58a5d5f761590e7121"/>
            <w:lock w:val="sdtLocked"/>
            <w:richText/>
          </w:sdtPr>
          <w:sdtContent>
            <w:p>
              <w:pPr>
                <w:ind w:firstLine="709"/>
                <w:jc w:val="both"/>
              </w:pPr>
              <w:r>
                <w:rPr>
                  <w:rFonts w:eastAsia="Calibri"/>
                  <w:color w:val="000000"/>
                  <w:szCs w:val="24"/>
                </w:rPr>
                <w:t>t v i r t i n a m e Europos Sąjungos triukšmo valdymo sektoriaus teisės aktų reikalavimų įgyvendinimo ataskaitų teikimo Europos Komisijai taisykles (pridedama).</w:t>
              </w:r>
              <w:r>
                <w:t xml:space="preserve"> </w:t>
              </w:r>
            </w:p>
          </w:sdtContent>
        </w:sdt>
        <w:sdt>
          <w:sdtPr>
            <w:alias w:val="signatura"/>
            <w:tag w:val="part_3373abf349174d45a668110c9cfba1c7"/>
            <w:lock w:val="sdtLocked"/>
            <w:richText/>
          </w:sdtPr>
          <w:sdtContent>
            <w:p>
              <w:pPr>
                <w:tabs>
                  <w:tab w:val="right" w:pos="9639"/>
                </w:tabs>
              </w:pPr>
            </w:p>
            <w:p>
              <w:pPr>
                <w:tabs>
                  <w:tab w:val="right" w:pos="9639"/>
                </w:tabs>
              </w:pPr>
            </w:p>
            <w:p>
              <w:pPr>
                <w:tabs>
                  <w:tab w:val="right" w:pos="9639"/>
                </w:tabs>
              </w:pPr>
            </w:p>
            <w:p>
              <w:pPr>
                <w:tabs>
                  <w:tab w:val="right" w:pos="9639"/>
                </w:tabs>
              </w:pPr>
              <w:r>
                <w:t>SVEIKATOS APSAUGOS MINISTRAS</w:t>
                <w:tab/>
                <w:t>ŽILVINAS PADAIGA</w:t>
              </w:r>
            </w:p>
            <w:p>
              <w:pPr>
                <w:tabs>
                  <w:tab w:val="right" w:pos="9639"/>
                </w:tabs>
              </w:pPr>
            </w:p>
            <w:p>
              <w:pPr>
                <w:tabs>
                  <w:tab w:val="right" w:pos="9639"/>
                </w:tabs>
              </w:pPr>
            </w:p>
            <w:p>
              <w:pPr>
                <w:tabs>
                  <w:tab w:val="right" w:pos="9639"/>
                </w:tabs>
              </w:pPr>
            </w:p>
            <w:p>
              <w:pPr>
                <w:tabs>
                  <w:tab w:val="right" w:pos="9639"/>
                </w:tabs>
              </w:pPr>
              <w:r>
                <w:t>APLINKOS MINISTRAS</w:t>
                <w:tab/>
                <w:t>ARŪNAS KUNDROTAS</w:t>
              </w:r>
            </w:p>
            <w:p>
              <w:pPr>
                <w:tabs>
                  <w:tab w:val="right" w:pos="9639"/>
                </w:tabs>
              </w:pPr>
            </w:p>
            <w:p>
              <w:pPr>
                <w:tabs>
                  <w:tab w:val="right" w:pos="9639"/>
                </w:tabs>
              </w:pPr>
            </w:p>
            <w:p>
              <w:pPr>
                <w:tabs>
                  <w:tab w:val="right" w:pos="9639"/>
                </w:tabs>
              </w:pPr>
            </w:p>
            <w:p>
              <w:pPr>
                <w:tabs>
                  <w:tab w:val="right" w:pos="9639"/>
                </w:tabs>
              </w:pPr>
              <w:r>
                <w:t>SUSISIEKIMO MINISTRAS</w:t>
                <w:tab/>
                <w:t>PETRAS ČĖSNA</w:t>
              </w:r>
            </w:p>
            <w:p>
              <w:pPr>
                <w:tabs>
                  <w:tab w:val="right" w:pos="9639"/>
                </w:tabs>
                <w:rPr>
                  <w:color w:val="000000"/>
                </w:rPr>
              </w:pPr>
            </w:p>
          </w:sdtContent>
        </w:sdt>
        <w:p/>
      </w:sdtContent>
    </w:sdt>
    <w:sdt>
      <w:sdtPr>
        <w:alias w:val="patvirtinta"/>
        <w:tag w:val="part_1aa9c4d8556f4f72a4544dda6d3bbc5b"/>
        <w:lock w:val="sdtLocked"/>
        <w:richText/>
      </w:sdtPr>
      <w:sdtContent>
        <w:p>
          <w:pPr>
            <w:tabs>
              <w:tab w:val="right" w:pos="9638"/>
            </w:tabs>
            <w:ind w:left="4962"/>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567" w:gutter="0"/>
              <w:cols w:space="1296"/>
              <w:titlePg/>
              <w:docGrid w:linePitch="360"/>
            </w:sectPr>
          </w:pPr>
        </w:p>
        <w:p>
          <w:pPr>
            <w:tabs>
              <w:tab w:val="right" w:pos="9638"/>
            </w:tabs>
            <w:ind w:left="4962"/>
            <w:rPr>
              <w:rFonts w:eastAsia="Calibri"/>
              <w:szCs w:val="22"/>
            </w:rPr>
          </w:pPr>
          <w:r>
            <w:rPr>
              <w:rFonts w:eastAsia="Calibri"/>
              <w:szCs w:val="22"/>
            </w:rPr>
            <w:t>PATVIRTINTA</w:t>
          </w:r>
        </w:p>
        <w:p>
          <w:pPr>
            <w:tabs>
              <w:tab w:val="right" w:pos="9638"/>
            </w:tabs>
            <w:ind w:left="4962"/>
            <w:rPr>
              <w:rFonts w:eastAsia="Calibri"/>
              <w:szCs w:val="22"/>
            </w:rPr>
          </w:pPr>
          <w:r>
            <w:rPr>
              <w:rFonts w:eastAsia="Calibri"/>
              <w:szCs w:val="22"/>
            </w:rPr>
            <w:t>Lietuvos Respublikos sveikatos apsaugos</w:t>
          </w:r>
        </w:p>
        <w:p>
          <w:pPr>
            <w:tabs>
              <w:tab w:val="right" w:pos="9638"/>
            </w:tabs>
            <w:ind w:left="4962"/>
            <w:rPr>
              <w:rFonts w:eastAsia="Calibri"/>
              <w:szCs w:val="22"/>
            </w:rPr>
          </w:pPr>
          <w:r>
            <w:rPr>
              <w:rFonts w:eastAsia="Calibri"/>
              <w:szCs w:val="22"/>
            </w:rPr>
            <w:t>ministro, Lietuvos Respublikos aplinkos</w:t>
          </w:r>
        </w:p>
        <w:p>
          <w:pPr>
            <w:tabs>
              <w:tab w:val="right" w:pos="9638"/>
            </w:tabs>
            <w:ind w:left="4962"/>
            <w:rPr>
              <w:rFonts w:eastAsia="Calibri"/>
              <w:szCs w:val="22"/>
            </w:rPr>
          </w:pPr>
          <w:r>
            <w:rPr>
              <w:rFonts w:eastAsia="Calibri"/>
              <w:szCs w:val="22"/>
            </w:rPr>
            <w:t>ministro ir Lietuvos Respublikos susisiekimo</w:t>
          </w:r>
        </w:p>
        <w:p>
          <w:pPr>
            <w:tabs>
              <w:tab w:val="right" w:pos="9638"/>
            </w:tabs>
            <w:ind w:left="4962"/>
            <w:rPr>
              <w:rFonts w:eastAsia="Calibri"/>
              <w:szCs w:val="22"/>
            </w:rPr>
          </w:pPr>
          <w:r>
            <w:rPr>
              <w:rFonts w:eastAsia="Calibri"/>
              <w:szCs w:val="22"/>
            </w:rPr>
            <w:t xml:space="preserve">ministro 2005 m. spalio 25 d. įsakymu </w:t>
          </w:r>
        </w:p>
        <w:p>
          <w:pPr>
            <w:tabs>
              <w:tab w:val="right" w:pos="9638"/>
            </w:tabs>
            <w:ind w:left="4962"/>
            <w:rPr>
              <w:rFonts w:eastAsia="Calibri"/>
              <w:szCs w:val="22"/>
            </w:rPr>
          </w:pPr>
          <w:r>
            <w:rPr>
              <w:rFonts w:eastAsia="Calibri"/>
              <w:szCs w:val="22"/>
            </w:rPr>
            <w:t>Nr. V-787/D1-507/3-467</w:t>
          </w:r>
        </w:p>
        <w:p>
          <w:pPr>
            <w:tabs>
              <w:tab w:val="right" w:pos="9638"/>
            </w:tabs>
            <w:ind w:left="4962"/>
            <w:rPr>
              <w:rFonts w:eastAsia="Calibri"/>
              <w:szCs w:val="22"/>
            </w:rPr>
          </w:pPr>
          <w:r>
            <w:rPr>
              <w:rFonts w:eastAsia="Calibri"/>
              <w:szCs w:val="22"/>
            </w:rPr>
            <w:t>(Lietuvos Respublikos sveikatos apsaugos</w:t>
          </w:r>
        </w:p>
        <w:p>
          <w:pPr>
            <w:tabs>
              <w:tab w:val="right" w:pos="9638"/>
            </w:tabs>
            <w:ind w:left="4962"/>
            <w:rPr>
              <w:rFonts w:eastAsia="Calibri"/>
              <w:szCs w:val="22"/>
            </w:rPr>
          </w:pPr>
          <w:r>
            <w:rPr>
              <w:rFonts w:eastAsia="Calibri"/>
              <w:szCs w:val="22"/>
            </w:rPr>
            <w:t>ministro, Lietuvos Respublikos aplinkos</w:t>
          </w:r>
        </w:p>
        <w:p>
          <w:pPr>
            <w:tabs>
              <w:tab w:val="right" w:pos="9638"/>
            </w:tabs>
            <w:ind w:left="4962"/>
            <w:rPr>
              <w:rFonts w:eastAsia="Calibri"/>
              <w:szCs w:val="22"/>
            </w:rPr>
          </w:pPr>
          <w:r>
            <w:rPr>
              <w:rFonts w:eastAsia="Calibri"/>
              <w:szCs w:val="22"/>
            </w:rPr>
            <w:t>ministro ir Lietuvos Respublikos susisiekimo</w:t>
          </w:r>
        </w:p>
        <w:p>
          <w:pPr>
            <w:tabs>
              <w:tab w:val="right" w:pos="9638"/>
            </w:tabs>
            <w:ind w:left="4962"/>
            <w:rPr>
              <w:rFonts w:eastAsia="Calibri"/>
              <w:szCs w:val="22"/>
            </w:rPr>
          </w:pPr>
          <w:r>
            <w:rPr>
              <w:rFonts w:eastAsia="Calibri"/>
              <w:szCs w:val="22"/>
            </w:rPr>
            <w:t xml:space="preserve">ministro 2025 m. kovo 5 d. </w:t>
          </w:r>
        </w:p>
        <w:p>
          <w:pPr>
            <w:tabs>
              <w:tab w:val="right" w:pos="9638"/>
            </w:tabs>
            <w:ind w:left="4962"/>
            <w:rPr>
              <w:rFonts w:eastAsia="Calibri"/>
              <w:szCs w:val="22"/>
            </w:rPr>
          </w:pPr>
          <w:r>
            <w:rPr>
              <w:rFonts w:eastAsia="Calibri"/>
              <w:szCs w:val="22"/>
            </w:rPr>
            <w:t>įsakymo Nr. V-169/D1-24/3-86</w:t>
          </w:r>
        </w:p>
        <w:p>
          <w:pPr>
            <w:tabs>
              <w:tab w:val="right" w:pos="9638"/>
            </w:tabs>
            <w:ind w:left="4962"/>
            <w:rPr>
              <w:rFonts w:eastAsia="Calibri"/>
              <w:szCs w:val="22"/>
            </w:rPr>
          </w:pPr>
          <w:r>
            <w:rPr>
              <w:rFonts w:eastAsia="Calibri"/>
              <w:szCs w:val="22"/>
            </w:rPr>
            <w:t>redakcija)</w:t>
          </w:r>
        </w:p>
        <w:p>
          <w:pPr>
            <w:tabs>
              <w:tab w:val="right" w:pos="9638"/>
            </w:tabs>
            <w:ind w:left="4962"/>
            <w:rPr>
              <w:rFonts w:eastAsia="Calibri"/>
              <w:szCs w:val="22"/>
            </w:rPr>
          </w:pPr>
        </w:p>
        <w:p>
          <w:pPr>
            <w:tabs>
              <w:tab w:val="right" w:pos="9638"/>
            </w:tabs>
            <w:ind w:left="4962"/>
            <w:rPr>
              <w:rFonts w:eastAsia="Calibri"/>
              <w:szCs w:val="22"/>
            </w:rPr>
          </w:pPr>
        </w:p>
        <w:p>
          <w:pPr>
            <w:tabs>
              <w:tab w:val="right" w:pos="9638"/>
            </w:tabs>
            <w:rPr>
              <w:rFonts w:eastAsia="Calibri"/>
              <w:szCs w:val="22"/>
            </w:rPr>
          </w:pPr>
        </w:p>
        <w:p>
          <w:pPr>
            <w:tabs>
              <w:tab w:val="right" w:pos="9638"/>
            </w:tabs>
            <w:jc w:val="center"/>
            <w:rPr>
              <w:rFonts w:eastAsia="Calibri"/>
              <w:b/>
              <w:szCs w:val="22"/>
            </w:rPr>
          </w:pPr>
          <w:sdt>
            <w:sdtPr>
              <w:alias w:val="Pavadinimas"/>
              <w:tag w:val="title_1aa9c4d8556f4f72a4544dda6d3bbc5b"/>
              <w:lock w:val="sdtLocked"/>
              <w:richText/>
            </w:sdtPr>
            <w:sdtContent>
              <w:r>
                <w:rPr>
                  <w:rFonts w:eastAsia="Calibri"/>
                  <w:b/>
                  <w:szCs w:val="22"/>
                </w:rPr>
                <w:t>EUROPOS SĄJUNGOS TRIUKŠMO VALDYMO SEKTORIAUS TEISĖS AKTŲ REIKALAVIMŲ ĮGYVENDINIMO ATASKAITŲ TEIKIMO EUROPOS KOMISIJAI TAISYKLĖS</w:t>
              </w:r>
            </w:sdtContent>
          </w:sdt>
        </w:p>
        <w:p>
          <w:pPr>
            <w:tabs>
              <w:tab w:val="right" w:pos="9638"/>
            </w:tabs>
            <w:rPr>
              <w:rFonts w:eastAsia="Calibri"/>
              <w:szCs w:val="22"/>
            </w:rPr>
          </w:pPr>
        </w:p>
        <w:sdt>
          <w:sdtPr>
            <w:alias w:val="1 p."/>
            <w:tag w:val="part_684dd5d4a24041fc9c3cc0391f781494"/>
            <w:lock w:val="sdtLocked"/>
            <w:richText/>
          </w:sdtPr>
          <w:sdtContent>
            <w:p>
              <w:pPr>
                <w:tabs>
                  <w:tab w:val="right" w:pos="9638"/>
                </w:tabs>
                <w:ind w:firstLine="709"/>
                <w:jc w:val="both"/>
                <w:rPr>
                  <w:rFonts w:eastAsia="Calibri"/>
                  <w:szCs w:val="22"/>
                </w:rPr>
              </w:pPr>
              <w:sdt>
                <w:sdtPr>
                  <w:alias w:val="Numeris"/>
                  <w:tag w:val="nr_684dd5d4a24041fc9c3cc0391f781494"/>
                  <w:lock w:val="sdtLocked"/>
                  <w:richText/>
                </w:sdtPr>
                <w:sdtContent>
                  <w:r>
                    <w:rPr>
                      <w:rFonts w:eastAsia="Calibri"/>
                      <w:szCs w:val="22"/>
                    </w:rPr>
                    <w:t>1</w:t>
                  </w:r>
                </w:sdtContent>
              </w:sdt>
              <w:r>
                <w:rPr>
                  <w:rFonts w:eastAsia="Calibri"/>
                  <w:szCs w:val="22"/>
                </w:rPr>
                <w:t>. Europos Sąjungos triukšmo valdymo sektoriaus teisės aktų reikalavimų įgyvendinimo ataskaitų teikimo Europos Komisijai taisyklės (toliau – Taisyklės) nustato 2002 m. birželio 25 d. Europos Parlamento ir Tarybos direktyvos 2002/49/EB dėl aplinkos triukšmo įvertinimo ir valdymo su paskutiniais pakeitimais, padarytais 2019 m. birželio 5 d. Europos Parlamento ir Tarybos reglamentu (ES) 2019/1010, įgyvendinimo Lietuvoje duomenų rinkinių teikimo Europos Komisijai tvarką.</w:t>
              </w:r>
            </w:p>
          </w:sdtContent>
        </w:sdt>
        <w:sdt>
          <w:sdtPr>
            <w:alias w:val="2 p."/>
            <w:tag w:val="part_91bbad1ef0324622b464ab310d1f4559"/>
            <w:lock w:val="sdtLocked"/>
            <w:richText/>
          </w:sdtPr>
          <w:sdtContent>
            <w:p>
              <w:pPr>
                <w:ind w:firstLine="709"/>
                <w:jc w:val="both"/>
                <w:rPr>
                  <w:rFonts w:eastAsia="Calibri"/>
                  <w:b/>
                  <w:szCs w:val="22"/>
                </w:rPr>
              </w:pPr>
              <w:sdt>
                <w:sdtPr>
                  <w:alias w:val="Numeris"/>
                  <w:tag w:val="nr_91bbad1ef0324622b464ab310d1f4559"/>
                  <w:lock w:val="sdtLocked"/>
                  <w:richText/>
                </w:sdtPr>
                <w:sdtContent>
                  <w:r>
                    <w:rPr>
                      <w:rFonts w:eastAsia="Calibri"/>
                      <w:szCs w:val="22"/>
                    </w:rPr>
                    <w:t>2</w:t>
                  </w:r>
                </w:sdtContent>
              </w:sdt>
              <w:r>
                <w:rPr>
                  <w:rFonts w:eastAsia="Calibri"/>
                  <w:szCs w:val="22"/>
                </w:rPr>
                <w:t>. Taisyklėse vartojamos sąvokos ir jų apibrėžtys:</w:t>
              </w:r>
            </w:p>
            <w:sdt>
              <w:sdtPr>
                <w:alias w:val="2.1 pp."/>
                <w:tag w:val="part_ff82739fe96a4e0aa2e2cad1a3fb5fbf"/>
                <w:lock w:val="sdtLocked"/>
                <w:richText/>
              </w:sdtPr>
              <w:sdtContent>
                <w:p>
                  <w:pPr>
                    <w:ind w:firstLine="709"/>
                    <w:jc w:val="both"/>
                    <w:rPr>
                      <w:rFonts w:eastAsia="Calibri"/>
                      <w:color w:val="000000"/>
                      <w:szCs w:val="22"/>
                    </w:rPr>
                  </w:pPr>
                  <w:sdt>
                    <w:sdtPr>
                      <w:alias w:val="Numeris"/>
                      <w:tag w:val="nr_ff82739fe96a4e0aa2e2cad1a3fb5fbf"/>
                      <w:lock w:val="sdtLocked"/>
                      <w:richText/>
                    </w:sdtPr>
                    <w:sdtContent>
                      <w:r>
                        <w:rPr>
                          <w:rFonts w:eastAsia="Calibri"/>
                          <w:szCs w:val="22"/>
                        </w:rPr>
                        <w:t>2.1</w:t>
                      </w:r>
                    </w:sdtContent>
                  </w:sdt>
                  <w:r>
                    <w:rPr>
                      <w:rFonts w:eastAsia="Calibri"/>
                      <w:szCs w:val="22"/>
                    </w:rPr>
                    <w:t xml:space="preserve">. </w:t>
                  </w:r>
                  <w:r>
                    <w:rPr>
                      <w:rFonts w:eastAsia="Calibri"/>
                      <w:b/>
                      <w:szCs w:val="22"/>
                    </w:rPr>
                    <w:t>Duomenų saugykla</w:t>
                  </w:r>
                  <w:r>
                    <w:rPr>
                      <w:rFonts w:eastAsia="Calibri"/>
                      <w:szCs w:val="22"/>
                    </w:rPr>
                    <w:t xml:space="preserve"> – </w:t>
                  </w:r>
                  <w:r>
                    <w:rPr>
                      <w:rFonts w:eastAsia="Calibri"/>
                      <w:color w:val="000000"/>
                      <w:szCs w:val="22"/>
                    </w:rPr>
                    <w:t xml:space="preserve">Europos aplinkos agentūros valdoma informacinė sistema, kurioje saugoma per valstybių narių kontroliuojamus nacionalinių duomenų teikimo ir keitimosi jais mazgus teikiama informacija apie aplinkos triukšmą ir su juo susiję duomenys. </w:t>
                  </w:r>
                </w:p>
              </w:sdtContent>
            </w:sdt>
            <w:sdt>
              <w:sdtPr>
                <w:alias w:val="2.2 pp."/>
                <w:tag w:val="part_e74df785ccce4d31942268f893759f36"/>
                <w:lock w:val="sdtLocked"/>
                <w:richText/>
              </w:sdtPr>
              <w:sdtContent>
                <w:p>
                  <w:pPr>
                    <w:tabs>
                      <w:tab w:val="right" w:pos="9638"/>
                    </w:tabs>
                    <w:ind w:firstLine="709"/>
                    <w:jc w:val="both"/>
                    <w:rPr>
                      <w:rFonts w:eastAsia="Calibri"/>
                      <w:szCs w:val="22"/>
                    </w:rPr>
                  </w:pPr>
                  <w:sdt>
                    <w:sdtPr>
                      <w:alias w:val="Numeris"/>
                      <w:tag w:val="nr_e74df785ccce4d31942268f893759f36"/>
                      <w:lock w:val="sdtLocked"/>
                      <w:richText/>
                    </w:sdtPr>
                    <w:sdtContent>
                      <w:r>
                        <w:rPr>
                          <w:rFonts w:eastAsia="Calibri"/>
                          <w:szCs w:val="22"/>
                        </w:rPr>
                        <w:t>2.2</w:t>
                      </w:r>
                    </w:sdtContent>
                  </w:sdt>
                  <w:r>
                    <w:rPr>
                      <w:rFonts w:eastAsia="Calibri"/>
                      <w:szCs w:val="22"/>
                    </w:rPr>
                    <w:t>. Kitos Taisyklėse vartojamos sąvokos suprantamos taip, kaip jos apibrėžtos Lietuvos Respublikos triukšmo valdymo įstatyme.</w:t>
                  </w:r>
                </w:p>
              </w:sdtContent>
            </w:sdt>
          </w:sdtContent>
        </w:sdt>
        <w:sdt>
          <w:sdtPr>
            <w:alias w:val="3 p."/>
            <w:tag w:val="part_80b84c37c3e043dfa82efe11dbc9afe1"/>
            <w:lock w:val="sdtLocked"/>
            <w:richText/>
          </w:sdtPr>
          <w:sdtContent>
            <w:p>
              <w:pPr>
                <w:tabs>
                  <w:tab w:val="right" w:pos="9638"/>
                </w:tabs>
                <w:ind w:firstLine="709"/>
                <w:jc w:val="both"/>
                <w:rPr>
                  <w:szCs w:val="22"/>
                </w:rPr>
              </w:pPr>
              <w:sdt>
                <w:sdtPr>
                  <w:alias w:val="Numeris"/>
                  <w:tag w:val="nr_80b84c37c3e043dfa82efe11dbc9afe1"/>
                  <w:lock w:val="sdtLocked"/>
                  <w:richText/>
                </w:sdtPr>
                <w:sdtContent>
                  <w:r>
                    <w:rPr>
                      <w:szCs w:val="22"/>
                    </w:rPr>
                    <w:t>3</w:t>
                  </w:r>
                </w:sdtContent>
              </w:sdt>
              <w:r>
                <w:rPr>
                  <w:szCs w:val="22"/>
                </w:rPr>
                <w:t>. Akcinė bendrovė „Via Lietuva“ Nacionaliniam visuomenės sveikatos centrui prie Sveikatos apsaugos ministerijos (toliau – Centras) teikia duomenų rinkinius, kuriuose yra informacija apie:</w:t>
              </w:r>
            </w:p>
            <w:sdt>
              <w:sdtPr>
                <w:alias w:val="3.1 pp."/>
                <w:tag w:val="part_314bbd3b0e72492e8d29404b5a272913"/>
                <w:lock w:val="sdtLocked"/>
                <w:richText/>
              </w:sdtPr>
              <w:sdtContent>
                <w:p>
                  <w:pPr>
                    <w:tabs>
                      <w:tab w:val="right" w:pos="9638"/>
                    </w:tabs>
                    <w:ind w:firstLine="709"/>
                    <w:jc w:val="both"/>
                    <w:rPr>
                      <w:rFonts w:eastAsia="Calibri"/>
                      <w:szCs w:val="22"/>
                    </w:rPr>
                  </w:pPr>
                  <w:sdt>
                    <w:sdtPr>
                      <w:alias w:val="Numeris"/>
                      <w:tag w:val="nr_314bbd3b0e72492e8d29404b5a272913"/>
                      <w:lock w:val="sdtLocked"/>
                      <w:richText/>
                    </w:sdtPr>
                    <w:sdtContent>
                      <w:r>
                        <w:rPr>
                          <w:rFonts w:eastAsia="Calibri"/>
                          <w:szCs w:val="22"/>
                        </w:rPr>
                        <w:t>3.1</w:t>
                      </w:r>
                    </w:sdtContent>
                  </w:sdt>
                  <w:r>
                    <w:rPr>
                      <w:rFonts w:eastAsia="Calibri"/>
                      <w:szCs w:val="22"/>
                    </w:rPr>
                    <w:t xml:space="preserve">. </w:t>
                  </w:r>
                  <w:r>
                    <w:rPr>
                      <w:szCs w:val="22"/>
                    </w:rPr>
                    <w:t xml:space="preserve">ne aglomeracijose esančius </w:t>
                  </w:r>
                  <w:r>
                    <w:rPr>
                      <w:rFonts w:eastAsia="Calibri"/>
                      <w:szCs w:val="22"/>
                    </w:rPr>
                    <w:t>pagrindinius kelius (toliau – keliai);</w:t>
                  </w:r>
                </w:p>
              </w:sdtContent>
            </w:sdt>
            <w:sdt>
              <w:sdtPr>
                <w:alias w:val="3.2 pp."/>
                <w:tag w:val="part_28abe467a8934e119d7736c156f5e664"/>
                <w:lock w:val="sdtLocked"/>
                <w:richText/>
              </w:sdtPr>
              <w:sdtContent>
                <w:p>
                  <w:pPr>
                    <w:tabs>
                      <w:tab w:val="right" w:pos="9638"/>
                    </w:tabs>
                    <w:ind w:firstLine="709"/>
                    <w:jc w:val="both"/>
                    <w:rPr>
                      <w:rFonts w:eastAsia="Calibri"/>
                      <w:szCs w:val="22"/>
                    </w:rPr>
                  </w:pPr>
                  <w:sdt>
                    <w:sdtPr>
                      <w:alias w:val="Numeris"/>
                      <w:tag w:val="nr_28abe467a8934e119d7736c156f5e664"/>
                      <w:lock w:val="sdtLocked"/>
                      <w:richText/>
                    </w:sdtPr>
                    <w:sdtContent>
                      <w:r>
                        <w:rPr>
                          <w:rFonts w:eastAsia="Calibri"/>
                          <w:szCs w:val="22"/>
                        </w:rPr>
                        <w:t>3.2</w:t>
                      </w:r>
                    </w:sdtContent>
                  </w:sdt>
                  <w:r>
                    <w:rPr>
                      <w:rFonts w:eastAsia="Calibri"/>
                      <w:szCs w:val="22"/>
                    </w:rPr>
                    <w:t>. kelių strateginio triukšmo kartografavimo triukšmo kontūrų žemėlapius;</w:t>
                  </w:r>
                </w:p>
              </w:sdtContent>
            </w:sdt>
            <w:sdt>
              <w:sdtPr>
                <w:alias w:val="3.3 pp."/>
                <w:tag w:val="part_307cbf151bda47eb9625a7a95248fe8e"/>
                <w:lock w:val="sdtLocked"/>
                <w:richText/>
              </w:sdtPr>
              <w:sdtContent>
                <w:p>
                  <w:pPr>
                    <w:tabs>
                      <w:tab w:val="right" w:pos="9638"/>
                    </w:tabs>
                    <w:ind w:firstLine="709"/>
                    <w:jc w:val="both"/>
                    <w:rPr>
                      <w:rFonts w:eastAsia="Calibri"/>
                      <w:szCs w:val="22"/>
                    </w:rPr>
                  </w:pPr>
                  <w:sdt>
                    <w:sdtPr>
                      <w:alias w:val="Numeris"/>
                      <w:tag w:val="nr_307cbf151bda47eb9625a7a95248fe8e"/>
                      <w:lock w:val="sdtLocked"/>
                      <w:richText/>
                    </w:sdtPr>
                    <w:sdtContent>
                      <w:r>
                        <w:rPr>
                          <w:rFonts w:eastAsia="Calibri"/>
                          <w:szCs w:val="22"/>
                        </w:rPr>
                        <w:t>3.3</w:t>
                      </w:r>
                    </w:sdtContent>
                  </w:sdt>
                  <w:r>
                    <w:rPr>
                      <w:rFonts w:eastAsia="Calibri"/>
                      <w:szCs w:val="22"/>
                    </w:rPr>
                    <w:t>.</w:t>
                  </w:r>
                  <w:r>
                    <w:t xml:space="preserve"> </w:t>
                  </w:r>
                  <w:r>
                    <w:rPr>
                      <w:rFonts w:eastAsia="Calibri"/>
                      <w:szCs w:val="22"/>
                    </w:rPr>
                    <w:t>su keliais susijusius triukšmo poveikio duomenis;</w:t>
                  </w:r>
                </w:p>
              </w:sdtContent>
            </w:sdt>
            <w:sdt>
              <w:sdtPr>
                <w:alias w:val="3.4 pp."/>
                <w:tag w:val="part_d3e849e000d942a1b35bfaa23da2e85d"/>
                <w:lock w:val="sdtLocked"/>
                <w:richText/>
              </w:sdtPr>
              <w:sdtContent>
                <w:p>
                  <w:pPr>
                    <w:tabs>
                      <w:tab w:val="right" w:pos="9638"/>
                    </w:tabs>
                    <w:ind w:firstLine="709"/>
                    <w:jc w:val="both"/>
                    <w:rPr>
                      <w:rFonts w:eastAsia="Calibri"/>
                      <w:szCs w:val="22"/>
                    </w:rPr>
                  </w:pPr>
                  <w:sdt>
                    <w:sdtPr>
                      <w:alias w:val="Numeris"/>
                      <w:tag w:val="nr_d3e849e000d942a1b35bfaa23da2e85d"/>
                      <w:lock w:val="sdtLocked"/>
                      <w:richText/>
                    </w:sdtPr>
                    <w:sdtContent>
                      <w:r>
                        <w:rPr>
                          <w:rFonts w:eastAsia="Calibri"/>
                          <w:szCs w:val="22"/>
                        </w:rPr>
                        <w:t>3.4</w:t>
                      </w:r>
                    </w:sdtContent>
                  </w:sdt>
                  <w:r>
                    <w:rPr>
                      <w:rFonts w:eastAsia="Calibri"/>
                      <w:szCs w:val="22"/>
                    </w:rPr>
                    <w:t>. anksčiau vykdytas triukšmo valdymo programas ir dabar taikomas triukšmą mažinančias priemones</w:t>
                  </w:r>
                  <w:r>
                    <w:t xml:space="preserve"> keliuose (jeigu </w:t>
                  </w:r>
                  <w:r>
                    <w:rPr>
                      <w:rFonts w:eastAsia="Calibri"/>
                      <w:szCs w:val="22"/>
                    </w:rPr>
                    <w:t>triukšmo valdymo programos anksčiau nebuvo, teikti nereikia);</w:t>
                  </w:r>
                </w:p>
              </w:sdtContent>
            </w:sdt>
            <w:sdt>
              <w:sdtPr>
                <w:alias w:val="3.5 pp."/>
                <w:tag w:val="part_32eb15f3a7ca41a3a689e4a5ca4ade7f"/>
                <w:lock w:val="sdtLocked"/>
                <w:richText/>
              </w:sdtPr>
              <w:sdtContent>
                <w:p>
                  <w:pPr>
                    <w:tabs>
                      <w:tab w:val="right" w:pos="9638"/>
                    </w:tabs>
                    <w:ind w:firstLine="709"/>
                    <w:jc w:val="both"/>
                    <w:rPr>
                      <w:rFonts w:eastAsia="Calibri"/>
                      <w:szCs w:val="22"/>
                    </w:rPr>
                  </w:pPr>
                  <w:sdt>
                    <w:sdtPr>
                      <w:alias w:val="Numeris"/>
                      <w:tag w:val="nr_32eb15f3a7ca41a3a689e4a5ca4ade7f"/>
                      <w:lock w:val="sdtLocked"/>
                      <w:richText/>
                    </w:sdtPr>
                    <w:sdtContent>
                      <w:r>
                        <w:rPr>
                          <w:rFonts w:eastAsia="Calibri"/>
                          <w:szCs w:val="22"/>
                        </w:rPr>
                        <w:t>3.5</w:t>
                      </w:r>
                    </w:sdtContent>
                  </w:sdt>
                  <w:r>
                    <w:rPr>
                      <w:rFonts w:eastAsia="Calibri"/>
                      <w:szCs w:val="22"/>
                    </w:rPr>
                    <w:t>. keliams skirtus triukšmo veiksmų planus;</w:t>
                  </w:r>
                </w:p>
              </w:sdtContent>
            </w:sdt>
            <w:sdt>
              <w:sdtPr>
                <w:alias w:val="3.6 pp."/>
                <w:tag w:val="part_2d717b1ebe654a57a836fdadde685950"/>
                <w:lock w:val="sdtLocked"/>
                <w:richText/>
              </w:sdtPr>
              <w:sdtContent>
                <w:p>
                  <w:pPr>
                    <w:tabs>
                      <w:tab w:val="right" w:pos="9638"/>
                    </w:tabs>
                    <w:ind w:firstLine="709"/>
                    <w:jc w:val="both"/>
                    <w:rPr>
                      <w:rFonts w:eastAsia="Calibri"/>
                      <w:szCs w:val="22"/>
                    </w:rPr>
                  </w:pPr>
                  <w:sdt>
                    <w:sdtPr>
                      <w:alias w:val="Numeris"/>
                      <w:tag w:val="nr_2d717b1ebe654a57a836fdadde685950"/>
                      <w:lock w:val="sdtLocked"/>
                      <w:richText/>
                    </w:sdtPr>
                    <w:sdtContent>
                      <w:r>
                        <w:rPr>
                          <w:rFonts w:eastAsia="Calibri"/>
                          <w:szCs w:val="22"/>
                        </w:rPr>
                        <w:t>3.6</w:t>
                      </w:r>
                    </w:sdtContent>
                  </w:sdt>
                  <w:r>
                    <w:rPr>
                      <w:rFonts w:eastAsia="Calibri"/>
                      <w:szCs w:val="22"/>
                    </w:rPr>
                    <w:t>. keliams skirtų triukšmo veiksmų planų aprėpties zoną.</w:t>
                  </w:r>
                </w:p>
              </w:sdtContent>
            </w:sdt>
          </w:sdtContent>
        </w:sdt>
        <w:sdt>
          <w:sdtPr>
            <w:alias w:val="4 p."/>
            <w:tag w:val="part_cf705fbe93cb4942b00ec7edc1675dab"/>
            <w:lock w:val="sdtLocked"/>
            <w:richText/>
          </w:sdtPr>
          <w:sdtContent>
            <w:p>
              <w:pPr>
                <w:tabs>
                  <w:tab w:val="right" w:pos="9638"/>
                </w:tabs>
                <w:ind w:firstLine="709"/>
                <w:jc w:val="both"/>
                <w:rPr>
                  <w:rFonts w:eastAsia="Calibri"/>
                  <w:szCs w:val="22"/>
                </w:rPr>
              </w:pPr>
              <w:sdt>
                <w:sdtPr>
                  <w:alias w:val="Numeris"/>
                  <w:tag w:val="nr_cf705fbe93cb4942b00ec7edc1675dab"/>
                  <w:lock w:val="sdtLocked"/>
                  <w:richText/>
                </w:sdtPr>
                <w:sdtContent>
                  <w:r>
                    <w:rPr>
                      <w:rFonts w:eastAsia="Calibri"/>
                      <w:szCs w:val="22"/>
                    </w:rPr>
                    <w:t>4</w:t>
                  </w:r>
                </w:sdtContent>
              </w:sdt>
              <w:r>
                <w:rPr>
                  <w:rFonts w:eastAsia="Calibri"/>
                  <w:szCs w:val="22"/>
                </w:rPr>
                <w:t xml:space="preserve">. Lietuvos transporto saugos administracija Centrui teikia duomenų rinkinius, kuriuose yra informacija apie: </w:t>
              </w:r>
            </w:p>
            <w:sdt>
              <w:sdtPr>
                <w:alias w:val="4.1 pp."/>
                <w:tag w:val="part_d7822814d21046969060252c105dc0d9"/>
                <w:lock w:val="sdtLocked"/>
                <w:richText/>
              </w:sdtPr>
              <w:sdtContent>
                <w:p>
                  <w:pPr>
                    <w:tabs>
                      <w:tab w:val="right" w:pos="9638"/>
                    </w:tabs>
                    <w:ind w:firstLine="709"/>
                    <w:jc w:val="both"/>
                    <w:rPr>
                      <w:rFonts w:eastAsia="Calibri"/>
                      <w:szCs w:val="22"/>
                    </w:rPr>
                  </w:pPr>
                  <w:sdt>
                    <w:sdtPr>
                      <w:alias w:val="Numeris"/>
                      <w:tag w:val="nr_d7822814d21046969060252c105dc0d9"/>
                      <w:lock w:val="sdtLocked"/>
                      <w:richText/>
                    </w:sdtPr>
                    <w:sdtContent>
                      <w:r>
                        <w:rPr>
                          <w:rFonts w:eastAsia="Calibri"/>
                          <w:szCs w:val="22"/>
                        </w:rPr>
                        <w:t>4.1</w:t>
                      </w:r>
                    </w:sdtContent>
                  </w:sdt>
                  <w:r>
                    <w:rPr>
                      <w:rFonts w:eastAsia="Calibri"/>
                      <w:szCs w:val="22"/>
                    </w:rPr>
                    <w:t xml:space="preserve">. ne aglomeracijose esančius pagrindinius geležinkelius (toliau – geležinkeliai) ir stambius oro uostus (toliau – oro uostai); </w:t>
                  </w:r>
                </w:p>
              </w:sdtContent>
            </w:sdt>
            <w:sdt>
              <w:sdtPr>
                <w:alias w:val="4.2 pp."/>
                <w:tag w:val="part_bcb683db3fc44583a4caee5848266ef4"/>
                <w:lock w:val="sdtLocked"/>
                <w:richText/>
              </w:sdtPr>
              <w:sdtContent>
                <w:p>
                  <w:pPr>
                    <w:tabs>
                      <w:tab w:val="right" w:pos="9638"/>
                    </w:tabs>
                    <w:ind w:firstLine="709"/>
                    <w:jc w:val="both"/>
                    <w:rPr>
                      <w:rFonts w:eastAsia="Calibri"/>
                      <w:szCs w:val="22"/>
                    </w:rPr>
                  </w:pPr>
                  <w:sdt>
                    <w:sdtPr>
                      <w:alias w:val="Numeris"/>
                      <w:tag w:val="nr_bcb683db3fc44583a4caee5848266ef4"/>
                      <w:lock w:val="sdtLocked"/>
                      <w:richText/>
                    </w:sdtPr>
                    <w:sdtContent>
                      <w:r>
                        <w:rPr>
                          <w:rFonts w:eastAsia="Calibri"/>
                          <w:szCs w:val="22"/>
                        </w:rPr>
                        <w:t>4.2</w:t>
                      </w:r>
                    </w:sdtContent>
                  </w:sdt>
                  <w:r>
                    <w:rPr>
                      <w:rFonts w:eastAsia="Calibri"/>
                      <w:szCs w:val="22"/>
                    </w:rPr>
                    <w:t>. geležinkelių ir oro uostų strateginio triukšmo kartografavimo triukšmo kontūrų žemėlapius;</w:t>
                  </w:r>
                </w:p>
              </w:sdtContent>
            </w:sdt>
            <w:sdt>
              <w:sdtPr>
                <w:alias w:val="4.3 pp."/>
                <w:tag w:val="part_86bb0e8c82d744c789522dcebba7e43b"/>
                <w:lock w:val="sdtLocked"/>
                <w:richText/>
              </w:sdtPr>
              <w:sdtContent>
                <w:p>
                  <w:pPr>
                    <w:tabs>
                      <w:tab w:val="right" w:pos="9638"/>
                    </w:tabs>
                    <w:ind w:firstLine="709"/>
                    <w:jc w:val="both"/>
                    <w:rPr>
                      <w:rFonts w:eastAsia="Calibri"/>
                      <w:szCs w:val="22"/>
                    </w:rPr>
                  </w:pPr>
                  <w:sdt>
                    <w:sdtPr>
                      <w:alias w:val="Numeris"/>
                      <w:tag w:val="nr_86bb0e8c82d744c789522dcebba7e43b"/>
                      <w:lock w:val="sdtLocked"/>
                      <w:richText/>
                    </w:sdtPr>
                    <w:sdtContent>
                      <w:r>
                        <w:rPr>
                          <w:rFonts w:eastAsia="Calibri"/>
                          <w:szCs w:val="22"/>
                        </w:rPr>
                        <w:t>4.3</w:t>
                      </w:r>
                    </w:sdtContent>
                  </w:sdt>
                  <w:r>
                    <w:rPr>
                      <w:rFonts w:eastAsia="Calibri"/>
                      <w:szCs w:val="22"/>
                    </w:rPr>
                    <w:t>. su geležinkeliais ir oro uostais susijusius triukšmo poveikio duomenis;</w:t>
                  </w:r>
                </w:p>
              </w:sdtContent>
            </w:sdt>
            <w:sdt>
              <w:sdtPr>
                <w:alias w:val="4.4 pp."/>
                <w:tag w:val="part_b5945662e125415287e716e938c18e6d"/>
                <w:lock w:val="sdtLocked"/>
                <w:richText/>
              </w:sdtPr>
              <w:sdtContent>
                <w:p>
                  <w:pPr>
                    <w:tabs>
                      <w:tab w:val="right" w:pos="9638"/>
                    </w:tabs>
                    <w:ind w:firstLine="709"/>
                    <w:jc w:val="both"/>
                    <w:rPr>
                      <w:rFonts w:eastAsia="Calibri"/>
                      <w:szCs w:val="22"/>
                    </w:rPr>
                  </w:pPr>
                  <w:sdt>
                    <w:sdtPr>
                      <w:alias w:val="Numeris"/>
                      <w:tag w:val="nr_b5945662e125415287e716e938c18e6d"/>
                      <w:lock w:val="sdtLocked"/>
                      <w:richText/>
                    </w:sdtPr>
                    <w:sdtContent>
                      <w:r>
                        <w:rPr>
                          <w:rFonts w:eastAsia="Calibri"/>
                          <w:szCs w:val="22"/>
                        </w:rPr>
                        <w:t>4.4</w:t>
                      </w:r>
                    </w:sdtContent>
                  </w:sdt>
                  <w:r>
                    <w:rPr>
                      <w:rFonts w:eastAsia="Calibri"/>
                      <w:szCs w:val="22"/>
                    </w:rPr>
                    <w:t>. anksčiau vykdytas triukšmo valdymo programas ir dabar taikomas triukšmą mažinančias priemones</w:t>
                  </w:r>
                  <w:r>
                    <w:t xml:space="preserve"> geležinkeliuose ir oro uostuose (jeigu </w:t>
                  </w:r>
                  <w:r>
                    <w:rPr>
                      <w:rFonts w:eastAsia="Calibri"/>
                      <w:szCs w:val="22"/>
                    </w:rPr>
                    <w:t>triukšmo valdymo programos anksčiau nebuvo, teikti nereikia);</w:t>
                  </w:r>
                </w:p>
              </w:sdtContent>
            </w:sdt>
            <w:sdt>
              <w:sdtPr>
                <w:alias w:val="4.5 pp."/>
                <w:tag w:val="part_9d0a168b96d14047a27c710160afe9ae"/>
                <w:lock w:val="sdtLocked"/>
                <w:richText/>
              </w:sdtPr>
              <w:sdtContent>
                <w:p>
                  <w:pPr>
                    <w:tabs>
                      <w:tab w:val="right" w:pos="9638"/>
                    </w:tabs>
                    <w:ind w:firstLine="709"/>
                    <w:jc w:val="both"/>
                    <w:rPr>
                      <w:rFonts w:eastAsia="Calibri"/>
                      <w:szCs w:val="22"/>
                    </w:rPr>
                  </w:pPr>
                  <w:sdt>
                    <w:sdtPr>
                      <w:alias w:val="Numeris"/>
                      <w:tag w:val="nr_9d0a168b96d14047a27c710160afe9ae"/>
                      <w:lock w:val="sdtLocked"/>
                      <w:richText/>
                    </w:sdtPr>
                    <w:sdtContent>
                      <w:r>
                        <w:rPr>
                          <w:rFonts w:eastAsia="Calibri"/>
                          <w:szCs w:val="22"/>
                        </w:rPr>
                        <w:t>4.5</w:t>
                      </w:r>
                    </w:sdtContent>
                  </w:sdt>
                  <w:r>
                    <w:rPr>
                      <w:rFonts w:eastAsia="Calibri"/>
                      <w:szCs w:val="22"/>
                    </w:rPr>
                    <w:t>. geležinkeliams ir oro uostams skirtus triukšmo veiksmų planus;</w:t>
                  </w:r>
                </w:p>
              </w:sdtContent>
            </w:sdt>
            <w:sdt>
              <w:sdtPr>
                <w:alias w:val="4.6 pp."/>
                <w:tag w:val="part_2a4740082d9c4ef5abeb76bd4620ed99"/>
                <w:lock w:val="sdtLocked"/>
                <w:richText/>
              </w:sdtPr>
              <w:sdtContent>
                <w:p>
                  <w:pPr>
                    <w:tabs>
                      <w:tab w:val="right" w:pos="9638"/>
                    </w:tabs>
                    <w:ind w:firstLine="709"/>
                    <w:jc w:val="both"/>
                    <w:rPr>
                      <w:rFonts w:eastAsia="Calibri"/>
                      <w:szCs w:val="22"/>
                    </w:rPr>
                  </w:pPr>
                  <w:sdt>
                    <w:sdtPr>
                      <w:alias w:val="Numeris"/>
                      <w:tag w:val="nr_2a4740082d9c4ef5abeb76bd4620ed99"/>
                      <w:lock w:val="sdtLocked"/>
                      <w:richText/>
                    </w:sdtPr>
                    <w:sdtContent>
                      <w:r>
                        <w:rPr>
                          <w:rFonts w:eastAsia="Calibri"/>
                          <w:szCs w:val="22"/>
                        </w:rPr>
                        <w:t>4.6</w:t>
                      </w:r>
                    </w:sdtContent>
                  </w:sdt>
                  <w:r>
                    <w:rPr>
                      <w:rFonts w:eastAsia="Calibri"/>
                      <w:szCs w:val="22"/>
                    </w:rPr>
                    <w:t>. geležinkeliams ir oro uostams skirtų triukšmo veiksmų planų aprėpties zoną.</w:t>
                  </w:r>
                </w:p>
              </w:sdtContent>
            </w:sdt>
          </w:sdtContent>
        </w:sdt>
        <w:sdt>
          <w:sdtPr>
            <w:alias w:val="5 p."/>
            <w:tag w:val="part_761b2505898f4df59d5141772dda2872"/>
            <w:lock w:val="sdtLocked"/>
            <w:richText/>
          </w:sdtPr>
          <w:sdtContent>
            <w:p>
              <w:pPr>
                <w:tabs>
                  <w:tab w:val="right" w:pos="9638"/>
                </w:tabs>
                <w:ind w:firstLine="709"/>
                <w:jc w:val="both"/>
                <w:rPr>
                  <w:rFonts w:eastAsia="Calibri"/>
                  <w:szCs w:val="22"/>
                </w:rPr>
              </w:pPr>
              <w:sdt>
                <w:sdtPr>
                  <w:alias w:val="Numeris"/>
                  <w:tag w:val="nr_761b2505898f4df59d5141772dda2872"/>
                  <w:lock w:val="sdtLocked"/>
                  <w:richText/>
                </w:sdtPr>
                <w:sdtContent>
                  <w:r>
                    <w:rPr>
                      <w:rFonts w:eastAsia="Calibri"/>
                      <w:szCs w:val="22"/>
                    </w:rPr>
                    <w:t>5</w:t>
                  </w:r>
                </w:sdtContent>
              </w:sdt>
              <w:r>
                <w:rPr>
                  <w:rFonts w:eastAsia="Calibri"/>
                  <w:szCs w:val="22"/>
                </w:rPr>
                <w:t>. Savivaldybių, kuriose yra aglomeracijų, administracijos Centrui teikia duomenų rinkinius, kuriuose yra informacija apie:</w:t>
              </w:r>
            </w:p>
            <w:sdt>
              <w:sdtPr>
                <w:alias w:val="5.1 pp."/>
                <w:tag w:val="part_96bfe3152ba041d39f8fa9433578cf14"/>
                <w:lock w:val="sdtLocked"/>
                <w:richText/>
              </w:sdtPr>
              <w:sdtContent>
                <w:p>
                  <w:pPr>
                    <w:tabs>
                      <w:tab w:val="right" w:pos="9638"/>
                    </w:tabs>
                    <w:ind w:firstLine="709"/>
                    <w:jc w:val="both"/>
                    <w:rPr>
                      <w:rFonts w:eastAsia="Calibri"/>
                      <w:szCs w:val="22"/>
                    </w:rPr>
                  </w:pPr>
                  <w:sdt>
                    <w:sdtPr>
                      <w:alias w:val="Numeris"/>
                      <w:tag w:val="nr_96bfe3152ba041d39f8fa9433578cf14"/>
                      <w:lock w:val="sdtLocked"/>
                      <w:richText/>
                    </w:sdtPr>
                    <w:sdtContent>
                      <w:r>
                        <w:rPr>
                          <w:rFonts w:eastAsia="Calibri"/>
                          <w:szCs w:val="22"/>
                        </w:rPr>
                        <w:t>5.1</w:t>
                      </w:r>
                    </w:sdtContent>
                  </w:sdt>
                  <w:r>
                    <w:rPr>
                      <w:rFonts w:eastAsia="Calibri"/>
                      <w:szCs w:val="22"/>
                    </w:rPr>
                    <w:t>. a</w:t>
                  </w:r>
                  <w:r>
                    <w:t>glomeracijas</w:t>
                  </w:r>
                  <w:r>
                    <w:rPr>
                      <w:rFonts w:eastAsia="Calibri"/>
                      <w:szCs w:val="22"/>
                    </w:rPr>
                    <w:t>;</w:t>
                  </w:r>
                </w:p>
              </w:sdtContent>
            </w:sdt>
            <w:sdt>
              <w:sdtPr>
                <w:alias w:val="5.2 pp."/>
                <w:tag w:val="part_96eef33a43f3439c8180efd2c0488931"/>
                <w:lock w:val="sdtLocked"/>
                <w:richText/>
              </w:sdtPr>
              <w:sdtContent>
                <w:p>
                  <w:pPr>
                    <w:tabs>
                      <w:tab w:val="right" w:pos="9638"/>
                    </w:tabs>
                    <w:ind w:firstLine="709"/>
                    <w:jc w:val="both"/>
                    <w:rPr>
                      <w:rFonts w:eastAsia="Calibri"/>
                      <w:szCs w:val="22"/>
                    </w:rPr>
                  </w:pPr>
                  <w:sdt>
                    <w:sdtPr>
                      <w:alias w:val="Numeris"/>
                      <w:tag w:val="nr_96eef33a43f3439c8180efd2c0488931"/>
                      <w:lock w:val="sdtLocked"/>
                      <w:richText/>
                    </w:sdtPr>
                    <w:sdtContent>
                      <w:r>
                        <w:rPr>
                          <w:rFonts w:eastAsia="Calibri"/>
                          <w:szCs w:val="22"/>
                        </w:rPr>
                        <w:t>5.2</w:t>
                      </w:r>
                    </w:sdtContent>
                  </w:sdt>
                  <w:r>
                    <w:rPr>
                      <w:rFonts w:eastAsia="Calibri"/>
                      <w:szCs w:val="22"/>
                    </w:rPr>
                    <w:t>. aglomeracijų strateginio triukšmo kartografavimo triukšmo kontūrų žemėlapius;</w:t>
                  </w:r>
                </w:p>
              </w:sdtContent>
            </w:sdt>
            <w:sdt>
              <w:sdtPr>
                <w:alias w:val="5.3 pp."/>
                <w:tag w:val="part_55f6adb6403747c6b9813e51e651bc37"/>
                <w:lock w:val="sdtLocked"/>
                <w:richText/>
              </w:sdtPr>
              <w:sdtContent>
                <w:p>
                  <w:pPr>
                    <w:tabs>
                      <w:tab w:val="right" w:pos="9638"/>
                    </w:tabs>
                    <w:ind w:firstLine="709"/>
                    <w:jc w:val="both"/>
                    <w:rPr>
                      <w:rFonts w:eastAsia="Calibri"/>
                      <w:szCs w:val="22"/>
                    </w:rPr>
                  </w:pPr>
                  <w:sdt>
                    <w:sdtPr>
                      <w:alias w:val="Numeris"/>
                      <w:tag w:val="nr_55f6adb6403747c6b9813e51e651bc37"/>
                      <w:lock w:val="sdtLocked"/>
                      <w:richText/>
                    </w:sdtPr>
                    <w:sdtContent>
                      <w:r>
                        <w:rPr>
                          <w:rFonts w:eastAsia="Calibri"/>
                          <w:szCs w:val="22"/>
                        </w:rPr>
                        <w:t>5.3</w:t>
                      </w:r>
                    </w:sdtContent>
                  </w:sdt>
                  <w:r>
                    <w:rPr>
                      <w:rFonts w:eastAsia="Calibri"/>
                      <w:szCs w:val="22"/>
                    </w:rPr>
                    <w:t>. su aglomeracijomis susijusius triukšmo poveikio duomenis;</w:t>
                  </w:r>
                </w:p>
              </w:sdtContent>
            </w:sdt>
            <w:sdt>
              <w:sdtPr>
                <w:alias w:val="5.4 pp."/>
                <w:tag w:val="part_dade8ab95c3740d0b13f989d20e0f66e"/>
                <w:lock w:val="sdtLocked"/>
                <w:richText/>
              </w:sdtPr>
              <w:sdtContent>
                <w:p>
                  <w:pPr>
                    <w:tabs>
                      <w:tab w:val="right" w:pos="9638"/>
                    </w:tabs>
                    <w:ind w:firstLine="709"/>
                    <w:jc w:val="both"/>
                    <w:rPr>
                      <w:rFonts w:eastAsia="Calibri"/>
                      <w:szCs w:val="22"/>
                    </w:rPr>
                  </w:pPr>
                  <w:sdt>
                    <w:sdtPr>
                      <w:alias w:val="Numeris"/>
                      <w:tag w:val="nr_dade8ab95c3740d0b13f989d20e0f66e"/>
                      <w:lock w:val="sdtLocked"/>
                      <w:richText/>
                    </w:sdtPr>
                    <w:sdtContent>
                      <w:r>
                        <w:rPr>
                          <w:rFonts w:eastAsia="Calibri"/>
                          <w:szCs w:val="22"/>
                        </w:rPr>
                        <w:t>5.4</w:t>
                      </w:r>
                    </w:sdtContent>
                  </w:sdt>
                  <w:r>
                    <w:rPr>
                      <w:rFonts w:eastAsia="Calibri"/>
                      <w:szCs w:val="22"/>
                    </w:rPr>
                    <w:t>. anksčiau vykdytas triukšmo valdymo programas ir dabar taikomas triukšmą mažinančias priemones aglomeracijose (jeigu triukšmo valdymo programos anksčiau nebuvo, teikti nereikia);</w:t>
                  </w:r>
                </w:p>
              </w:sdtContent>
            </w:sdt>
            <w:sdt>
              <w:sdtPr>
                <w:alias w:val="5.5 pp."/>
                <w:tag w:val="part_91fbc1d3af8042508637a44b474388a9"/>
                <w:lock w:val="sdtLocked"/>
                <w:richText/>
              </w:sdtPr>
              <w:sdtContent>
                <w:p>
                  <w:pPr>
                    <w:tabs>
                      <w:tab w:val="right" w:pos="9638"/>
                    </w:tabs>
                    <w:ind w:firstLine="709"/>
                    <w:jc w:val="both"/>
                    <w:rPr>
                      <w:rFonts w:eastAsia="Calibri"/>
                      <w:szCs w:val="22"/>
                    </w:rPr>
                  </w:pPr>
                  <w:sdt>
                    <w:sdtPr>
                      <w:alias w:val="Numeris"/>
                      <w:tag w:val="nr_91fbc1d3af8042508637a44b474388a9"/>
                      <w:lock w:val="sdtLocked"/>
                      <w:richText/>
                    </w:sdtPr>
                    <w:sdtContent>
                      <w:r>
                        <w:rPr>
                          <w:rFonts w:eastAsia="Calibri"/>
                          <w:szCs w:val="22"/>
                        </w:rPr>
                        <w:t>5.5</w:t>
                      </w:r>
                    </w:sdtContent>
                  </w:sdt>
                  <w:r>
                    <w:rPr>
                      <w:rFonts w:eastAsia="Calibri"/>
                      <w:szCs w:val="22"/>
                    </w:rPr>
                    <w:t>. aglomeracijoms skirtus triukšmo veiksmų planus;</w:t>
                  </w:r>
                </w:p>
              </w:sdtContent>
            </w:sdt>
            <w:sdt>
              <w:sdtPr>
                <w:alias w:val="5.6 pp."/>
                <w:tag w:val="part_ae2510b3c1254260ba122a82cc8f6d8e"/>
                <w:lock w:val="sdtLocked"/>
                <w:richText/>
              </w:sdtPr>
              <w:sdtContent>
                <w:p>
                  <w:pPr>
                    <w:tabs>
                      <w:tab w:val="right" w:pos="9638"/>
                    </w:tabs>
                    <w:ind w:firstLine="709"/>
                    <w:jc w:val="both"/>
                    <w:rPr>
                      <w:rFonts w:eastAsia="Calibri"/>
                      <w:szCs w:val="22"/>
                    </w:rPr>
                  </w:pPr>
                  <w:sdt>
                    <w:sdtPr>
                      <w:alias w:val="Numeris"/>
                      <w:tag w:val="nr_ae2510b3c1254260ba122a82cc8f6d8e"/>
                      <w:lock w:val="sdtLocked"/>
                      <w:richText/>
                    </w:sdtPr>
                    <w:sdtContent>
                      <w:r>
                        <w:rPr>
                          <w:rFonts w:eastAsia="Calibri"/>
                          <w:szCs w:val="22"/>
                        </w:rPr>
                        <w:t>5.6</w:t>
                      </w:r>
                    </w:sdtContent>
                  </w:sdt>
                  <w:r>
                    <w:rPr>
                      <w:rFonts w:eastAsia="Calibri"/>
                      <w:szCs w:val="22"/>
                    </w:rPr>
                    <w:t>. aglomeracijoms skirtų triukšmo veiksmų planų aprėpties zonas;</w:t>
                  </w:r>
                </w:p>
              </w:sdtContent>
            </w:sdt>
            <w:sdt>
              <w:sdtPr>
                <w:alias w:val="5.7 pp."/>
                <w:tag w:val="part_fa9b35ac3558452fa2d32b6b8172f27c"/>
                <w:lock w:val="sdtLocked"/>
                <w:richText/>
              </w:sdtPr>
              <w:sdtContent>
                <w:p>
                  <w:pPr>
                    <w:tabs>
                      <w:tab w:val="right" w:pos="9638"/>
                    </w:tabs>
                    <w:ind w:firstLine="709"/>
                    <w:jc w:val="both"/>
                    <w:rPr>
                      <w:rFonts w:eastAsia="Calibri"/>
                      <w:szCs w:val="22"/>
                    </w:rPr>
                  </w:pPr>
                  <w:sdt>
                    <w:sdtPr>
                      <w:alias w:val="Numeris"/>
                      <w:tag w:val="nr_fa9b35ac3558452fa2d32b6b8172f27c"/>
                      <w:lock w:val="sdtLocked"/>
                      <w:richText/>
                    </w:sdtPr>
                    <w:sdtContent>
                      <w:r>
                        <w:rPr>
                          <w:rFonts w:eastAsia="Calibri"/>
                          <w:szCs w:val="22"/>
                        </w:rPr>
                        <w:t>5.7</w:t>
                      </w:r>
                    </w:sdtContent>
                  </w:sdt>
                  <w:r>
                    <w:rPr>
                      <w:rFonts w:eastAsia="Calibri"/>
                      <w:szCs w:val="22"/>
                    </w:rPr>
                    <w:t>. a</w:t>
                  </w:r>
                  <w:r>
                    <w:t>glomeracijose arba gamtoje esančias tyliąsias zonas.</w:t>
                  </w:r>
                </w:p>
              </w:sdtContent>
            </w:sdt>
          </w:sdtContent>
        </w:sdt>
        <w:sdt>
          <w:sdtPr>
            <w:alias w:val="6 p."/>
            <w:tag w:val="part_967e82985f3b4f2cb32e630d5f38915c"/>
            <w:lock w:val="sdtLocked"/>
            <w:richText/>
          </w:sdtPr>
          <w:sdtContent>
            <w:p>
              <w:pPr>
                <w:ind w:firstLine="709"/>
                <w:jc w:val="both"/>
              </w:pPr>
              <w:sdt>
                <w:sdtPr>
                  <w:alias w:val="Numeris"/>
                  <w:tag w:val="nr_967e82985f3b4f2cb32e630d5f38915c"/>
                  <w:lock w:val="sdtLocked"/>
                  <w:richText/>
                </w:sdtPr>
                <w:sdtContent>
                  <w:r>
                    <w:rPr>
                      <w:rFonts w:eastAsia="Calibri"/>
                      <w:szCs w:val="24"/>
                    </w:rPr>
                    <w:t>6</w:t>
                  </w:r>
                </w:sdtContent>
              </w:sdt>
              <w:r>
                <w:rPr>
                  <w:rFonts w:eastAsia="Calibri"/>
                  <w:szCs w:val="24"/>
                </w:rPr>
                <w:t>. Akcinė bendrovė „Via Lietuva“, Lietuvos transporto saugos administracija ir savivaldybių, kuriose yra aglomeracijų, administracijos (toliau – institucijos) Taisyklių 3–5 punktuose nurodytus duomenų rinkinius</w:t>
              </w:r>
              <w:r>
                <w:rPr>
                  <w:szCs w:val="24"/>
                </w:rPr>
                <w:t>,</w:t>
              </w:r>
              <w:r>
                <w:rPr>
                  <w:rFonts w:eastAsia="Calibri"/>
                  <w:szCs w:val="24"/>
                </w:rPr>
                <w:t xml:space="preserve"> atitinkančius </w:t>
              </w:r>
              <w:r>
                <w:rPr>
                  <w:szCs w:val="24"/>
                </w:rPr>
                <w:t>2021 m. lapkričio 11 d. Komisijos įgyvendinimo sprendime (ES) 2021/1967, kuriuo pagal Europos Parlamento ir Tarybos direktyvą 2002/49/EB sukuriama privaloma duomenų saugykla ir privalomas keitimosi skaitmenine informacija mechanizmas (toliau – Sprendimas), nustatytus reikalavimus ir duomenų teikimo rekomendacijas, pateiktas Europos aplinkos informacijos ir stebėjimo tinklo (</w:t>
              </w:r>
              <w:r>
                <w:rPr>
                  <w:i/>
                  <w:iCs/>
                  <w:szCs w:val="24"/>
                </w:rPr>
                <w:t>Eionet</w:t>
              </w:r>
              <w:r>
                <w:rPr>
                  <w:szCs w:val="24"/>
                </w:rPr>
                <w:t xml:space="preserve">) portale, apsikeitimo formatu „GeoPackage“ teikia </w:t>
              </w:r>
              <w:r>
                <w:rPr>
                  <w:rFonts w:eastAsia="Calibri"/>
                  <w:szCs w:val="24"/>
                </w:rPr>
                <w:t>Centrui</w:t>
              </w:r>
              <w:r>
                <w:rPr>
                  <w:szCs w:val="24"/>
                </w:rPr>
                <w:t xml:space="preserve"> ne vėliau kaip likus 2 mėnesiams iki Taisyklių 7–9 punktuose nurodytų datų.</w:t>
              </w:r>
              <w:r>
                <w:t xml:space="preserve"> </w:t>
              </w:r>
            </w:p>
          </w:sdtContent>
        </w:sdt>
        <w:sdt>
          <w:sdtPr>
            <w:alias w:val="7 p."/>
            <w:tag w:val="part_2fbed0bc69484ffba88a37d318ae08c1"/>
            <w:lock w:val="sdtLocked"/>
            <w:richText/>
          </w:sdtPr>
          <w:sdtContent>
            <w:p>
              <w:pPr>
                <w:tabs>
                  <w:tab w:val="right" w:pos="9638"/>
                </w:tabs>
                <w:ind w:firstLine="709"/>
                <w:jc w:val="both"/>
                <w:rPr>
                  <w:rFonts w:eastAsia="Calibri"/>
                  <w:szCs w:val="22"/>
                </w:rPr>
              </w:pPr>
              <w:sdt>
                <w:sdtPr>
                  <w:alias w:val="Numeris"/>
                  <w:tag w:val="nr_2fbed0bc69484ffba88a37d318ae08c1"/>
                  <w:lock w:val="sdtLocked"/>
                  <w:richText/>
                </w:sdtPr>
                <w:sdtContent>
                  <w:r>
                    <w:rPr>
                      <w:rFonts w:eastAsia="Calibri"/>
                      <w:szCs w:val="22"/>
                    </w:rPr>
                    <w:t>7</w:t>
                  </w:r>
                </w:sdtContent>
              </w:sdt>
              <w:r>
                <w:rPr>
                  <w:rFonts w:eastAsia="Calibri"/>
                  <w:szCs w:val="22"/>
                </w:rPr>
                <w:t>. Taisyklių 3.1, 4.1 ir 5.1 papunkčiuose nurodytus duomenų rinkinius Centras pateikia į duomenų saugyklą ne vėliau kaip iki 2020 m. birželio 30 d., o vėliau – kas 5 metus, skaičiuojant nuo šiame punkte nurodytos datos.</w:t>
              </w:r>
            </w:p>
          </w:sdtContent>
        </w:sdt>
        <w:sdt>
          <w:sdtPr>
            <w:alias w:val="8 p."/>
            <w:tag w:val="part_d95c8c2cc66d431cb81fb1af95c99820"/>
            <w:lock w:val="sdtLocked"/>
            <w:richText/>
          </w:sdtPr>
          <w:sdtContent>
            <w:p>
              <w:pPr>
                <w:tabs>
                  <w:tab w:val="right" w:pos="9638"/>
                </w:tabs>
                <w:ind w:firstLine="709"/>
                <w:jc w:val="both"/>
                <w:rPr>
                  <w:rFonts w:eastAsia="Calibri"/>
                  <w:szCs w:val="22"/>
                </w:rPr>
              </w:pPr>
              <w:sdt>
                <w:sdtPr>
                  <w:alias w:val="Numeris"/>
                  <w:tag w:val="nr_d95c8c2cc66d431cb81fb1af95c99820"/>
                  <w:lock w:val="sdtLocked"/>
                  <w:richText/>
                </w:sdtPr>
                <w:sdtContent>
                  <w:r>
                    <w:rPr>
                      <w:rFonts w:eastAsia="Calibri"/>
                      <w:szCs w:val="22"/>
                    </w:rPr>
                    <w:t>8</w:t>
                  </w:r>
                </w:sdtContent>
              </w:sdt>
              <w:r>
                <w:rPr>
                  <w:rFonts w:eastAsia="Calibri"/>
                  <w:szCs w:val="22"/>
                </w:rPr>
                <w:t>. Taisyklių 3.2, 3.3, 4.2, 4.3, 5.2 ir 5.3 papunkčiuose nurodytus duomenų rinkinius Centras pateikia į duomenų saugyklą ne vėliau kaip iki 2022 m. gruodžio 30 d., o vėliau – kas 5 metus, skaičiuojant nuo šiame punkte nurodytos datos.</w:t>
              </w:r>
            </w:p>
          </w:sdtContent>
        </w:sdt>
        <w:sdt>
          <w:sdtPr>
            <w:alias w:val="9 p."/>
            <w:tag w:val="part_75c36a2b6a2c45329e1312d051915bdb"/>
            <w:lock w:val="sdtLocked"/>
            <w:richText/>
          </w:sdtPr>
          <w:sdtContent>
            <w:p>
              <w:pPr>
                <w:tabs>
                  <w:tab w:val="right" w:pos="9638"/>
                </w:tabs>
                <w:ind w:firstLine="709"/>
                <w:jc w:val="both"/>
                <w:rPr>
                  <w:rFonts w:eastAsia="Calibri"/>
                  <w:szCs w:val="22"/>
                </w:rPr>
              </w:pPr>
              <w:sdt>
                <w:sdtPr>
                  <w:alias w:val="Numeris"/>
                  <w:tag w:val="nr_75c36a2b6a2c45329e1312d051915bdb"/>
                  <w:lock w:val="sdtLocked"/>
                  <w:richText/>
                </w:sdtPr>
                <w:sdtContent>
                  <w:r>
                    <w:rPr>
                      <w:rFonts w:eastAsia="Calibri"/>
                      <w:szCs w:val="22"/>
                    </w:rPr>
                    <w:t>9</w:t>
                  </w:r>
                </w:sdtContent>
              </w:sdt>
              <w:r>
                <w:rPr>
                  <w:rFonts w:eastAsia="Calibri"/>
                  <w:szCs w:val="22"/>
                </w:rPr>
                <w:t>. Taisyklių 3.4–3.6, 4.4–4.6 ir 5.4–5.7 papunkčiuose nurodytus duomenų rinkinius Centras pateikia į duomenų saugyklą ne vėliau kaip iki 2025 m. sausio 18 d., o vėliau – kas 5 metus, skaičiuojant nuo šiame punkte nurodytos datos.</w:t>
              </w:r>
            </w:p>
          </w:sdtContent>
        </w:sdt>
        <w:sdt>
          <w:sdtPr>
            <w:alias w:val="10 p."/>
            <w:tag w:val="part_65add8ed6a8a4c2684ede1317b1f4373"/>
            <w:lock w:val="sdtLocked"/>
            <w:richText/>
          </w:sdtPr>
          <w:sdtContent>
            <w:p>
              <w:pPr>
                <w:tabs>
                  <w:tab w:val="right" w:pos="9638"/>
                </w:tabs>
                <w:ind w:firstLine="709"/>
                <w:jc w:val="both"/>
                <w:rPr>
                  <w:rFonts w:eastAsia="Calibri"/>
                  <w:szCs w:val="22"/>
                </w:rPr>
              </w:pPr>
              <w:sdt>
                <w:sdtPr>
                  <w:alias w:val="Numeris"/>
                  <w:tag w:val="nr_65add8ed6a8a4c2684ede1317b1f4373"/>
                  <w:lock w:val="sdtLocked"/>
                  <w:richText/>
                </w:sdtPr>
                <w:sdtContent>
                  <w:r>
                    <w:rPr>
                      <w:rFonts w:eastAsia="Calibri"/>
                      <w:szCs w:val="22"/>
                    </w:rPr>
                    <w:t>10</w:t>
                  </w:r>
                </w:sdtContent>
              </w:sdt>
              <w:r>
                <w:rPr>
                  <w:rFonts w:eastAsia="Calibri"/>
                  <w:szCs w:val="22"/>
                </w:rPr>
                <w:t>. Tais atvejais, kai institucijoms sudarant strateginius triukšmo žemėlapius pasikeičia Centrui anksčiau pateikta Taisyklių 3.1, 4.1 ir 5.1 papunkčiuose nurodyta informacija, kartu su Taisyklių 3.2, 3.3, 4.2, 4.3, 5.2 ir 5.3 papunkčiuose nurodyta informacija ją teikiantys atitinkami subjektai Centrui pateikia atnaujintus Taisyklių 3.1, 4.1 ir 5.1 papunkčiuose nurodytus duomenų rinkinius. Centras atnaujintus Taisyklių 3.1, 4.1 ir 5.1 papunkčiuose nurodytus duomenų rinkinius į duomenų saugyklą pateikia kartu su Taisyklių 3.2, 3.3, 4.2, 4.3, 5.2 ir 5.3 papunkčiuose nurodytais duomenų rinkiniais.</w:t>
              </w:r>
            </w:p>
          </w:sdtContent>
        </w:sdt>
        <w:sdt>
          <w:sdtPr>
            <w:alias w:val="11 p."/>
            <w:tag w:val="part_03817a3fc82845dca7be19f731ea470a"/>
            <w:lock w:val="sdtLocked"/>
            <w:richText/>
          </w:sdtPr>
          <w:sdtContent>
            <w:p>
              <w:pPr>
                <w:ind w:firstLine="709"/>
                <w:jc w:val="both"/>
                <w:rPr>
                  <w:rFonts w:eastAsia="Calibri"/>
                  <w:szCs w:val="22"/>
                </w:rPr>
              </w:pPr>
              <w:sdt>
                <w:sdtPr>
                  <w:alias w:val="Numeris"/>
                  <w:tag w:val="nr_03817a3fc82845dca7be19f731ea470a"/>
                  <w:lock w:val="sdtLocked"/>
                  <w:richText/>
                </w:sdtPr>
                <w:sdtContent>
                  <w:r>
                    <w:rPr>
                      <w:rFonts w:eastAsia="Calibri"/>
                      <w:szCs w:val="22"/>
                    </w:rPr>
                    <w:t>11</w:t>
                  </w:r>
                </w:sdtContent>
              </w:sdt>
              <w:r>
                <w:rPr>
                  <w:rFonts w:eastAsia="Calibri"/>
                  <w:szCs w:val="22"/>
                </w:rPr>
                <w:t>. Tais atvejais, kai institucijos teikia Centrui atnaujintą Taisyklių 3–5 punktuose nurodytą informaciją, ji Centrui pateikiama pagal Taisyklių 6 punkte nurodytus duomenų rinkinių reikalavimus, apibūdinant atnaujintos ir pirminės informacijos skirtumus ir nurodant atnaujinimo priežastis.</w:t>
              </w:r>
            </w:p>
          </w:sdtContent>
        </w:sdt>
        <w:sdt>
          <w:sdtPr>
            <w:alias w:val="12 p."/>
            <w:tag w:val="part_c976b8d234ab446c80c57ef63cec30f3"/>
            <w:lock w:val="sdtLocked"/>
            <w:richText/>
          </w:sdtPr>
          <w:sdtContent>
            <w:p>
              <w:pPr>
                <w:tabs>
                  <w:tab w:val="right" w:pos="9638"/>
                </w:tabs>
                <w:ind w:firstLine="709"/>
                <w:jc w:val="both"/>
                <w:rPr>
                  <w:rFonts w:eastAsia="Calibri"/>
                  <w:szCs w:val="22"/>
                </w:rPr>
              </w:pPr>
              <w:sdt>
                <w:sdtPr>
                  <w:alias w:val="Numeris"/>
                  <w:tag w:val="nr_c976b8d234ab446c80c57ef63cec30f3"/>
                  <w:lock w:val="sdtLocked"/>
                  <w:richText/>
                </w:sdtPr>
                <w:sdtContent>
                  <w:r>
                    <w:rPr>
                      <w:rFonts w:eastAsia="Calibri"/>
                      <w:szCs w:val="22"/>
                    </w:rPr>
                    <w:t>12</w:t>
                  </w:r>
                </w:sdtContent>
              </w:sdt>
              <w:r>
                <w:rPr>
                  <w:rFonts w:eastAsia="Calibri"/>
                  <w:szCs w:val="22"/>
                </w:rPr>
                <w:t>. Taisyklių 11 punkte nurodytus duomenų rinkinius su atnaujinta informacija Centras į duomenų saugyklą pateikia ne vėliau kaip per 2 mėnesius nuo jos gavimo Centre dienos.</w:t>
              </w:r>
            </w:p>
          </w:sdtContent>
        </w:sdt>
        <w:sdt>
          <w:sdtPr>
            <w:alias w:val="13 p."/>
            <w:tag w:val="part_b3935b2431fb4c5697858ba95fb30041"/>
            <w:lock w:val="sdtLocked"/>
            <w:richText/>
          </w:sdtPr>
          <w:sdtContent>
            <w:p>
              <w:pPr>
                <w:tabs>
                  <w:tab w:val="right" w:pos="9638"/>
                </w:tabs>
                <w:ind w:firstLine="709"/>
                <w:jc w:val="both"/>
                <w:rPr>
                  <w:rFonts w:eastAsia="Calibri"/>
                  <w:szCs w:val="22"/>
                </w:rPr>
              </w:pPr>
              <w:sdt>
                <w:sdtPr>
                  <w:alias w:val="Numeris"/>
                  <w:tag w:val="nr_b3935b2431fb4c5697858ba95fb30041"/>
                  <w:lock w:val="sdtLocked"/>
                  <w:richText/>
                </w:sdtPr>
                <w:sdtContent>
                  <w:r>
                    <w:rPr>
                      <w:rFonts w:eastAsia="Calibri"/>
                      <w:szCs w:val="22"/>
                    </w:rPr>
                    <w:t>13</w:t>
                  </w:r>
                </w:sdtContent>
              </w:sdt>
              <w:r>
                <w:rPr>
                  <w:rFonts w:eastAsia="Calibri"/>
                  <w:szCs w:val="22"/>
                </w:rPr>
                <w:t>. Centro interneto svetainėje visuomenei nuolat skelbiama informacija apie subjektus, teikiančius Taisyklių 3–5 punktuose nurodytus duomenis (institucijos pavadinimas, buveinės adresas, telefono numeris, fakso numeris, elektroninio pašto adresas).</w:t>
              </w:r>
            </w:p>
          </w:sdtContent>
        </w:sdt>
        <w:sdt>
          <w:sdtPr>
            <w:alias w:val="14 p."/>
            <w:tag w:val="part_0614fc8dc5814ea18ad5048befc9f90a"/>
            <w:lock w:val="sdtLocked"/>
            <w:richText/>
          </w:sdtPr>
          <w:sdtContent>
            <w:p>
              <w:pPr>
                <w:tabs>
                  <w:tab w:val="right" w:pos="9638"/>
                </w:tabs>
                <w:ind w:firstLine="709"/>
                <w:jc w:val="both"/>
                <w:rPr>
                  <w:rFonts w:eastAsia="Calibri"/>
                  <w:szCs w:val="22"/>
                </w:rPr>
              </w:pPr>
              <w:sdt>
                <w:sdtPr>
                  <w:alias w:val="Numeris"/>
                  <w:tag w:val="nr_0614fc8dc5814ea18ad5048befc9f90a"/>
                  <w:lock w:val="sdtLocked"/>
                  <w:richText/>
                </w:sdtPr>
                <w:sdtContent>
                  <w:r>
                    <w:rPr>
                      <w:rFonts w:eastAsia="Calibri"/>
                      <w:szCs w:val="22"/>
                    </w:rPr>
                    <w:t>14</w:t>
                  </w:r>
                </w:sdtContent>
              </w:sdt>
              <w:r>
                <w:rPr>
                  <w:rFonts w:eastAsia="Calibri"/>
                  <w:szCs w:val="22"/>
                </w:rPr>
                <w:t>. Centras į duomenų saugyklą teikia Sprendime nurodytus triukšmo ribinių verčių</w:t>
              </w:r>
              <w:r>
                <w:t xml:space="preserve"> </w:t>
              </w:r>
              <w:r>
                <w:rPr>
                  <w:rFonts w:eastAsia="Calibri"/>
                  <w:szCs w:val="22"/>
                </w:rPr>
                <w:t>ir institucijų duomenis</w:t>
              </w:r>
              <w:r>
                <w:t xml:space="preserve"> </w:t>
              </w:r>
              <w:r>
                <w:rPr>
                  <w:rFonts w:eastAsia="Calibri"/>
                  <w:szCs w:val="22"/>
                </w:rPr>
                <w:t>ne vėliau kaip iki 2025 m. sausio 18 d., o vėliau – kas 5 metus, skaičiuojant nuo šiame punkte nurodytos datos.</w:t>
              </w:r>
            </w:p>
          </w:sdtContent>
        </w:sdt>
        <w:sdt>
          <w:sdtPr>
            <w:alias w:val="pabaiga"/>
            <w:tag w:val="part_3eaaddfc1990488f868c89a1bf00c665"/>
            <w:lock w:val="sdtLocked"/>
            <w:richText/>
          </w:sdtPr>
          <w:sdtContent>
            <w:p>
              <w:pPr>
                <w:tabs>
                  <w:tab w:val="right" w:pos="9638"/>
                </w:tabs>
                <w:jc w:val="center"/>
                <w:rPr>
                  <w:szCs w:val="24"/>
                </w:rPr>
              </w:pPr>
              <w:r>
                <w:rPr>
                  <w:rFonts w:eastAsia="Calibri"/>
                  <w:szCs w:val="22"/>
                </w:rPr>
                <w:t>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Lietuvos Respublikos aplinkos ministerija,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1191F3E2CF">
            <w:r w:rsidRPr="00532B9F">
              <w:rPr>
                <w:rFonts w:ascii="Times New Roman" w:eastAsia="MS Mincho" w:hAnsi="Times New Roman"/>
                <w:sz w:val="20"/>
                <w:iCs/>
                <w:color w:val="0000FF" w:themeColor="hyperlink"/>
                <w:u w:val="single"/>
              </w:rPr>
              <w:t>V-422/D1-386/3-317</w:t>
            </w:r>
          </w:fldSimple>
          <w:r>
            <w:rPr>
              <w:rFonts w:ascii="Times New Roman" w:eastAsia="MS Mincho" w:hAnsi="Times New Roman"/>
              <w:sz w:val="20"/>
              <w:iCs/>
            </w:rPr>
            <w:t>,
2010-05-12,
Žin., 2010, Nr.
58-2842 (2010-05-20), i. k. 1102210ISAK86/3-317                </w:t>
          </w:r>
        </w:p>
        <w:p>
          <w:pPr>
            <w:jc w:val="both"/>
            <w:rPr>
              <w:rFonts w:ascii="Times New Roman" w:hAnsi="Times New Roman"/>
            </w:rPr>
          </w:pPr>
          <w:r>
            <w:rPr>
              <w:rFonts w:ascii="Times New Roman" w:hAnsi="Times New Roman"/>
              <w:sz w:val="20"/>
            </w:rPr>
            <w:t>Dėl Lietuvos Respublikos sveikatos apsaugos ministro, Lietuvos Respublikos aplinkos ministro ir Lietuvos Respublikos susisiekimo ministro 2005 m. spalio 25 d. įsakymo Nr. V-787/D1-507/3-467 "Dėl Europos sąjungos triukšmo valdymo sektoriaus teisės aktų reikalavimų įgyvendinimo ataskaitų teikimo Europos Bendrijų Komisijai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Lietuvos Respublikos aplinkos ministerija,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CD075961A81">
            <w:r w:rsidRPr="00532B9F">
              <w:rPr>
                <w:rFonts w:ascii="Times New Roman" w:eastAsia="MS Mincho" w:hAnsi="Times New Roman"/>
                <w:sz w:val="20"/>
                <w:iCs/>
                <w:color w:val="0000FF" w:themeColor="hyperlink"/>
                <w:u w:val="single"/>
              </w:rPr>
              <w:t>V-645/D1-555/3-458</w:t>
            </w:r>
          </w:fldSimple>
          <w:r>
            <w:rPr>
              <w:rFonts w:ascii="Times New Roman" w:eastAsia="MS Mincho" w:hAnsi="Times New Roman"/>
              <w:sz w:val="20"/>
              <w:iCs/>
            </w:rPr>
            <w:t>,
2012-06-29,
Žin., 2012, Nr.
77-3995 (2012-07-01), i. k. 1122250ISAK55/3-458                </w:t>
          </w:r>
        </w:p>
        <w:p>
          <w:pPr>
            <w:jc w:val="both"/>
            <w:rPr>
              <w:rFonts w:ascii="Times New Roman" w:hAnsi="Times New Roman"/>
            </w:rPr>
          </w:pPr>
          <w:r>
            <w:rPr>
              <w:rFonts w:ascii="Times New Roman" w:hAnsi="Times New Roman"/>
              <w:sz w:val="20"/>
            </w:rPr>
            <w:t>Dėl Lietuvos Respublikos sveikatos apsaugos ministro, Lietuvos Respublikos aplinkos ministro ir Lietuvos Respublikos susisiekimo ministro 2005 m. spalio 25 d. įsakymo Nr. V-787/D1-507/3-467 "Dėl Europos Sąjungos triukšmo valdymo sektoriaus teisės aktų reikalavimų įgyvendinimo ataskaitų teikimo Europos Bendrijų Komisijai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Lietuvos Respublikos aplinkos ministerija,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a6be440e61111e5ba46c884bbd2b4fd">
            <w:r w:rsidRPr="00532B9F">
              <w:rPr>
                <w:rFonts w:ascii="Times New Roman" w:eastAsia="MS Mincho" w:hAnsi="Times New Roman"/>
                <w:sz w:val="20"/>
                <w:iCs/>
                <w:color w:val="0000FF" w:themeColor="hyperlink"/>
                <w:u w:val="single"/>
              </w:rPr>
              <w:t>V-334/D1-171/3-73(1.5 E)</w:t>
            </w:r>
          </w:fldSimple>
          <w:r>
            <w:rPr>
              <w:rFonts w:ascii="Times New Roman" w:eastAsia="MS Mincho" w:hAnsi="Times New Roman"/>
              <w:sz w:val="20"/>
              <w:iCs/>
            </w:rPr>
            <w:t>,
2016-03-09,
paskelbta TAR 2016-03-10, i. k. 2016-04474                </w:t>
          </w:r>
        </w:p>
        <w:p>
          <w:pPr>
            <w:jc w:val="both"/>
            <w:rPr>
              <w:rFonts w:ascii="Times New Roman" w:hAnsi="Times New Roman"/>
            </w:rPr>
          </w:pPr>
          <w:r>
            <w:rPr>
              <w:rFonts w:ascii="Times New Roman" w:hAnsi="Times New Roman"/>
              <w:sz w:val="20"/>
            </w:rPr>
            <w:t>Dėl Lietuvos Respublikos sveikatos apsaugos ministro, Lietuvos Respublikos aplinkos ministro ir Lietuvos Respublikos susisiekimo ministro 2005 m. spalio 25 d. įsakymo Nr. V-787/D1-507/3-467 „Dėl Europos Sąjungos triukšmo valdymo sektoriaus teisės aktų reikalavimų įgyvendinimo ataskaitų teikimo Europos Bendrijų Komisijai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Lietuvos Respublikos aplinkos ministerija,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f5031057da11e7846ef01bfffb9b64">
            <w:r w:rsidRPr="00532B9F">
              <w:rPr>
                <w:rFonts w:ascii="Times New Roman" w:eastAsia="MS Mincho" w:hAnsi="Times New Roman"/>
                <w:sz w:val="20"/>
                <w:iCs/>
                <w:color w:val="0000FF" w:themeColor="hyperlink"/>
                <w:u w:val="single"/>
              </w:rPr>
              <w:t>V-787/D1-541/3-279</w:t>
            </w:r>
          </w:fldSimple>
          <w:r>
            <w:rPr>
              <w:rFonts w:ascii="Times New Roman" w:eastAsia="MS Mincho" w:hAnsi="Times New Roman"/>
              <w:sz w:val="20"/>
              <w:iCs/>
            </w:rPr>
            <w:t>,
2017-06-21,
paskelbta TAR 2017-06-23, i. k. 2017-10622                </w:t>
          </w:r>
        </w:p>
        <w:p>
          <w:pPr>
            <w:jc w:val="both"/>
            <w:rPr>
              <w:rFonts w:ascii="Times New Roman" w:hAnsi="Times New Roman"/>
            </w:rPr>
          </w:pPr>
          <w:r>
            <w:rPr>
              <w:rFonts w:ascii="Times New Roman" w:hAnsi="Times New Roman"/>
              <w:sz w:val="20"/>
            </w:rPr>
            <w:t>Dėl Lietuvos Respublikos sveikatos apsaugos ministro, Lietuvos Respublikos aplinkos ministro ir Lietuvos Respublikos susisiekimo ministro 2005 m. spalio 25 d. įsakymo Nr. V-787/D1-507/3-467 „Dėl Europos Sąjungos triukšmo valdymo sektoriaus teisės aktų reikalavimų įgyvendinimo ataskaitų teikimo Europos Komisijai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Lietuvos Respublikos aplinkos ministerija,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a410e0328c11e881f2ba995b003ed2">
            <w:r w:rsidRPr="00532B9F">
              <w:rPr>
                <w:rFonts w:ascii="Times New Roman" w:eastAsia="MS Mincho" w:hAnsi="Times New Roman"/>
                <w:sz w:val="20"/>
                <w:iCs/>
                <w:color w:val="0000FF" w:themeColor="hyperlink"/>
                <w:u w:val="single"/>
              </w:rPr>
              <w:t>V-347/D1-230/3-138</w:t>
            </w:r>
          </w:fldSimple>
          <w:r>
            <w:rPr>
              <w:rFonts w:ascii="Times New Roman" w:eastAsia="MS Mincho" w:hAnsi="Times New Roman"/>
              <w:sz w:val="20"/>
              <w:iCs/>
            </w:rPr>
            <w:t>,
2018-03-27,
paskelbta TAR 2018-03-29, i. k. 2018-04705                </w:t>
          </w:r>
        </w:p>
        <w:p>
          <w:pPr>
            <w:jc w:val="both"/>
            <w:rPr>
              <w:rFonts w:ascii="Times New Roman" w:hAnsi="Times New Roman"/>
            </w:rPr>
          </w:pPr>
          <w:r>
            <w:rPr>
              <w:rFonts w:ascii="Times New Roman" w:hAnsi="Times New Roman"/>
              <w:sz w:val="20"/>
            </w:rPr>
            <w:t>Dėl Lietuvos Respublikos sveikatos apsaugos ministro, Lietuvos Respublikos aplinkos ministro ir Lietuvos Respublikos susisiekimo ministro 2005 m. spalio 25 d. įsakymo Nr. V-787/D1-507/3-467 „Dėl Europos Sąjungos triukšmo valdymo sektoriaus teisės aktų reikalavimų įgyvendinimo ataskaitų teikimo Europos Komisijai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Lietuvos Respublikos aplinkos ministerija,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b1d60400a6511e9a5eaf2cd290f1944">
            <w:r w:rsidRPr="00532B9F">
              <w:rPr>
                <w:rFonts w:ascii="Times New Roman" w:eastAsia="MS Mincho" w:hAnsi="Times New Roman"/>
                <w:sz w:val="20"/>
                <w:iCs/>
                <w:color w:val="0000FF" w:themeColor="hyperlink"/>
                <w:u w:val="single"/>
              </w:rPr>
              <w:t>V-1513/D1-1126/3-670</w:t>
            </w:r>
          </w:fldSimple>
          <w:r>
            <w:rPr>
              <w:rFonts w:ascii="Times New Roman" w:eastAsia="MS Mincho" w:hAnsi="Times New Roman"/>
              <w:sz w:val="20"/>
              <w:iCs/>
            </w:rPr>
            <w:t>,
2018-12-27,
paskelbta TAR 2018-12-28, i. k. 2018-21714                </w:t>
          </w:r>
        </w:p>
        <w:p>
          <w:pPr>
            <w:jc w:val="both"/>
            <w:rPr>
              <w:rFonts w:ascii="Times New Roman" w:hAnsi="Times New Roman"/>
            </w:rPr>
          </w:pPr>
          <w:r>
            <w:rPr>
              <w:rFonts w:ascii="Times New Roman" w:hAnsi="Times New Roman"/>
              <w:sz w:val="20"/>
            </w:rPr>
            <w:t>Dėl Lietuvos Respublikos sveikatos apsaugos ministro, Lietuvos Respublikos aplinkos ministro ir Lietuvos Respublikos susisiekimo ministro 2005 m. spalio 25 d. įsakymo Nr. V-787/D1-507/3-467 „Dėl Europos Sąjungos triukšmo valdymo sektoriaus teisės aktų reikalavimų įgyvendinimo ataskaitų teikimo Europos Komisijai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Lietuvos Respublikos aplinkos ministerija,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f01b60abe911eab9d9cd0c85e0b745">
            <w:r w:rsidRPr="00532B9F">
              <w:rPr>
                <w:rFonts w:ascii="Times New Roman" w:eastAsia="MS Mincho" w:hAnsi="Times New Roman"/>
                <w:sz w:val="20"/>
                <w:iCs/>
                <w:color w:val="0000FF" w:themeColor="hyperlink"/>
                <w:u w:val="single"/>
              </w:rPr>
              <w:t>V-1428/D1-355/3-370</w:t>
            </w:r>
          </w:fldSimple>
          <w:r>
            <w:rPr>
              <w:rFonts w:ascii="Times New Roman" w:eastAsia="MS Mincho" w:hAnsi="Times New Roman"/>
              <w:sz w:val="20"/>
              <w:iCs/>
            </w:rPr>
            <w:t>,
2020-06-10,
paskelbta TAR 2020-06-11, i. k. 2020-12844                </w:t>
          </w:r>
        </w:p>
        <w:p>
          <w:pPr>
            <w:jc w:val="both"/>
            <w:rPr>
              <w:rFonts w:ascii="Times New Roman" w:hAnsi="Times New Roman"/>
            </w:rPr>
          </w:pPr>
          <w:r>
            <w:rPr>
              <w:rFonts w:ascii="Times New Roman" w:hAnsi="Times New Roman"/>
              <w:sz w:val="20"/>
            </w:rPr>
            <w:t>Dėl Lietuvos Respublikos sveikatos apsaugos ministro, Lietuvos Respublikos aplinkos ministro ir Lietuvos Respublikos susisiekimo ministro 2005 m. spalio 25 d. įsakymo Nr. V-787/D1-507/3-467 „Dėl Europos Sąjungos triukšmo valdymo sektoriaus teisės aktų reikalavimų įgyvendinimo ataskaitų teikimo Europos komisijai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Lietuvos Respublikos aplinkos ministerija,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4c7060399211edbc04912defe897d1">
            <w:r w:rsidRPr="00532B9F">
              <w:rPr>
                <w:rFonts w:ascii="Times New Roman" w:eastAsia="MS Mincho" w:hAnsi="Times New Roman"/>
                <w:sz w:val="20"/>
                <w:iCs/>
                <w:color w:val="0000FF" w:themeColor="hyperlink"/>
                <w:u w:val="single"/>
              </w:rPr>
              <w:t>V-1473/D1-309/3-444</w:t>
            </w:r>
          </w:fldSimple>
          <w:r>
            <w:rPr>
              <w:rFonts w:ascii="Times New Roman" w:eastAsia="MS Mincho" w:hAnsi="Times New Roman"/>
              <w:sz w:val="20"/>
              <w:iCs/>
            </w:rPr>
            <w:t>,
2022-09-21,
paskelbta TAR 2022-09-21, i. k. 2022-19218                </w:t>
          </w:r>
        </w:p>
        <w:p>
          <w:pPr>
            <w:jc w:val="both"/>
            <w:rPr>
              <w:rFonts w:ascii="Times New Roman" w:hAnsi="Times New Roman"/>
            </w:rPr>
          </w:pPr>
          <w:r>
            <w:rPr>
              <w:rFonts w:ascii="Times New Roman" w:hAnsi="Times New Roman"/>
              <w:sz w:val="20"/>
            </w:rPr>
            <w:t>Dėl Lietuvos Respublikos sveikatos apsaugos ministro, Lietuvos Respublikos aplinkos ministro ir Lietuvos Respublikos susisiekimo ministro 2005 m. spalio 25 d. įsakymo Nr. V-787/D1-507/3-467„Dėl Europos Sąjungos triukšmo valdymo sektoriaus teisės aktų reikalavimų įgyvendinimo ataskaitų teikimo Europos Komisijai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Lietuvos Respublikos aplinkos ministerija,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458df4f9a311ef8619bb348379608d">
            <w:r w:rsidRPr="00532B9F">
              <w:rPr>
                <w:rFonts w:ascii="Times New Roman" w:eastAsia="MS Mincho" w:hAnsi="Times New Roman"/>
                <w:sz w:val="20"/>
                <w:iCs/>
                <w:color w:val="0000FF" w:themeColor="hyperlink"/>
                <w:u w:val="single"/>
              </w:rPr>
              <w:t>V-169/D1-24/3-86</w:t>
            </w:r>
          </w:fldSimple>
          <w:r>
            <w:rPr>
              <w:rFonts w:ascii="Times New Roman" w:eastAsia="MS Mincho" w:hAnsi="Times New Roman"/>
              <w:sz w:val="20"/>
              <w:iCs/>
            </w:rPr>
            <w:t>,
2025-03-05,
paskelbta TAR 2025-03-05, i. k. 2025-03730                </w:t>
          </w:r>
        </w:p>
        <w:p>
          <w:pPr>
            <w:jc w:val="both"/>
            <w:rPr>
              <w:rFonts w:ascii="Times New Roman" w:hAnsi="Times New Roman"/>
            </w:rPr>
          </w:pPr>
          <w:r>
            <w:rPr>
              <w:rFonts w:ascii="Times New Roman" w:hAnsi="Times New Roman"/>
              <w:sz w:val="20"/>
            </w:rPr>
            <w:t>Dėl Lietuvos Respublikos sveikatos apsaugos ministro, Lietuvos Respublikos aplinkos ministro ir Lietuvos Respublikos susisiekimo ministro 2005 m. spalio 25 d. įsakymo Nr. V-787/D1-507/3-467 „Dėl Europos Sąjungos triukšmo valdymo sektoriaus teisės aktų reikalavimų įgyvendinimo ataskaitų teikimo Europos Komisijai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rPr>
        <w:rFonts w:eastAsia="Calibri"/>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rPr>
        <w:rFonts w:eastAsia="Calibri"/>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rPr>
        <w:rFonts w:eastAsia="Calibri"/>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lang w:eastAsia="lt-LT"/>
      </w:rPr>
    </w:pPr>
    <w:r>
      <w:rPr>
        <w:rFonts w:eastAsia="Calibri"/>
        <w:lang w:eastAsia="lt-LT"/>
      </w:rPr>
      <w:t>2</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lang w:eastAsia="lt-LT"/>
      </w:rPr>
    </w:pPr>
    <w:r>
      <w:rPr>
        <w:rFonts w:eastAsia="Calibri"/>
        <w:lang w:eastAsia="lt-LT"/>
      </w:rPr>
      <w:t>2</w:t>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lang w:eastAsia="lt-LT"/>
      </w:rPr>
    </w:pPr>
    <w:r>
      <w:rPr>
        <w:rFonts w:eastAsia="Calibri"/>
        <w:lang w:eastAsia="lt-LT"/>
      </w:rPr>
      <w:t>2</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623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F8FC92-0097-42E4-82C4-01C3319167A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9.xml"/>
  <Relationship Id="rId15" Type="http://schemas.openxmlformats.org/officeDocument/2006/relationships/header" Target="header20.xml"/>
  <Relationship Id="rId16" Type="http://schemas.openxmlformats.org/officeDocument/2006/relationships/footer" Target="footer19.xml"/>
  <Relationship Id="rId17" Type="http://schemas.openxmlformats.org/officeDocument/2006/relationships/footer" Target="footer20.xml"/>
  <Relationship Id="rId18" Type="http://schemas.openxmlformats.org/officeDocument/2006/relationships/header" Target="header21.xml"/>
  <Relationship Id="rId19" Type="http://schemas.openxmlformats.org/officeDocument/2006/relationships/footer" Target="footer21.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234cfcefd04be69a8cb6ebadffd44c" PartId="75b0ccc753b649f7bb471a4333787f1b">
    <Part Type="preambule" DocPartId="c2773a18081d4ff794ebbbe5424a602a" PartId="29d1ec482f624506a63eb450123ed5e0"/>
    <Part Type="pastraipa" DocPartId="7affc20131de4a5d8dd42f79328db0f0" PartId="768bbc0b0caa4d58a5d5f761590e7121"/>
    <Part Type="signatura" DocPartId="d09079435da440eebe9075425c0b8bd1" PartId="3373abf349174d45a668110c9cfba1c7"/>
  </Part>
  <Part Type="patvirtinta" Title="EUROPOS SĄJUNGOS TRIUKŠMO VALDYMO SEKTORIAUS TEISĖS AKTŲ REIKALAVIMŲ ĮGYVENDINIMO ATASKAITŲ TEIKIMO EUROPOS KOMISIJAI TAISYKLĖS" DocPartId="79ecd0bd0bd54f90a5d4680ff179698f" PartId="1aa9c4d8556f4f72a4544dda6d3bbc5b">
    <Part Type="punktas" Nr="1" Abbr="1 p." DocPartId="65abca37a7c2411d89f699773264a04a" PartId="684dd5d4a24041fc9c3cc0391f781494"/>
    <Part Type="punktas" Nr="2" Abbr="2 p." DocPartId="418806f02b8a4fc38bef514578fd38b1" PartId="91bbad1ef0324622b464ab310d1f4559">
      <Part Type="papunktis" Nr="2.1" Abbr="2.1 pp." DocPartId="cb7ffbfc28164c71bb8611990c80fcb3" PartId="ff82739fe96a4e0aa2e2cad1a3fb5fbf"/>
      <Part Type="papunktis" Nr="2.2" Abbr="2.2 pp." DocPartId="1abc0d41276e46669369bf201c034e6b" PartId="e74df785ccce4d31942268f893759f36"/>
    </Part>
    <Part Type="punktas" Nr="3" Abbr="3 p." DocPartId="6b04a4a9261e469dbf85ea957be9a52c" PartId="80b84c37c3e043dfa82efe11dbc9afe1">
      <Part Type="papunktis" Nr="3.1" Abbr="3.1 pp." DocPartId="c951f19904694c3e91743a441702b16a" PartId="314bbd3b0e72492e8d29404b5a272913"/>
      <Part Type="papunktis" Nr="3.2" Abbr="3.2 pp." DocPartId="08bfc159ea604a1588c6dd814f6bb083" PartId="28abe467a8934e119d7736c156f5e664"/>
      <Part Type="papunktis" Nr="3.3" Abbr="3.3 pp." DocPartId="7d7aaa66dbfd499db3cf3361333877ad" PartId="307cbf151bda47eb9625a7a95248fe8e"/>
      <Part Type="papunktis" Nr="3.4" Abbr="3.4 pp." DocPartId="5a144f2d69144da3b4da831555a19217" PartId="d3e849e000d942a1b35bfaa23da2e85d"/>
      <Part Type="papunktis" Nr="3.5" Abbr="3.5 pp." DocPartId="fdc91f6733e44054b5dad2597f1ac6c5" PartId="32eb15f3a7ca41a3a689e4a5ca4ade7f"/>
      <Part Type="papunktis" Nr="3.6" Abbr="3.6 pp." DocPartId="92c64dbcec3243b9bae1329753d63c29" PartId="2d717b1ebe654a57a836fdadde685950"/>
    </Part>
    <Part Type="punktas" Nr="4" Abbr="4 p." DocPartId="b2583b651d77493982f1e6743d5f7d25" PartId="cf705fbe93cb4942b00ec7edc1675dab">
      <Part Type="papunktis" Nr="4.1" Abbr="4.1 pp." DocPartId="7b648589971a4a6b9b571594cc3ce6f2" PartId="d7822814d21046969060252c105dc0d9"/>
      <Part Type="papunktis" Nr="4.2" Abbr="4.2 pp." DocPartId="1ea7bf6f7deb41158af7c6e2a1f0d2a4" PartId="bcb683db3fc44583a4caee5848266ef4"/>
      <Part Type="papunktis" Nr="4.3" Abbr="4.3 pp." DocPartId="cdbe19ef7321485e8b2cc1c1d9d30580" PartId="86bb0e8c82d744c789522dcebba7e43b"/>
      <Part Type="papunktis" Nr="4.4" Abbr="4.4 pp." DocPartId="8a9bae52dec34a6ca8a47b5e0e2792f2" PartId="b5945662e125415287e716e938c18e6d"/>
      <Part Type="papunktis" Nr="4.5" Abbr="4.5 pp." DocPartId="4e94cf4135f246438e02b960619692b6" PartId="9d0a168b96d14047a27c710160afe9ae"/>
      <Part Type="papunktis" Nr="4.6" Abbr="4.6 pp." DocPartId="994e3d07ebee4c05bdf611ad5c0776c3" PartId="2a4740082d9c4ef5abeb76bd4620ed99"/>
    </Part>
    <Part Type="punktas" Nr="5" Abbr="5 p." DocPartId="7187704272d14d5a89e65b631317ac2c" PartId="761b2505898f4df59d5141772dda2872">
      <Part Type="papunktis" Nr="5.1" Abbr="5.1 pp." DocPartId="ece6b15caa06409fa1a4236b963ba6ae" PartId="96bfe3152ba041d39f8fa9433578cf14"/>
      <Part Type="papunktis" Nr="5.2" Abbr="5.2 pp." DocPartId="5c6c0036e5c5484da056e80bc98c0bbb" PartId="96eef33a43f3439c8180efd2c0488931"/>
      <Part Type="papunktis" Nr="5.3" Abbr="5.3 pp." DocPartId="6ca3865bee334c7a8d5be3bcb0895b98" PartId="55f6adb6403747c6b9813e51e651bc37"/>
      <Part Type="papunktis" Nr="5.4" Abbr="5.4 pp." DocPartId="c5224c63296042a9acf67cbe24c86386" PartId="dade8ab95c3740d0b13f989d20e0f66e"/>
      <Part Type="papunktis" Nr="5.5" Abbr="5.5 pp." DocPartId="7a4a1cd500e44f6d948fb673b75cb773" PartId="91fbc1d3af8042508637a44b474388a9"/>
      <Part Type="papunktis" Nr="5.6" Abbr="5.6 pp." DocPartId="38c4854d9be345cf8ccbfce00a958f72" PartId="ae2510b3c1254260ba122a82cc8f6d8e"/>
      <Part Type="papunktis" Nr="5.7" Abbr="5.7 pp." DocPartId="f0ee2fea637141a090c3690f30e729d6" PartId="fa9b35ac3558452fa2d32b6b8172f27c"/>
    </Part>
    <Part Type="punktas" Nr="6" Abbr="6 p." DocPartId="7890793acfbd498c92928f2ab69d582e" PartId="967e82985f3b4f2cb32e630d5f38915c"/>
    <Part Type="punktas" Nr="7" Abbr="7 p." DocPartId="704521271b4641d2a7cfe16a4e2c7482" PartId="2fbed0bc69484ffba88a37d318ae08c1"/>
    <Part Type="punktas" Nr="8" Abbr="8 p." DocPartId="2764c829fd424e7aafe56d0adf7f21ae" PartId="d95c8c2cc66d431cb81fb1af95c99820"/>
    <Part Type="punktas" Nr="9" Abbr="9 p." DocPartId="d136d65cc2f4457f9f91a17ea7bf3a93" PartId="75c36a2b6a2c45329e1312d051915bdb"/>
    <Part Type="punktas" Nr="10" Abbr="10 p." DocPartId="7ba620f43ece4b81955a879beef9d707" PartId="65add8ed6a8a4c2684ede1317b1f4373"/>
    <Part Type="punktas" Nr="11" Abbr="11 p." DocPartId="e26298980f444ba69348af56c6cec56a" PartId="03817a3fc82845dca7be19f731ea470a"/>
    <Part Type="punktas" Nr="12" Abbr="12 p." DocPartId="a8b65a55c36a4f87aad67a7b6c6c5965" PartId="c976b8d234ab446c80c57ef63cec30f3"/>
    <Part Type="punktas" Nr="13" Abbr="13 p." DocPartId="62f62e7086e547a792f3e2c163432993" PartId="b3935b2431fb4c5697858ba95fb30041"/>
    <Part Type="punktas" Nr="14" Abbr="14 p." DocPartId="fd9a974c2826488389805a2cb31a32d1" PartId="0614fc8dc5814ea18ad5048befc9f90a"/>
    <Part Type="pabaiga" DocPartId="8af2647be3cd46a3a2c97ab3c218d5d6" PartId="3eaaddfc1990488f868c89a1bf00c665"/>
  </Part>
</Parts>
</file>

<file path=customXml/itemProps1.xml><?xml version="1.0" encoding="utf-8"?>
<ds:datastoreItem xmlns:ds="http://schemas.openxmlformats.org/officeDocument/2006/customXml" ds:itemID="{48315066-D2D6-4E5B-B6E2-5FBABD61B943}">
  <ds:schemaRefs>
    <ds:schemaRef ds:uri="http://lrs.lt/TAIS/DocParts"/>
  </ds:schemaRefs>
</ds:datastoreItem>
</file>

<file path=docProps/app.xml><?xml version="1.0" encoding="utf-8"?>
<Properties xmlns="http://schemas.openxmlformats.org/officeDocument/2006/extended-properties">
  <Template>Normal.dotm</Template>
  <TotalTime>29</TotalTime>
  <Pages>5</Pages>
  <Words>8479</Words>
  <Characters>4834</Characters>
  <Application>Microsoft Office Word</Application>
  <DocSecurity>0</DocSecurity>
  <Lines>40</Lines>
  <Paragraphs>26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13287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2015-07-05T23:35:00Z</dcterms:created>
  <dc:creator>User</dc:creator>
  <lastModifiedBy>TAMALIŪNIENĖ Vilija</lastModifiedBy>
  <dcterms:modified xsi:type="dcterms:W3CDTF">2025-03-07T09:30:00Z</dcterms:modified>
  <revision>18</revision>
</coreProperties>
</file>