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2022-11-01 iki 2022-11-29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340276387c8843b3820f7a9dd99b87aa"/>
                    <w:lock w:val="sdtLocked"/>
                    <w:richText/>
                  </w:sdtPr>
                  <w:sdtContent>
                    <w:p>
                      <w:pPr>
                        <w:spacing w:line="360" w:lineRule="auto"/>
                        <w:ind w:firstLine="720"/>
                        <w:jc w:val="both"/>
                        <w:textAlignment w:val="baseline"/>
                        <w:rPr>
                          <w:szCs w:val="24"/>
                        </w:rPr>
                      </w:pPr>
                      <w:sdt>
                        <w:sdtPr>
                          <w:alias w:val="Numeris"/>
                          <w:tag w:val="nr_340276387c8843b3820f7a9dd99b87aa"/>
                          <w:lock w:val="sdtLocked"/>
                          <w:richText/>
                        </w:sdtPr>
                        <w:sdtContent>
                          <w:r>
                            <w:rPr>
                              <w:szCs w:val="24"/>
                            </w:rPr>
                            <w:t>8</w:t>
                          </w:r>
                        </w:sdtContent>
                      </w:sdt>
                      <w:r>
                        <w:rPr>
                          <w:szCs w:val="24"/>
                        </w:rPr>
                        <w:t>. Teisę rengti ir išduoti nacionalinius techninius įvertinimus turi aplinkos ministro nustatyta tvarka paskirtos techninio vertinimo įstaigos, kurios yra Lietuvos Respublikoje įsteigti</w:t>
                      </w:r>
                      <w:r>
                        <w:rPr>
                          <w:color w:val="00B050"/>
                          <w:szCs w:val="24"/>
                        </w:rPr>
                        <w:t xml:space="preserve"> </w:t>
                      </w:r>
                      <w:r>
                        <w:rPr>
                          <w:szCs w:val="24"/>
                        </w:rPr>
                        <w:t>juridiniai asmenys,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b64d87705f7f4f7e94e7c00e85223422"/>
                    <w:lock w:val="sdtLocked"/>
                    <w:richText/>
                  </w:sdtPr>
                  <w:sdtContent>
                    <w:p>
                      <w:pPr>
                        <w:tabs>
                          <w:tab w:val="left" w:pos="1418"/>
                        </w:tabs>
                        <w:suppressAutoHyphens/>
                        <w:spacing w:line="360" w:lineRule="auto"/>
                        <w:ind w:firstLine="720"/>
                        <w:jc w:val="both"/>
                        <w:textAlignment w:val="baseline"/>
                        <w:rPr>
                          <w:szCs w:val="24"/>
                        </w:rPr>
                      </w:pPr>
                      <w:sdt>
                        <w:sdtPr>
                          <w:alias w:val="Numeris"/>
                          <w:tag w:val="nr_b64d87705f7f4f7e94e7c00e85223422"/>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viešoji įstaiga Statybos sektoriaus vystymo agentūra, išskyrus architektų atestavimą, kurį atlieka Lietuvos Respublikos architektų rūmai (toliau –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4b34f2a8cd4d424ca04639b006aa4f5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b34f2a8cd4d424ca04639b006aa4f59"/>
                          <w:lock w:val="sdtLocked"/>
                          <w:richText/>
                        </w:sdtPr>
                        <w:sdtContent>
                          <w:r>
                            <w:rPr>
                              <w:bCs/>
                              <w:szCs w:val="24"/>
                            </w:rPr>
                            <w:t>19</w:t>
                          </w:r>
                        </w:sdtContent>
                      </w:sdt>
                      <w:r>
                        <w:rPr>
                          <w:bCs/>
                          <w:szCs w:val="24"/>
                        </w:rPr>
                        <w:t xml:space="preserve">.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viešoji įstaiga </w:t>
                      </w:r>
                      <w:r>
                        <w:rPr>
                          <w:szCs w:val="24"/>
                        </w:rPr>
                        <w:t>Statybos sektoriaus vystymo agentūra</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24 d."/>
                    <w:tag w:val="part_ce32309bffef47ff890a798efab07d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e32309bffef47ff890a798efab07df4"/>
                          <w:lock w:val="sdtLocked"/>
                          <w:richText/>
                        </w:sdtPr>
                        <w:sdtContent>
                          <w:r>
                            <w:rPr>
                              <w:szCs w:val="24"/>
                            </w:rPr>
                            <w:t>24</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statinių statybos techninės veiklos pagrindinių sričių vadovų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klausimais, atlieka šių vadovų atitikties kvalifikaciniams reikalavimams stebėseną.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c6c468ce716543c4a0cda9b3f94e68e3"/>
            <w:lock w:val="sdtLocked"/>
            <w:richText/>
          </w:sdtPr>
          <w:sdtContent>
            <w:p>
              <w:pPr>
                <w:spacing w:line="360" w:lineRule="auto"/>
                <w:jc w:val="center"/>
                <w:rPr>
                  <w:b/>
                </w:rPr>
              </w:pPr>
              <w:sdt>
                <w:sdtPr>
                  <w:alias w:val="Numeris"/>
                  <w:tag w:val="nr_c6c468ce716543c4a0cda9b3f94e68e3"/>
                  <w:lock w:val="sdtLocked"/>
                  <w:richText/>
                </w:sdtPr>
                <w:sdtContent>
                  <w:r>
                    <w:rPr>
                      <w:b/>
                    </w:rPr>
                    <w:t>KETVIRTASIS</w:t>
                  </w:r>
                </w:sdtContent>
              </w:sdt>
              <w:r>
                <w:rPr>
                  <w:b/>
                </w:rPr>
                <w:t xml:space="preserve"> SKIRSNIS</w:t>
              </w:r>
            </w:p>
            <w:sdt>
              <w:sdtPr>
                <w:alias w:val="Pavadinimas"/>
                <w:tag w:val="title_c6c468ce716543c4a0cda9b3f94e68e3"/>
                <w:lock w:val="sdtLocked"/>
                <w:richText/>
              </w:sdtPr>
              <w:sdtContent>
                <w:p>
                  <w:pPr>
                    <w:spacing w:line="360" w:lineRule="auto"/>
                    <w:jc w:val="center"/>
                    <w:rPr>
                      <w:b/>
                    </w:rPr>
                  </w:pPr>
                  <w:r>
                    <w:rPr>
                      <w:b/>
                    </w:rPr>
                    <w:t xml:space="preserve">STATYBOS DALYVIAI, JŲ PAREIGOS IR TEISĖS. </w:t>
                  </w:r>
                </w:p>
                <w:p>
                  <w:pPr>
                    <w:spacing w:line="360" w:lineRule="auto"/>
                    <w:jc w:val="center"/>
                    <w:rPr>
                      <w:b/>
                    </w:rPr>
                  </w:pPr>
                  <w:r>
                    <w:rPr>
                      <w:b/>
                    </w:rPr>
                    <w:t xml:space="preserve">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cfbc0ef3c1844af3827fc8ad437d2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cfbc0ef3c1844af3827fc8ad437d2259"/>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2a2af75d6ced47ed9567dd6b4ac90f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a2af75d6ced47ed9567dd6b4ac90f30"/>
                              <w:lock w:val="sdtLocked"/>
                              <w:richText/>
                            </w:sdtPr>
                            <w:sdtContent>
                              <w:r>
                                <w:rPr>
                                  <w:szCs w:val="24"/>
                                </w:rPr>
                                <w:t>1</w:t>
                              </w:r>
                            </w:sdtContent>
                          </w:sdt>
                          <w:r>
                            <w:rPr>
                              <w:szCs w:val="24"/>
                            </w:rPr>
                            <w:t>) neturi būti pradėtas bankroto procesas (šią informaciją patikrina viešoji įstaiga Statybos sektoriaus vystymo agentūra),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154649bfb8c4fecb5bbe6a1cf2f99e1"/>
                        <w:lock w:val="sdtLocked"/>
                        <w:richText/>
                      </w:sdtPr>
                      <w:sdtContent>
                        <w:p>
                          <w:pPr>
                            <w:spacing w:line="360" w:lineRule="auto"/>
                            <w:ind w:firstLine="720"/>
                            <w:jc w:val="both"/>
                            <w:textAlignment w:val="baseline"/>
                            <w:rPr>
                              <w:szCs w:val="24"/>
                            </w:rPr>
                          </w:pPr>
                          <w:sdt>
                            <w:sdtPr>
                              <w:alias w:val="Numeris"/>
                              <w:tag w:val="nr_a154649bfb8c4fecb5bbe6a1cf2f99e1"/>
                              <w:lock w:val="sdtLocked"/>
                              <w:richText/>
                            </w:sdtPr>
                            <w:sdtContent>
                              <w:r>
                                <w:rPr>
                                  <w:szCs w:val="24"/>
                                  <w:lang w:eastAsia="lt-LT"/>
                                </w:rPr>
                                <w:t>2</w:t>
                              </w:r>
                            </w:sdtContent>
                          </w:sdt>
                          <w:r>
                            <w:rPr>
                              <w:szCs w:val="24"/>
                              <w:lang w:eastAsia="lt-LT"/>
                            </w:rPr>
                            <w:t>) Lietuvos Respublikos įstatymų ir kitų teisės aktų nustatyta tvarka paskirti statinio (dalies) ekspertizės vadovą (vadovus), o</w:t>
                          </w:r>
                          <w:r>
                            <w:rPr>
                              <w:szCs w:val="24"/>
                              <w:lang w:eastAsia="en-GB"/>
                            </w:rPr>
                            <w:t xml:space="preserve"> k</w:t>
                          </w:r>
                          <w:r>
                            <w:rPr>
                              <w:bCs/>
                              <w:szCs w:val="24"/>
                              <w:lang w:eastAsia="en-GB"/>
                            </w:rPr>
                            <w:t xml:space="preserve">ai </w:t>
                          </w:r>
                          <w:r>
                            <w:rPr>
                              <w:szCs w:val="24"/>
                              <w:lang w:eastAsia="lt-LT"/>
                            </w:rPr>
                            <w:t xml:space="preserve">statinio (dalies) ekspertizės </w:t>
                          </w:r>
                          <w:r>
                            <w:rPr>
                              <w:bCs/>
                              <w:szCs w:val="24"/>
                              <w:lang w:eastAsia="en-GB"/>
                            </w:rPr>
                            <w:t xml:space="preserve">rangovas turi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bCs/>
                              <w:szCs w:val="24"/>
                              <w:lang w:eastAsia="en-GB"/>
                            </w:rPr>
                            <w:t>,</w:t>
                          </w:r>
                          <w:r>
                            <w:rPr>
                              <w:szCs w:val="24"/>
                              <w:lang w:eastAsia="en-GB"/>
                            </w:rPr>
                            <w:t xml:space="preserve"> įgalioti </w:t>
                          </w:r>
                          <w:r>
                            <w:rPr>
                              <w:szCs w:val="24"/>
                              <w:lang w:eastAsia="lt-LT"/>
                            </w:rPr>
                            <w:t xml:space="preserve">statinio (dalies) ekspertizės vadovą (vadovus) </w:t>
                          </w:r>
                          <w:r>
                            <w:rPr>
                              <w:szCs w:val="24"/>
                              <w:lang w:eastAsia="en-GB"/>
                            </w:rPr>
                            <w:t xml:space="preserve">Lietuvos Respublikos statybos leidimų ir statybos valstybinės priežiūros informacinėje sistemoje „Infostatyba“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9fa16c27193d4517ab25f79d67d7e0b6"/>
                    <w:lock w:val="sdtLocked"/>
                    <w:richText/>
                  </w:sdtPr>
                  <w:sdtContent>
                    <w:p>
                      <w:pPr>
                        <w:tabs>
                          <w:tab w:val="left" w:pos="1418"/>
                        </w:tabs>
                        <w:suppressAutoHyphens/>
                        <w:spacing w:line="360" w:lineRule="auto"/>
                        <w:ind w:firstLine="720"/>
                        <w:jc w:val="both"/>
                        <w:textAlignment w:val="baseline"/>
                        <w:rPr>
                          <w:szCs w:val="24"/>
                        </w:rPr>
                      </w:pPr>
                      <w:sdt>
                        <w:sdtPr>
                          <w:alias w:val="Numeris"/>
                          <w:tag w:val="nr_9fa16c27193d4517ab25f79d67d7e0b6"/>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12 d."/>
                    <w:tag w:val="part_4a3a6a23bffe4196850200def51637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a3a6a23bffe4196850200def516377d"/>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12a0d294ba5148f29438c5f27f12713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2a0d294ba5148f29438c5f27f127139"/>
                              <w:lock w:val="sdtLocked"/>
                              <w:richText/>
                            </w:sdtPr>
                            <w:sdtContent>
                              <w:r>
                                <w:rPr>
                                  <w:bCs/>
                                  <w:szCs w:val="24"/>
                                </w:rPr>
                                <w:t>1</w:t>
                              </w:r>
                            </w:sdtContent>
                          </w:sdt>
                          <w:r>
                            <w:rPr>
                              <w:bCs/>
                              <w:szCs w:val="24"/>
                            </w:rPr>
                            <w:t xml:space="preserve">) neturi būti pradėtas bankroto procesas (šią informaciją patikrina viešoji įstaiga </w:t>
                          </w:r>
                          <w:r>
                            <w:rPr>
                              <w:szCs w:val="24"/>
                            </w:rPr>
                            <w:t>Statybos sektoriaus vystymo agentūra</w:t>
                          </w:r>
                          <w:r>
                            <w:rPr>
                              <w:bCs/>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531f9afd1faf4726a07db3a30ad9380b"/>
                    <w:lock w:val="sdtLocked"/>
                    <w:richText/>
                  </w:sdtPr>
                  <w:sdtContent>
                    <w:p>
                      <w:pPr>
                        <w:tabs>
                          <w:tab w:val="left" w:pos="1418"/>
                        </w:tabs>
                        <w:suppressAutoHyphens/>
                        <w:spacing w:line="360" w:lineRule="auto"/>
                        <w:ind w:firstLine="720"/>
                        <w:jc w:val="both"/>
                        <w:textAlignment w:val="baseline"/>
                        <w:rPr>
                          <w:szCs w:val="24"/>
                        </w:rPr>
                      </w:pPr>
                      <w:sdt>
                        <w:sdtPr>
                          <w:alias w:val="Numeris"/>
                          <w:tag w:val="nr_531f9afd1faf4726a07db3a30ad9380b"/>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73d7243621ab4868b54e80192a14c0a3"/>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73d7243621ab4868b54e80192a14c0a3"/>
                          <w:lock w:val="sdtLocked"/>
                          <w:richText/>
                        </w:sdtPr>
                        <w:sdtContent>
                          <w:r>
                            <w:rPr>
                              <w:rFonts w:eastAsia="Calibri"/>
                              <w:szCs w:val="24"/>
                            </w:rPr>
                            <w:t>6</w:t>
                          </w:r>
                        </w:sdtContent>
                      </w:sdt>
                      <w:r>
                        <w:rPr>
                          <w:rFonts w:eastAsia="Calibri"/>
                          <w:szCs w:val="24"/>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w:t>
                      </w:r>
                      <w:r>
                        <w:rPr>
                          <w:szCs w:val="24"/>
                        </w:rPr>
                        <w:t>Statybos sektoriaus vystymo agentūra</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11 d."/>
                    <w:tag w:val="part_d8c8ff7000074740a5aecea6ee1400d8"/>
                    <w:lock w:val="sdtLocked"/>
                    <w:richText/>
                  </w:sdtPr>
                  <w:sdtContent>
                    <w:p>
                      <w:pPr>
                        <w:spacing w:line="360" w:lineRule="auto"/>
                        <w:ind w:firstLine="720"/>
                        <w:jc w:val="both"/>
                        <w:rPr>
                          <w:szCs w:val="24"/>
                        </w:rPr>
                      </w:pPr>
                      <w:sdt>
                        <w:sdtPr>
                          <w:alias w:val="Numeris"/>
                          <w:tag w:val="nr_d8c8ff7000074740a5aecea6ee1400d8"/>
                          <w:lock w:val="sdtLocked"/>
                          <w:richText/>
                        </w:sdtPr>
                        <w:sdtContent>
                          <w:r>
                            <w:rPr>
                              <w:szCs w:val="24"/>
                              <w:lang w:eastAsia="lt-LT"/>
                            </w:rPr>
                            <w:t>11</w:t>
                          </w:r>
                        </w:sdtContent>
                      </w:sdt>
                      <w:r>
                        <w:rPr>
                          <w:szCs w:val="24"/>
                          <w:lang w:eastAsia="lt-LT"/>
                        </w:rPr>
                        <w:t xml:space="preserve">. </w:t>
                      </w:r>
                      <w:r>
                        <w:rPr>
                          <w:bCs/>
                          <w:szCs w:val="24"/>
                        </w:rPr>
                        <w:t xml:space="preserve">Viešoji įstaiga Statybos sektoriaus vystymo agentūra </w:t>
                      </w:r>
                      <w:r>
                        <w:rPr>
                          <w:szCs w:val="24"/>
                        </w:rPr>
                        <w:t xml:space="preserve">aplinkos ministro </w:t>
                      </w:r>
                      <w:r>
                        <w:rPr>
                          <w:bCs/>
                          <w:szCs w:val="24"/>
                          <w:bdr w:val="none" w:sz="0" w:space="0" w:color="auto" w:frame="1"/>
                        </w:rPr>
                        <w:t>nustatyta tvarka šviečia, konsultuoja fizinius ir juridinius asmenis ir nagrinėja prašymus, skundus</w:t>
                      </w:r>
                      <w:r>
                        <w:rPr>
                          <w:szCs w:val="24"/>
                          <w:lang w:eastAsia="lt-LT"/>
                        </w:rPr>
                        <w:t xml:space="preserve"> statinių projektuotojų, statybos rangovų, statinio projekto ekspertizės ir statinio ekspertizės rangovų, statinio statybos techninių prižiūrėtojų, statinio statybos techninės priežiūros rangovų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w:t>
                      </w:r>
                      <w:r>
                        <w:rPr>
                          <w:szCs w:val="24"/>
                          <w:lang w:eastAsia="lt-LT"/>
                        </w:rPr>
                        <w:t xml:space="preserve">klausimais, atlieka statinių projektuotojų, </w:t>
                      </w:r>
                      <w:r>
                        <w:rPr>
                          <w:bCs/>
                          <w:szCs w:val="24"/>
                        </w:rPr>
                        <w:t xml:space="preserve">statybos rangovų, statinio projekto ekspertizės ir statinio ekspertizės rangovų, </w:t>
                      </w:r>
                      <w:r>
                        <w:rPr>
                          <w:szCs w:val="24"/>
                        </w:rPr>
                        <w:t>statinio statybos techninių prižiūrėtojų, statinio statybos techninės priežiūros rangovų</w:t>
                      </w:r>
                      <w:r>
                        <w:rPr>
                          <w:szCs w:val="24"/>
                          <w:lang w:eastAsia="lt-LT"/>
                        </w:rPr>
                        <w:t xml:space="preserve">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
              <w:sdtPr>
                <w:alias w:val="22-1 str."/>
                <w:tag w:val="part_e58780bdb50c40fb8c4b2497d7521b39"/>
                <w:lock w:val="sdtLocked"/>
                <w:richText/>
              </w:sdtPr>
              <w:sdtContent>
                <w:p>
                  <w:pPr>
                    <w:spacing w:line="360" w:lineRule="auto"/>
                    <w:ind w:firstLine="720"/>
                    <w:jc w:val="both"/>
                    <w:rPr>
                      <w:b/>
                      <w:bCs/>
                      <w:lang w:eastAsia="lt-LT"/>
                    </w:rPr>
                  </w:pPr>
                  <w:sdt>
                    <w:sdtPr>
                      <w:alias w:val="Numeris"/>
                      <w:tag w:val="nr_e58780bdb50c40fb8c4b2497d7521b39"/>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e58780bdb50c40fb8c4b2497d7521b39"/>
                      <w:lock w:val="sdtLocked"/>
                      <w:richText/>
                    </w:sdtPr>
                    <w:sdtContent>
                      <w:r>
                        <w:rPr>
                          <w:b/>
                          <w:bCs/>
                          <w:lang w:eastAsia="lt-LT"/>
                        </w:rPr>
                        <w:t>Statybvietėje esančių asmenų identifikavimas</w:t>
                      </w:r>
                    </w:sdtContent>
                  </w:sdt>
                </w:p>
                <w:sdt>
                  <w:sdtPr>
                    <w:alias w:val="22-1 str. 1 d."/>
                    <w:tag w:val="part_aeda052c6601433c8cc52f9c99d3b38f"/>
                    <w:lock w:val="sdtLocked"/>
                    <w:richText/>
                  </w:sdtPr>
                  <w:sdtContent>
                    <w:p>
                      <w:pPr>
                        <w:tabs>
                          <w:tab w:val="left" w:pos="1134"/>
                        </w:tabs>
                        <w:spacing w:line="360" w:lineRule="auto"/>
                        <w:ind w:firstLine="720"/>
                        <w:jc w:val="both"/>
                        <w:rPr>
                          <w:lang w:eastAsia="lt-LT"/>
                        </w:rPr>
                      </w:pPr>
                      <w:sdt>
                        <w:sdtPr>
                          <w:alias w:val="Numeris"/>
                          <w:tag w:val="nr_aeda052c6601433c8cc52f9c99d3b38f"/>
                          <w:lock w:val="sdtLocked"/>
                          <w:richText/>
                        </w:sdtPr>
                        <w:sdtContent>
                          <w:r>
                            <w:rPr>
                              <w:lang w:eastAsia="lt-LT"/>
                            </w:rPr>
                            <w:t>1</w:t>
                          </w:r>
                        </w:sdtContent>
                      </w:sdt>
                      <w:r>
                        <w:rPr>
                          <w:lang w:eastAsia="lt-LT"/>
                        </w:rPr>
                        <w:t>. Statybvietėje statybos darbus atliekantys asmenys, nurodyti Lietuvos Respublikos valstybinio socialinio draudimo įstatymo 15</w:t>
                      </w:r>
                      <w:r>
                        <w:rPr>
                          <w:vertAlign w:val="superscript"/>
                          <w:lang w:eastAsia="lt-LT"/>
                        </w:rPr>
                        <w:t>1</w:t>
                      </w:r>
                      <w:r>
                        <w:rPr>
                          <w:lang w:eastAsia="lt-LT"/>
                        </w:rPr>
                        <w:t xml:space="preserve"> straipsnio 1 dalyje, privalo turėti galiojantį Valstybinio socialinio draudimo įstatymo 15</w:t>
                      </w:r>
                      <w:r>
                        <w:rPr>
                          <w:vertAlign w:val="superscript"/>
                          <w:lang w:eastAsia="lt-LT"/>
                        </w:rPr>
                        <w:t>1</w:t>
                      </w:r>
                      <w:r>
                        <w:rPr>
                          <w:lang w:eastAsia="lt-LT"/>
                        </w:rPr>
                        <w:t xml:space="preserve"> straipsnyje nustatyta tvarka suformuotą skaidriai dirbančio asmens </w:t>
                      </w:r>
                      <w:r>
                        <w:rPr>
                          <w:color w:val="000000"/>
                        </w:rPr>
                        <w:t xml:space="preserve">identifikavimo </w:t>
                      </w:r>
                      <w:r>
                        <w:rPr>
                          <w:lang w:eastAsia="lt-LT"/>
                        </w:rPr>
                        <w:t>kodą (toliau – kodas), o tais atvejais, kai jiems kodas negali būti suformuotas, privalo turėti kode užšifruojamus duomenis, nurodytus Valstybinio socialinio draudimo įstatymo 15</w:t>
                      </w:r>
                      <w:r>
                        <w:rPr>
                          <w:vertAlign w:val="superscript"/>
                          <w:lang w:eastAsia="lt-LT"/>
                        </w:rPr>
                        <w:t>1</w:t>
                      </w:r>
                      <w:r>
                        <w:rPr>
                          <w:lang w:eastAsia="lt-LT"/>
                        </w:rPr>
                        <w:t xml:space="preserve"> straipsnio 8 dalyje, pagrindžiančius dokumentus (toliau – kode užšifruojamus duomenis pagrindžiantys dokumentai) ir pateikti jį (juos):</w:t>
                      </w:r>
                    </w:p>
                    <w:sdt>
                      <w:sdtPr>
                        <w:alias w:val="22-1 str. 1 d. 1 p."/>
                        <w:tag w:val="part_725328b3d461448bac5c2600206d57c0"/>
                        <w:lock w:val="sdtLocked"/>
                        <w:richText/>
                      </w:sdtPr>
                      <w:sdtContent>
                        <w:p>
                          <w:pPr>
                            <w:tabs>
                              <w:tab w:val="left" w:pos="1134"/>
                            </w:tabs>
                            <w:spacing w:line="360" w:lineRule="auto"/>
                            <w:ind w:firstLine="720"/>
                            <w:jc w:val="both"/>
                            <w:rPr>
                              <w:lang w:eastAsia="lt-LT"/>
                            </w:rPr>
                          </w:pPr>
                          <w:sdt>
                            <w:sdtPr>
                              <w:alias w:val="Numeris"/>
                              <w:tag w:val="nr_725328b3d461448bac5c2600206d57c0"/>
                              <w:lock w:val="sdtLocked"/>
                              <w:richText/>
                            </w:sdtPr>
                            <w:sdtContent>
                              <w:r>
                                <w:rPr>
                                  <w:lang w:eastAsia="lt-LT"/>
                                </w:rPr>
                                <w:t>1</w:t>
                              </w:r>
                            </w:sdtContent>
                          </w:sdt>
                          <w:r>
                            <w:rPr>
                              <w:lang w:eastAsia="lt-LT"/>
                            </w:rPr>
                            <w:t>) patikrinimo metu Lietuvos Respublikos užimtumo įstatymo 55 straipsnyje nurodytoms institucijoms;</w:t>
                          </w:r>
                        </w:p>
                      </w:sdtContent>
                    </w:sdt>
                    <w:sdt>
                      <w:sdtPr>
                        <w:alias w:val="22-1 str. 1 d. 2 p."/>
                        <w:tag w:val="part_4ddc7f96673f4d17b7b44579b10a298b"/>
                        <w:lock w:val="sdtLocked"/>
                        <w:richText/>
                      </w:sdtPr>
                      <w:sdtContent>
                        <w:p>
                          <w:pPr>
                            <w:tabs>
                              <w:tab w:val="left" w:pos="1134"/>
                            </w:tabs>
                            <w:spacing w:line="360" w:lineRule="auto"/>
                            <w:ind w:firstLine="720"/>
                            <w:jc w:val="both"/>
                            <w:rPr>
                              <w:lang w:eastAsia="lt-LT"/>
                            </w:rPr>
                          </w:pPr>
                          <w:sdt>
                            <w:sdtPr>
                              <w:alias w:val="Numeris"/>
                              <w:tag w:val="nr_4ddc7f96673f4d17b7b44579b10a298b"/>
                              <w:lock w:val="sdtLocked"/>
                              <w:richText/>
                            </w:sdtPr>
                            <w:sdtContent>
                              <w:r>
                                <w:rPr>
                                  <w:lang w:eastAsia="lt-LT"/>
                                </w:rPr>
                                <w:t>2</w:t>
                              </w:r>
                            </w:sdtContent>
                          </w:sdt>
                          <w:r>
                            <w:rPr>
                              <w:lang w:eastAsia="lt-LT"/>
                            </w:rPr>
                            <w:t xml:space="preserve">) </w:t>
                          </w:r>
                          <w:r>
                            <w:rPr>
                              <w:color w:val="000000"/>
                              <w:szCs w:val="24"/>
                            </w:rPr>
                            <w:t>statybos patikrinimo metu</w:t>
                          </w:r>
                          <w:r>
                            <w:rPr>
                              <w:color w:val="000000"/>
                              <w:sz w:val="22"/>
                              <w:szCs w:val="22"/>
                            </w:rPr>
                            <w:t xml:space="preserve"> </w:t>
                          </w:r>
                          <w:r>
                            <w:rPr>
                              <w:lang w:eastAsia="lt-LT"/>
                            </w:rPr>
                            <w:t>V</w:t>
                          </w:r>
                          <w:r>
                            <w:t>alstybinei teritorijų planavimo ir statybos inspekcijai prie Aplinkos ministerijos;</w:t>
                          </w:r>
                        </w:p>
                      </w:sdtContent>
                    </w:sdt>
                    <w:sdt>
                      <w:sdtPr>
                        <w:alias w:val="22-1 str. 1 d. 3 p."/>
                        <w:tag w:val="part_25d621a273144302a5e0e02a1ff850e5"/>
                        <w:lock w:val="sdtLocked"/>
                        <w:richText/>
                      </w:sdtPr>
                      <w:sdtContent>
                        <w:p>
                          <w:pPr>
                            <w:tabs>
                              <w:tab w:val="left" w:pos="1134"/>
                            </w:tabs>
                            <w:spacing w:line="360" w:lineRule="auto"/>
                            <w:ind w:firstLine="720"/>
                            <w:jc w:val="both"/>
                            <w:rPr>
                              <w:lang w:eastAsia="lt-LT"/>
                            </w:rPr>
                          </w:pPr>
                          <w:sdt>
                            <w:sdtPr>
                              <w:alias w:val="Numeris"/>
                              <w:tag w:val="nr_25d621a273144302a5e0e02a1ff850e5"/>
                              <w:lock w:val="sdtLocked"/>
                              <w:richText/>
                            </w:sdtPr>
                            <w:sdtContent>
                              <w:r>
                                <w:t>3</w:t>
                              </w:r>
                            </w:sdtContent>
                          </w:sdt>
                          <w:r>
                            <w:t>)</w:t>
                          </w:r>
                          <w:r>
                            <w:rPr>
                              <w:lang w:eastAsia="lt-LT"/>
                            </w:rPr>
                            <w:t xml:space="preserve"> prieš patenkant į statybvietę ir statybvietėje pareikalavus statytojui (užsakovui) ar jo vienam įgaliotam rangovui ar jų įgaliotiems asmenims.</w:t>
                          </w:r>
                        </w:p>
                      </w:sdtContent>
                    </w:sdt>
                  </w:sdtContent>
                </w:sdt>
                <w:sdt>
                  <w:sdtPr>
                    <w:alias w:val="22-1 str. 2 d."/>
                    <w:tag w:val="part_1431b243bf77426f947db2f4447c82e6"/>
                    <w:lock w:val="sdtLocked"/>
                    <w:richText/>
                  </w:sdtPr>
                  <w:sdtContent>
                    <w:p>
                      <w:pPr>
                        <w:tabs>
                          <w:tab w:val="left" w:pos="1134"/>
                        </w:tabs>
                        <w:spacing w:line="360" w:lineRule="auto"/>
                        <w:ind w:firstLine="720"/>
                        <w:jc w:val="both"/>
                        <w:rPr>
                          <w:szCs w:val="24"/>
                        </w:rPr>
                      </w:pPr>
                      <w:sdt>
                        <w:sdtPr>
                          <w:alias w:val="Numeris"/>
                          <w:tag w:val="nr_1431b243bf77426f947db2f4447c82e6"/>
                          <w:lock w:val="sdtLocked"/>
                          <w:richText/>
                        </w:sdtPr>
                        <w:sdtContent>
                          <w:r>
                            <w:rPr>
                              <w:lang w:eastAsia="lt-LT"/>
                            </w:rPr>
                            <w:t>2</w:t>
                          </w:r>
                        </w:sdtContent>
                      </w:sdt>
                      <w:r>
                        <w:rPr>
                          <w:lang w:eastAsia="lt-LT"/>
                        </w:rPr>
                        <w:t xml:space="preserve">. </w:t>
                      </w:r>
                      <w:r>
                        <w:rPr>
                          <w:szCs w:val="24"/>
                        </w:rPr>
                        <w:t>Statybvietėje gali būti asmenys, kurie:</w:t>
                      </w:r>
                    </w:p>
                    <w:sdt>
                      <w:sdtPr>
                        <w:alias w:val="22-1 str. 2 d. 1 p."/>
                        <w:tag w:val="part_28979bb5f1df4eaa91ef0a5748132691"/>
                        <w:lock w:val="sdtLocked"/>
                        <w:richText/>
                      </w:sdtPr>
                      <w:sdtContent>
                        <w:p>
                          <w:pPr>
                            <w:tabs>
                              <w:tab w:val="left" w:pos="1134"/>
                            </w:tabs>
                            <w:spacing w:line="360" w:lineRule="auto"/>
                            <w:ind w:firstLine="720"/>
                            <w:jc w:val="both"/>
                          </w:pPr>
                          <w:sdt>
                            <w:sdtPr>
                              <w:alias w:val="Numeris"/>
                              <w:tag w:val="nr_28979bb5f1df4eaa91ef0a5748132691"/>
                              <w:lock w:val="sdtLocked"/>
                              <w:richText/>
                            </w:sdtPr>
                            <w:sdtContent>
                              <w:r>
                                <w:t>1</w:t>
                              </w:r>
                            </w:sdtContent>
                          </w:sdt>
                          <w:r>
                            <w:t>) turi kodą arba, kai jiems kodas negali būti suformuotas, – kode užšifruojamus duomenis pagrindžiančius dokumentus, arba</w:t>
                          </w:r>
                        </w:p>
                      </w:sdtContent>
                    </w:sdt>
                    <w:sdt>
                      <w:sdtPr>
                        <w:alias w:val="22-1 str. 2 d. 2 p."/>
                        <w:tag w:val="part_dd221dbf2d6c408887ea4c8234dc9267"/>
                        <w:lock w:val="sdtLocked"/>
                        <w:richText/>
                      </w:sdtPr>
                      <w:sdtContent>
                        <w:p>
                          <w:pPr>
                            <w:tabs>
                              <w:tab w:val="left" w:pos="1134"/>
                            </w:tabs>
                            <w:spacing w:line="360" w:lineRule="auto"/>
                            <w:ind w:firstLine="720"/>
                            <w:jc w:val="both"/>
                            <w:rPr>
                              <w:szCs w:val="24"/>
                            </w:rPr>
                          </w:pPr>
                          <w:sdt>
                            <w:sdtPr>
                              <w:alias w:val="Numeris"/>
                              <w:tag w:val="nr_dd221dbf2d6c408887ea4c8234dc9267"/>
                              <w:lock w:val="sdtLocked"/>
                              <w:richText/>
                            </w:sdtPr>
                            <w:sdtContent>
                              <w:r>
                                <w:rPr>
                                  <w:szCs w:val="24"/>
                                </w:rPr>
                                <w:t>2</w:t>
                              </w:r>
                            </w:sdtContent>
                          </w:sdt>
                          <w:r>
                            <w:rPr>
                              <w:szCs w:val="24"/>
                            </w:rPr>
                            <w:t xml:space="preserve">) 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7d814ddb69354af3ad7e7d703ae243eb"/>
                    <w:lock w:val="sdtLocked"/>
                    <w:richText/>
                  </w:sdtPr>
                  <w:sdtContent>
                    <w:p>
                      <w:pPr>
                        <w:tabs>
                          <w:tab w:val="left" w:pos="1134"/>
                        </w:tabs>
                        <w:spacing w:line="360" w:lineRule="auto"/>
                        <w:ind w:firstLine="720"/>
                        <w:jc w:val="both"/>
                      </w:pPr>
                      <w:sdt>
                        <w:sdtPr>
                          <w:alias w:val="Numeris"/>
                          <w:tag w:val="nr_7d814ddb69354af3ad7e7d703ae243eb"/>
                          <w:lock w:val="sdtLocked"/>
                          <w:richText/>
                        </w:sdtPr>
                        <w:sdtContent>
                          <w:r>
                            <w:t>3</w:t>
                          </w:r>
                        </w:sdtContent>
                      </w:sdt>
                      <w:r>
                        <w:t>. Statytojas (užsakovas) ar jo vienas įgaliotas rangovas nustato kitų statybvietėje esančių asmenų, kurie nenurodyti šio straipsnio 1 dalyje, identifikavimo priemonę, prireikus – jos išdavimo tvarką, registruoja šių asmenų buvimo statybvietėje pradžios ir pabaigos laiką ir priežastį.</w:t>
                      </w:r>
                    </w:p>
                  </w:sdtContent>
                </w:sdt>
                <w:sdt>
                  <w:sdtPr>
                    <w:alias w:val="22-1 str. 4 d."/>
                    <w:tag w:val="part_c1671a3465634f49933f5f97a01bf1f9"/>
                    <w:lock w:val="sdtLocked"/>
                    <w:richText/>
                  </w:sdtPr>
                  <w:sdtContent>
                    <w:p>
                      <w:pPr>
                        <w:tabs>
                          <w:tab w:val="left" w:pos="1134"/>
                        </w:tabs>
                        <w:spacing w:line="360" w:lineRule="auto"/>
                        <w:ind w:firstLine="720"/>
                        <w:jc w:val="both"/>
                        <w:rPr>
                          <w:lang w:eastAsia="lt-LT"/>
                        </w:rPr>
                      </w:pPr>
                      <w:sdt>
                        <w:sdtPr>
                          <w:alias w:val="Numeris"/>
                          <w:tag w:val="nr_c1671a3465634f49933f5f97a01bf1f9"/>
                          <w:lock w:val="sdtLocked"/>
                          <w:richText/>
                        </w:sdtPr>
                        <w:sdtContent>
                          <w:r>
                            <w:rPr>
                              <w:lang w:eastAsia="lt-LT"/>
                            </w:rPr>
                            <w:t>4</w:t>
                          </w:r>
                        </w:sdtContent>
                      </w:sdt>
                      <w:r>
                        <w:rPr>
                          <w:lang w:eastAsia="lt-LT"/>
                        </w:rPr>
                        <w:t xml:space="preserve">. Statytojas (užsakovas) arba jo vienas įgaliotas rangovas privalo užtikrinti, kad visi statybvietėje esantys fiziniai asmenys turėtų kodus (kai jiems kodas negali būti suformuotas, – kode užšifruojamus duomenis pagrindžiančius dokumentus) arba identifikavimo priemonę ir jį (ją) pateiktų šio straipsnio 1 ir 2 dalyse nustatytais atvejais ir tvarka. </w:t>
                      </w:r>
                    </w:p>
                  </w:sdtContent>
                </w:sdt>
                <w:sdt>
                  <w:sdtPr>
                    <w:alias w:val="22-1 str. 5 d."/>
                    <w:tag w:val="part_c77e5e57b1f34e6baa0dcaae52780a89"/>
                    <w:lock w:val="sdtLocked"/>
                    <w:richText/>
                  </w:sdtPr>
                  <w:sdtContent>
                    <w:p>
                      <w:pPr>
                        <w:tabs>
                          <w:tab w:val="left" w:pos="1134"/>
                        </w:tabs>
                        <w:spacing w:line="360" w:lineRule="auto"/>
                        <w:ind w:firstLine="720"/>
                        <w:jc w:val="both"/>
                        <w:rPr>
                          <w:szCs w:val="24"/>
                        </w:rPr>
                      </w:pPr>
                      <w:sdt>
                        <w:sdtPr>
                          <w:alias w:val="Numeris"/>
                          <w:tag w:val="nr_c77e5e57b1f34e6baa0dcaae52780a89"/>
                          <w:lock w:val="sdtLocked"/>
                          <w:richText/>
                        </w:sdtPr>
                        <w:sdtContent>
                          <w:r>
                            <w:rPr>
                              <w:color w:val="000000"/>
                              <w:szCs w:val="24"/>
                            </w:rPr>
                            <w:t>5</w:t>
                          </w:r>
                        </w:sdtContent>
                      </w:sdt>
                      <w:r>
                        <w:rPr>
                          <w:color w:val="000000"/>
                          <w:szCs w:val="24"/>
                        </w:rPr>
                        <w:t>. Statytojas (užsakovas) ar jo įgaliotas rangovas, nevykdantis šio straipsnio 4 dalyje nustatytų pareigų arba netinkamai jas vykdantis, atsako šio įstatymo ir Lietuvos Respublikos administracinių nusižengimų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7a24c044f155438a81074b41ed545a98"/>
                    <w:lock w:val="sdtLocked"/>
                    <w:richText/>
                  </w:sdtPr>
                  <w:sdtContent>
                    <w:p>
                      <w:pPr>
                        <w:spacing w:line="360" w:lineRule="auto"/>
                        <w:ind w:firstLine="720"/>
                        <w:jc w:val="both"/>
                        <w:rPr>
                          <w:iCs/>
                          <w:szCs w:val="24"/>
                        </w:rPr>
                      </w:pPr>
                      <w:sdt>
                        <w:sdtPr>
                          <w:alias w:val="Numeris"/>
                          <w:tag w:val="nr_7a24c044f155438a81074b41ed545a98"/>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w:t>
                      </w:r>
                      <w:r>
                        <w:rPr>
                          <w:bCs/>
                          <w:szCs w:val="24"/>
                        </w:rPr>
                        <w:t>arba,</w:t>
                      </w:r>
                      <w:r>
                        <w:rPr>
                          <w:szCs w:val="24"/>
                        </w:rPr>
                        <w:t xml:space="preserve"> </w:t>
                      </w:r>
                      <w:r>
                        <w:rPr>
                          <w:bCs/>
                          <w:szCs w:val="24"/>
                        </w:rPr>
                        <w:t>įgyvendinant ypatingos valstybinės svarbos projektus, Vyriausybės nutarimais, kuriais patvirtinti ypatingos valstybinės svarbos projekto specialieji planai ir pradėtos žemės paėmimo visuomenės poreikiams procedūros</w:t>
                      </w:r>
                      <w:r>
                        <w:rPr>
                          <w:szCs w:val="24"/>
                        </w:rPr>
                        <w:t>; technine užduotimi; žemės sklypo (teritorijos) ir statinio statybinių tyrimų (jeigu juos atlikti privaloma arba jie atlikti) dokumentais; kultūros paveldo tyrimų (jeigu juos atlikti privaloma) medžiaga; projektiniais pasiūlymais (kai juos rengti privaloma aplinkos ministro nustatytais atvejais) (esminiai statinio projekto sprendiniai turi atitikti projektinius pasiūlymus);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9e8f609bfee4d45b5958a1440f35520"/>
                    <w:lock w:val="sdtLocked"/>
                    <w:richText/>
                  </w:sdtPr>
                  <w:sdtContent>
                    <w:p>
                      <w:pPr>
                        <w:spacing w:line="360" w:lineRule="auto"/>
                        <w:ind w:firstLine="720"/>
                        <w:jc w:val="both"/>
                        <w:rPr>
                          <w:szCs w:val="24"/>
                        </w:rPr>
                      </w:pPr>
                      <w:sdt>
                        <w:sdtPr>
                          <w:alias w:val="Numeris"/>
                          <w:tag w:val="nr_89e8f609bfee4d45b5958a1440f35520"/>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adc5bde21eb4b88bab67d033118934d"/>
                    <w:lock w:val="sdtLocked"/>
                    <w:richText/>
                  </w:sdtPr>
                  <w:sdtContent>
                    <w:p>
                      <w:pPr>
                        <w:spacing w:line="360" w:lineRule="auto"/>
                        <w:ind w:firstLine="720"/>
                        <w:jc w:val="both"/>
                        <w:rPr>
                          <w:szCs w:val="24"/>
                        </w:rPr>
                      </w:pPr>
                      <w:sdt>
                        <w:sdtPr>
                          <w:alias w:val="Numeris"/>
                          <w:tag w:val="nr_aadc5bde21eb4b88bab67d033118934d"/>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administracijos direktorių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0ec9dac4efb54ffabcff4b2746407012"/>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0ec9dac4efb54ffabcff4b2746407012"/>
                          <w:lock w:val="sdtLocked"/>
                          <w:richText/>
                        </w:sdtPr>
                        <w:sdtContent>
                          <w:r>
                            <w:rPr>
                              <w:bCs/>
                              <w:szCs w:val="24"/>
                              <w:lang w:eastAsia="lt-LT"/>
                            </w:rPr>
                            <w:t>1</w:t>
                          </w:r>
                        </w:sdtContent>
                      </w:sdt>
                      <w:r>
                        <w:rPr>
                          <w:bCs/>
                          <w:szCs w:val="24"/>
                          <w:lang w:eastAsia="lt-LT"/>
                        </w:rPr>
                        <w:t>. Statybą leidžiantys dokumentai yra:</w:t>
                      </w:r>
                    </w:p>
                    <w:sdt>
                      <w:sdtPr>
                        <w:alias w:val="27 str. 1 d. 1 p."/>
                        <w:tag w:val="part_28cdf4d43d044c9b9412f186ad2f1aa2"/>
                        <w:lock w:val="sdtLocked"/>
                        <w:richText/>
                      </w:sdtPr>
                      <w:sdtContent>
                        <w:p>
                          <w:pPr>
                            <w:spacing w:line="360" w:lineRule="auto"/>
                            <w:ind w:firstLine="720"/>
                            <w:jc w:val="both"/>
                            <w:rPr>
                              <w:bCs/>
                              <w:szCs w:val="24"/>
                              <w:lang w:eastAsia="lt-LT"/>
                            </w:rPr>
                          </w:pPr>
                          <w:sdt>
                            <w:sdtPr>
                              <w:alias w:val="Numeris"/>
                              <w:tag w:val="nr_28cdf4d43d044c9b9412f186ad2f1aa2"/>
                              <w:lock w:val="sdtLocked"/>
                              <w:richText/>
                            </w:sdtPr>
                            <w:sdtContent>
                              <w:r>
                                <w:rPr>
                                  <w:rFonts w:eastAsia="Calibri"/>
                                  <w:szCs w:val="24"/>
                                </w:rPr>
                                <w:t>1</w:t>
                              </w:r>
                            </w:sdtContent>
                          </w:sdt>
                          <w:r>
                            <w:rPr>
                              <w:rFonts w:eastAsia="Calibri"/>
                              <w:szCs w:val="24"/>
                            </w:rPr>
                            <w:t xml:space="preserve">) leidimas statyti naują statinį – naujo ypatingojo ir neypatingojo statinio statybai </w:t>
                          </w:r>
                          <w:r>
                            <w:rPr>
                              <w:rFonts w:eastAsia="Calibri"/>
                              <w:bCs/>
                              <w:szCs w:val="24"/>
                            </w:rPr>
                            <w:t>(išskyrus krašto apsaugos tikslams skirtose teritorijose statomą naują neypatingąjį statinį)</w:t>
                          </w:r>
                          <w:r>
                            <w:rPr>
                              <w:rFonts w:eastAsia="Calibri"/>
                              <w:szCs w:val="24"/>
                            </w:rPr>
                            <w:t xml:space="preserve">; naujo nesudėtingojo statinio statybai mieste </w:t>
                          </w:r>
                          <w:r>
                            <w:rPr>
                              <w:rFonts w:eastAsia="Calibri"/>
                              <w:bCs/>
                              <w:szCs w:val="24"/>
                            </w:rPr>
                            <w:t>(išskyrus krašto apsaugos tikslams skirtose teritorijose statomą naują nesudėtingąjį statinį)</w:t>
                          </w:r>
                          <w:r>
                            <w:rPr>
                              <w:rFonts w:eastAsia="Calibri"/>
                              <w:szCs w:val="24"/>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2 p."/>
                        <w:tag w:val="part_838e63ae86f640ddb12919d17a0b04cb"/>
                        <w:lock w:val="sdtLocked"/>
                        <w:richText/>
                      </w:sdtPr>
                      <w:sdtContent>
                        <w:p>
                          <w:pPr>
                            <w:spacing w:line="360" w:lineRule="auto"/>
                            <w:ind w:firstLine="720"/>
                            <w:jc w:val="both"/>
                          </w:pPr>
                          <w:sdt>
                            <w:sdtPr>
                              <w:alias w:val="Numeris"/>
                              <w:tag w:val="nr_838e63ae86f640ddb12919d17a0b04cb"/>
                              <w:lock w:val="sdtLocked"/>
                              <w:richText/>
                            </w:sdtPr>
                            <w:sdtContent>
                              <w:r>
                                <w:rPr>
                                  <w:rFonts w:eastAsia="Calibri"/>
                                  <w:szCs w:val="24"/>
                                </w:rPr>
                                <w:t>2</w:t>
                              </w:r>
                            </w:sdtContent>
                          </w:sdt>
                          <w:r>
                            <w:rPr>
                              <w:rFonts w:eastAsia="Calibri"/>
                              <w:szCs w:val="24"/>
                            </w:rPr>
                            <w:t>) leidimas rekonstruoti statinį – ypatingojo ar neypatingojo statinio rekonstravimui (išskyrus krašto apsaugos tikslams skirtose teritorijose rekonstruojamą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3 p."/>
                        <w:tag w:val="part_69f0829035b1424986fa9f3b057252a8"/>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69f0829035b1424986fa9f3b057252a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84f73e160a274d869c24947609409c05"/>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84f73e160a274d869c24947609409c05"/>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03ffe269f0af483e85a888e911afa4a7"/>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03ffe269f0af483e85a888e911afa4a7"/>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10bbac9c48164e14ac363905762b53d2"/>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10bbac9c48164e14ac363905762b53d2"/>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9039d832a61f4fbd828ab8ae97d38dc9"/>
                        <w:lock w:val="sdtLocked"/>
                        <w:richText/>
                      </w:sdtPr>
                      <w:sdtContent>
                        <w:p>
                          <w:pPr>
                            <w:spacing w:line="360" w:lineRule="auto"/>
                            <w:ind w:firstLine="720"/>
                            <w:jc w:val="both"/>
                            <w:rPr>
                              <w:color w:val="000000"/>
                              <w:szCs w:val="24"/>
                            </w:rPr>
                          </w:pPr>
                          <w:sdt>
                            <w:sdtPr>
                              <w:alias w:val="Numeris"/>
                              <w:tag w:val="nr_9039d832a61f4fbd828ab8ae97d38dc9"/>
                              <w:lock w:val="sdtLocked"/>
                              <w:richText/>
                            </w:sdtPr>
                            <w:sdtContent>
                              <w:r>
                                <w:rPr>
                                  <w:bCs/>
                                  <w:color w:val="000000"/>
                                  <w:szCs w:val="24"/>
                                </w:rPr>
                                <w:t>7</w:t>
                              </w:r>
                            </w:sdtContent>
                          </w:sdt>
                          <w:r>
                            <w:rPr>
                              <w:bCs/>
                              <w:color w:val="000000"/>
                              <w:szCs w:val="24"/>
                            </w:rPr>
                            <w:t>)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rPr>
                            <w:t>statytas ne anksčiau kaip prieš 50 metų ir nepatenkantis į kultūros paveldo objekto teritoriją ar kultūros paveldo vietovę;</w:t>
                          </w:r>
                        </w:p>
                        <w:p>
                          <w:pPr>
                            <w:pStyle w:val="xmsonormal"/>
                            <w:rPr>
                              <w:rFonts w:ascii="Times New Roman" w:hAnsi="Times New Roman" w:cs="Times New Roman"/>
                              <w:b/>
                              <w:color w:val="000000" w:themeColor="text1"/>
                              <w:sz w:val="20"/>
                              <w:szCs w:val="20"/>
                            </w:rPr>
                          </w:pPr>
                          <w:r>
                            <w:rPr>
                              <w:rFonts w:ascii="Times New Roman" w:hAnsi="Times New Roman" w:cs="Times New Roman"/>
                              <w:b/>
                              <w:i/>
                              <w:iCs/>
                              <w:color w:val="000000" w:themeColor="text1"/>
                              <w:sz w:val="20"/>
                              <w:szCs w:val="20"/>
                            </w:rPr>
                            <w:t>27 straipsnio 1 dalies 7 punkto redakcija, įsigaliojanti 2027-01-01:</w:t>
                          </w:r>
                        </w:p>
                        <w:p>
                          <w:pPr>
                            <w:spacing w:line="360" w:lineRule="auto"/>
                            <w:jc w:val="both"/>
                            <w:rPr>
                              <w:b/>
                              <w:bCs/>
                              <w:i/>
                              <w:sz w:val="20"/>
                              <w:lang w:eastAsia="lt-LT"/>
                            </w:rPr>
                          </w:pPr>
                        </w:p>
                        <w:p>
                          <w:pPr>
                            <w:spacing w:line="360" w:lineRule="auto"/>
                            <w:ind w:firstLine="709"/>
                            <w:jc w:val="both"/>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 d. 8 p."/>
                        <w:tag w:val="part_9a29e79b953b40ccb02ec4dfeec1a9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a29e79b953b40ccb02ec4dfeec1a96e"/>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6cfd73d0c57543fabf522dcac5c0e3b3"/>
                        <w:lock w:val="sdtLocked"/>
                        <w:richText/>
                      </w:sdtPr>
                      <w:sdtContent>
                        <w:p>
                          <w:pPr>
                            <w:tabs>
                              <w:tab w:val="left" w:pos="1418"/>
                            </w:tabs>
                            <w:spacing w:line="360" w:lineRule="auto"/>
                            <w:ind w:firstLine="720"/>
                            <w:jc w:val="both"/>
                            <w:rPr>
                              <w:szCs w:val="24"/>
                            </w:rPr>
                          </w:pPr>
                          <w:sdt>
                            <w:sdtPr>
                              <w:alias w:val="Numeris"/>
                              <w:tag w:val="nr_6cfd73d0c57543fabf522dcac5c0e3b3"/>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w:t>
                          </w:r>
                          <w:r>
                            <w:rPr>
                              <w:b/>
                              <w:szCs w:val="24"/>
                            </w:rPr>
                            <w:t xml:space="preserve"> </w:t>
                          </w:r>
                          <w:r>
                            <w:rPr>
                              <w:szCs w:val="24"/>
                            </w:rPr>
                            <w:t>nustatytais atvejais neprivaloma žemės sklypo,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ar servituto nustatymą patvirtinantys dokumentai (statant inžinerinius statinius);</w:t>
                          </w:r>
                        </w:p>
                      </w:sdtContent>
                    </w:sdt>
                    <w:sdt>
                      <w:sdtPr>
                        <w:alias w:val="27 str. 5 d. 7 p."/>
                        <w:tag w:val="part_e0afa14b6b15479c92b518157fd92657"/>
                        <w:lock w:val="sdtLocked"/>
                        <w:richText/>
                      </w:sdtPr>
                      <w:sdtContent>
                        <w:p>
                          <w:pPr>
                            <w:tabs>
                              <w:tab w:val="left" w:pos="1418"/>
                            </w:tabs>
                            <w:spacing w:line="360" w:lineRule="auto"/>
                            <w:ind w:firstLine="720"/>
                            <w:jc w:val="both"/>
                            <w:rPr>
                              <w:szCs w:val="24"/>
                            </w:rPr>
                          </w:pPr>
                          <w:sdt>
                            <w:sdtPr>
                              <w:alias w:val="Numeris"/>
                              <w:tag w:val="nr_e0afa14b6b15479c92b518157fd92657"/>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d816cc3c053a4c588cbfaf3698b84f96"/>
                        <w:lock w:val="sdtLocked"/>
                        <w:richText/>
                      </w:sdtPr>
                      <w:sdtContent>
                        <w:p>
                          <w:pPr>
                            <w:tabs>
                              <w:tab w:val="left" w:pos="1418"/>
                            </w:tabs>
                            <w:spacing w:line="360" w:lineRule="auto"/>
                            <w:ind w:firstLine="720"/>
                            <w:jc w:val="both"/>
                            <w:rPr>
                              <w:szCs w:val="24"/>
                            </w:rPr>
                          </w:pPr>
                          <w:sdt>
                            <w:sdtPr>
                              <w:alias w:val="Numeris"/>
                              <w:tag w:val="nr_d816cc3c053a4c588cbfaf3698b84f96"/>
                              <w:lock w:val="sdtLocked"/>
                              <w:richText/>
                            </w:sdtPr>
                            <w:sdtContent>
                              <w:r>
                                <w:rPr>
                                  <w:szCs w:val="24"/>
                                </w:rPr>
                                <w:t>14</w:t>
                              </w:r>
                            </w:sdtContent>
                          </w:sdt>
                          <w:r>
                            <w:rPr>
                              <w:szCs w:val="24"/>
                            </w:rPr>
                            <w:t>)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16 p."/>
                        <w:tag w:val="part_29ae76fd73214f1fb1a1b4fcb8c3e1d4"/>
                        <w:lock w:val="sdtLocked"/>
                        <w:richText/>
                      </w:sdtPr>
                      <w:sdtContent>
                        <w:p>
                          <w:pPr>
                            <w:spacing w:line="360" w:lineRule="auto"/>
                            <w:ind w:firstLine="720"/>
                            <w:jc w:val="both"/>
                            <w:rPr>
                              <w:szCs w:val="24"/>
                            </w:rPr>
                          </w:pPr>
                          <w:sdt>
                            <w:sdtPr>
                              <w:alias w:val="Numeris"/>
                              <w:tag w:val="nr_29ae76fd73214f1fb1a1b4fcb8c3e1d4"/>
                              <w:lock w:val="sdtLocked"/>
                              <w:richText/>
                            </w:sdtPr>
                            <w:sdtContent>
                              <w:r>
                                <w:rPr>
                                  <w:szCs w:val="24"/>
                                </w:rPr>
                                <w:t>16</w:t>
                              </w:r>
                            </w:sdtContent>
                          </w:sdt>
                          <w:r>
                            <w:rPr>
                              <w:szCs w:val="24"/>
                            </w:rPr>
                            <w:t>) dokumentas, patvirtinantis atlyginimo už teisės statyti valstybinėje žemėje sumokėjimą į valstybės biudžetą, kai toks mokėjimas numatytas Lietuvos Respublikos žemės įstatymo 9¹ straipsnio 3,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0 d."/>
                    <w:tag w:val="part_3ea7c138b7a146c3809bff36ff6c1538"/>
                    <w:lock w:val="sdtLocked"/>
                    <w:richText/>
                  </w:sdtPr>
                  <w:sdtContent>
                    <w:p>
                      <w:pPr>
                        <w:tabs>
                          <w:tab w:val="left" w:pos="1418"/>
                        </w:tabs>
                        <w:spacing w:line="360" w:lineRule="auto"/>
                        <w:ind w:firstLine="720"/>
                        <w:jc w:val="both"/>
                        <w:rPr>
                          <w:szCs w:val="24"/>
                        </w:rPr>
                      </w:pPr>
                      <w:sdt>
                        <w:sdtPr>
                          <w:alias w:val="Numeris"/>
                          <w:tag w:val="nr_3ea7c138b7a146c3809bff36ff6c1538"/>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af37c2804e3f4738b64ac1cdf07e1d6c"/>
                    <w:lock w:val="sdtLocked"/>
                    <w:richText/>
                  </w:sdtPr>
                  <w:sdtContent>
                    <w:p>
                      <w:pPr>
                        <w:spacing w:line="360" w:lineRule="auto"/>
                        <w:ind w:firstLine="709"/>
                        <w:jc w:val="both"/>
                        <w:rPr>
                          <w:szCs w:val="24"/>
                        </w:rPr>
                      </w:pPr>
                      <w:sdt>
                        <w:sdtPr>
                          <w:alias w:val="Numeris"/>
                          <w:tag w:val="nr_af37c2804e3f4738b64ac1cdf07e1d6c"/>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rPr>
                        <w:t>1</w:t>
                      </w:r>
                      <w:r>
                        <w:rPr>
                          <w:szCs w:val="24"/>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teisę statyti valstybinėje žemėje, kai toks mokėjimas privalomas vadovaujantis Žemės įstatymo 9</w:t>
                      </w:r>
                      <w:r>
                        <w:rPr>
                          <w:szCs w:val="24"/>
                          <w:vertAlign w:val="superscript"/>
                        </w:rPr>
                        <w:t>1</w:t>
                      </w:r>
                      <w:r>
                        <w:rPr>
                          <w:szCs w:val="24"/>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839118dc8c5141f29bc16613fbf41302"/>
                    <w:lock w:val="sdtLocked"/>
                    <w:richText/>
                  </w:sdtPr>
                  <w:sdtContent>
                    <w:p>
                      <w:pPr>
                        <w:spacing w:line="360" w:lineRule="auto"/>
                        <w:ind w:firstLine="720"/>
                        <w:jc w:val="both"/>
                      </w:pPr>
                      <w:sdt>
                        <w:sdtPr>
                          <w:alias w:val="Numeris"/>
                          <w:tag w:val="nr_839118dc8c5141f29bc16613fbf41302"/>
                          <w:lock w:val="sdtLocked"/>
                          <w:richText/>
                        </w:sdtPr>
                        <w:sdtContent>
                          <w:r>
                            <w:rPr>
                              <w:szCs w:val="24"/>
                              <w:lang w:eastAsia="lt-LT"/>
                            </w:rPr>
                            <w:t>15</w:t>
                          </w:r>
                          <w:r>
                            <w:rPr>
                              <w:szCs w:val="24"/>
                              <w:vertAlign w:val="superscript"/>
                              <w:lang w:eastAsia="lt-LT"/>
                            </w:rPr>
                            <w:t>1</w:t>
                          </w:r>
                        </w:sdtContent>
                      </w:sdt>
                      <w:r>
                        <w:rPr>
                          <w:szCs w:val="24"/>
                          <w:lang w:eastAsia="lt-LT"/>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w:t>
                      </w:r>
                      <w:r>
                        <w:rPr>
                          <w:bCs/>
                          <w:szCs w:val="24"/>
                          <w:lang w:eastAsia="en-GB"/>
                        </w:rPr>
                        <w:t>prisijungimo prie inžinerinių tinklų ar susisiekimo komunikacijų sąlygas</w:t>
                      </w:r>
                      <w:r>
                        <w:rPr>
                          <w:szCs w:val="24"/>
                          <w:lang w:eastAsia="lt-LT"/>
                        </w:rPr>
                        <w:t>,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cfec44ea551e4cae9a6627cfc3dddb10"/>
                        <w:lock w:val="sdtLocked"/>
                        <w:richText/>
                      </w:sdtPr>
                      <w:sdtContent>
                        <w:p>
                          <w:pPr>
                            <w:spacing w:line="360" w:lineRule="auto"/>
                            <w:ind w:firstLine="720"/>
                            <w:jc w:val="both"/>
                            <w:rPr>
                              <w:szCs w:val="24"/>
                            </w:rPr>
                          </w:pPr>
                          <w:sdt>
                            <w:sdtPr>
                              <w:alias w:val="Numeris"/>
                              <w:tag w:val="nr_cfec44ea551e4cae9a6627cfc3dddb10"/>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 ir nepateiktas dokumentas, patvirtinantis atlyginimo už teisės statyti valstybinėje žemėje sumokėjimą į valstybės biudžetą, kai šis mokėjimas numatytas Žemės įstatymo 9</w:t>
                          </w:r>
                          <w:r>
                            <w:rPr>
                              <w:szCs w:val="24"/>
                              <w:vertAlign w:val="superscript"/>
                            </w:rPr>
                            <w:t>1</w:t>
                          </w:r>
                          <w:r>
                            <w:rPr>
                              <w:szCs w:val="24"/>
                            </w:rPr>
                            <w:t xml:space="preserve"> straipsnio 3, 4 ir 5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6 d. 3 p."/>
                        <w:tag w:val="part_2e6acf8c223a451590f68bd0aac1f054"/>
                        <w:lock w:val="sdtLocked"/>
                        <w:richText/>
                      </w:sdtPr>
                      <w:sdtContent>
                        <w:p>
                          <w:pPr>
                            <w:spacing w:line="360" w:lineRule="auto"/>
                            <w:ind w:firstLine="720"/>
                            <w:jc w:val="both"/>
                          </w:pPr>
                          <w:sdt>
                            <w:sdtPr>
                              <w:alias w:val="Numeris"/>
                              <w:tag w:val="nr_2e6acf8c223a451590f68bd0aac1f054"/>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61ba336c62e40239601254738707ac0"/>
                    <w:lock w:val="sdtLocked"/>
                    <w:richText/>
                  </w:sdtPr>
                  <w:sdtContent>
                    <w:p>
                      <w:pPr>
                        <w:tabs>
                          <w:tab w:val="left" w:pos="1418"/>
                        </w:tabs>
                        <w:spacing w:line="360" w:lineRule="auto"/>
                        <w:ind w:firstLine="720"/>
                        <w:jc w:val="both"/>
                        <w:rPr>
                          <w:szCs w:val="24"/>
                        </w:rPr>
                      </w:pPr>
                      <w:sdt>
                        <w:sdtPr>
                          <w:alias w:val="Numeris"/>
                          <w:tag w:val="nr_561ba336c62e40239601254738707ac0"/>
                          <w:lock w:val="sdtLocked"/>
                          <w:richText/>
                        </w:sdtPr>
                        <w:sdtContent>
                          <w:r>
                            <w:rPr>
                              <w:szCs w:val="24"/>
                            </w:rPr>
                            <w:t>33</w:t>
                          </w:r>
                        </w:sdtContent>
                      </w:sdt>
                      <w:r>
                        <w:rPr>
                          <w:szCs w:val="24"/>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esminių statinio architektūros reikalavimų ir esminių statinio reikalavimų:</w:t>
                      </w:r>
                    </w:p>
                    <w:sdt>
                      <w:sdtPr>
                        <w:alias w:val="27 str. 33 d. 1 p."/>
                        <w:tag w:val="part_a18ece45cc604b50b17081f6f8be81bf"/>
                        <w:lock w:val="sdtLocked"/>
                        <w:richText/>
                      </w:sdtPr>
                      <w:sdtContent>
                        <w:p>
                          <w:pPr>
                            <w:spacing w:line="360" w:lineRule="auto"/>
                            <w:ind w:firstLine="720"/>
                            <w:jc w:val="both"/>
                            <w:rPr>
                              <w:szCs w:val="24"/>
                            </w:rPr>
                          </w:pPr>
                          <w:sdt>
                            <w:sdtPr>
                              <w:alias w:val="Numeris"/>
                              <w:tag w:val="nr_a18ece45cc604b50b17081f6f8be81bf"/>
                              <w:lock w:val="sdtLocked"/>
                              <w:richText/>
                            </w:sdtPr>
                            <w:sdtContent>
                              <w:r>
                                <w:rPr>
                                  <w:szCs w:val="24"/>
                                </w:rPr>
                                <w:t>1</w:t>
                              </w:r>
                            </w:sdtContent>
                          </w:sdt>
                          <w:r>
                            <w:rPr>
                              <w:szCs w:val="24"/>
                            </w:rPr>
                            <w:t>) dėl objektyvių priežasčių keičiama inžinerinių tinklų ar susisiekimo komunikacijų trasa ar jos dalis ir dėl to keičiasi inžinerinių tinklų ar susisiekimo komunikacijų ilgis;</w:t>
                          </w:r>
                        </w:p>
                      </w:sdtContent>
                    </w:sdt>
                    <w:sdt>
                      <w:sdtPr>
                        <w:alias w:val="27 str. 33 d. 2 p."/>
                        <w:tag w:val="part_9ae6c7e490544cd9b2248f099a7a14be"/>
                        <w:lock w:val="sdtLocked"/>
                        <w:richText/>
                      </w:sdtPr>
                      <w:sdtContent>
                        <w:p>
                          <w:pPr>
                            <w:spacing w:line="360" w:lineRule="auto"/>
                            <w:ind w:firstLine="720"/>
                            <w:jc w:val="both"/>
                            <w:rPr>
                              <w:szCs w:val="24"/>
                            </w:rPr>
                          </w:pPr>
                          <w:sdt>
                            <w:sdtPr>
                              <w:alias w:val="Numeris"/>
                              <w:tag w:val="nr_9ae6c7e490544cd9b2248f099a7a14be"/>
                              <w:lock w:val="sdtLocked"/>
                              <w:richText/>
                            </w:sdtPr>
                            <w:sdtContent>
                              <w:r>
                                <w:rPr>
                                  <w:szCs w:val="24"/>
                                </w:rPr>
                                <w:t>2</w:t>
                              </w:r>
                            </w:sdtContent>
                          </w:sdt>
                          <w:r>
                            <w:rPr>
                              <w:szCs w:val="24"/>
                            </w:rPr>
                            <w:t>) iki 1 m keičiama statinio vieta žemės sklype (teritorijoje);</w:t>
                          </w:r>
                        </w:p>
                      </w:sdtContent>
                    </w:sdt>
                    <w:sdt>
                      <w:sdtPr>
                        <w:alias w:val="27 str. 33 d. 3 p."/>
                        <w:tag w:val="part_1e4ec09d73b7452a805c8c22177baf80"/>
                        <w:lock w:val="sdtLocked"/>
                        <w:richText/>
                      </w:sdtPr>
                      <w:sdtContent>
                        <w:p>
                          <w:pPr>
                            <w:spacing w:line="360" w:lineRule="auto"/>
                            <w:ind w:firstLine="720"/>
                            <w:jc w:val="both"/>
                            <w:rPr>
                              <w:szCs w:val="24"/>
                            </w:rPr>
                          </w:pPr>
                          <w:sdt>
                            <w:sdtPr>
                              <w:alias w:val="Numeris"/>
                              <w:tag w:val="nr_1e4ec09d73b7452a805c8c22177baf80"/>
                              <w:lock w:val="sdtLocked"/>
                              <w:richText/>
                            </w:sdtPr>
                            <w:sdtContent>
                              <w:r>
                                <w:rPr>
                                  <w:szCs w:val="24"/>
                                </w:rPr>
                                <w:t>3</w:t>
                              </w:r>
                            </w:sdtContent>
                          </w:sdt>
                          <w:r>
                            <w:rPr>
                              <w:szCs w:val="24"/>
                            </w:rPr>
                            <w:t>) iki 1 m keičiami statinio ar jo dalių išorės matmenys;</w:t>
                          </w:r>
                        </w:p>
                      </w:sdtContent>
                    </w:sdt>
                    <w:sdt>
                      <w:sdtPr>
                        <w:alias w:val="27 str. 33 d. 4 p."/>
                        <w:tag w:val="part_23fbb5b9462142a59e2e78bdd444b2fb"/>
                        <w:lock w:val="sdtLocked"/>
                        <w:richText/>
                      </w:sdtPr>
                      <w:sdtContent>
                        <w:p>
                          <w:pPr>
                            <w:spacing w:line="360" w:lineRule="auto"/>
                            <w:ind w:firstLine="720"/>
                            <w:jc w:val="both"/>
                          </w:pPr>
                          <w:sdt>
                            <w:sdtPr>
                              <w:alias w:val="Numeris"/>
                              <w:tag w:val="nr_23fbb5b9462142a59e2e78bdd444b2fb"/>
                              <w:lock w:val="sdtLocked"/>
                              <w:richText/>
                            </w:sdtPr>
                            <w:sdtContent>
                              <w:r>
                                <w:rPr>
                                  <w:szCs w:val="24"/>
                                </w:rPr>
                                <w:t>4</w:t>
                              </w:r>
                            </w:sdtContent>
                          </w:sdt>
                          <w:r>
                            <w:rPr>
                              <w:szCs w:val="24"/>
                            </w:rPr>
                            <w:t>) keičiamos statinio laikančiosios konstrukcijos ar jų išdėstymas statinio viduje ir nesikeičia statinio kategorija.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4 d."/>
                    <w:tag w:val="part_66f71dc693244e74a8c6cc9b99eb6323"/>
                    <w:lock w:val="sdtLocked"/>
                    <w:richText/>
                  </w:sdtPr>
                  <w:sdtContent>
                    <w:p>
                      <w:pPr>
                        <w:spacing w:line="360" w:lineRule="auto"/>
                        <w:ind w:firstLine="720"/>
                        <w:jc w:val="both"/>
                      </w:pPr>
                      <w:sdt>
                        <w:sdtPr>
                          <w:alias w:val="Numeris"/>
                          <w:tag w:val="nr_66f71dc693244e74a8c6cc9b99eb6323"/>
                          <w:lock w:val="sdtLocked"/>
                          <w:richText/>
                        </w:sdtPr>
                        <w:sdtContent>
                          <w:r>
                            <w:rPr>
                              <w:bCs/>
                              <w:szCs w:val="24"/>
                            </w:rPr>
                            <w:t>34</w:t>
                          </w:r>
                        </w:sdtContent>
                      </w:sdt>
                      <w:r>
                        <w:rPr>
                          <w:bCs/>
                          <w:szCs w:val="24"/>
                        </w:rPr>
                        <w:t>. Lietuvos Respublikoje įvedus nepaprastąją padėtį, statiniai, kurie Vyriausybės sprendimu pripažįstami statiniais, tiesiogiai susijusiais su nepaprastosios padėties įvedimo tikslais ir priemonėmis, gali būti pradėti statyti neturint statybą leidžiančio dokumento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4bda1c4328c64e44b8daeaa200089efd"/>
                        <w:lock w:val="sdtLocked"/>
                        <w:richText/>
                      </w:sdtPr>
                      <w:sdtContent>
                        <w:p>
                          <w:pPr>
                            <w:spacing w:line="360" w:lineRule="auto"/>
                            <w:ind w:firstLine="720"/>
                            <w:jc w:val="both"/>
                            <w:rPr>
                              <w:szCs w:val="24"/>
                            </w:rPr>
                          </w:pPr>
                          <w:sdt>
                            <w:sdtPr>
                              <w:alias w:val="Numeris"/>
                              <w:tag w:val="nr_4bda1c4328c64e44b8daeaa200089efd"/>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administracija);</w:t>
                          </w:r>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d9d80e77cd7746d29055f9f366fa725b"/>
                        <w:lock w:val="sdtLocked"/>
                        <w:richText/>
                      </w:sdtPr>
                      <w:sdtContent>
                        <w:p>
                          <w:pPr>
                            <w:spacing w:line="360" w:lineRule="auto"/>
                            <w:ind w:firstLine="720"/>
                            <w:jc w:val="both"/>
                            <w:rPr>
                              <w:szCs w:val="24"/>
                            </w:rPr>
                          </w:pPr>
                          <w:sdt>
                            <w:sdtPr>
                              <w:alias w:val="Numeris"/>
                              <w:tag w:val="nr_d9d80e77cd7746d29055f9f366fa725b"/>
                              <w:lock w:val="sdtLocked"/>
                              <w:richText/>
                            </w:sdtPr>
                            <w:sdtContent>
                              <w:r>
                                <w:rPr>
                                  <w:szCs w:val="24"/>
                                </w:rPr>
                                <w:t>3</w:t>
                              </w:r>
                            </w:sdtContent>
                          </w:sdt>
                          <w:r>
                            <w:rPr>
                              <w:szCs w:val="24"/>
                            </w:rPr>
                            <w:t>) ar pateikti visi privalomi dokumentai (kai statybą leidžiantį dokumentą išduoda savivaldybės administracija);</w:t>
                          </w:r>
                        </w:p>
                      </w:sdtContent>
                    </w:sdt>
                    <w:sdt>
                      <w:sdtPr>
                        <w:alias w:val="27-1 str. 1 d. 4 p."/>
                        <w:tag w:val="part_726ce1a35eca4d8782f32b16776dedae"/>
                        <w:lock w:val="sdtLocked"/>
                        <w:richText/>
                      </w:sdtPr>
                      <w:sdtContent>
                        <w:p>
                          <w:pPr>
                            <w:spacing w:line="360" w:lineRule="auto"/>
                            <w:ind w:firstLine="720"/>
                            <w:jc w:val="both"/>
                            <w:rPr>
                              <w:szCs w:val="24"/>
                            </w:rPr>
                          </w:pPr>
                          <w:sdt>
                            <w:sdtPr>
                              <w:alias w:val="Numeris"/>
                              <w:tag w:val="nr_726ce1a35eca4d8782f32b16776dedae"/>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administracija), ar statinio projekto sudedamosios dalys atitinka aplinkos ministro nustatytas statinio projekto sudedamąsias dalis, ar statinio projektą pasirašė visi jį pasirašyti privalėję asmenys;</w:t>
                          </w:r>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cfaa6c15abeb4d419bc8c7c8dc4f8156"/>
                        <w:lock w:val="sdtLocked"/>
                        <w:richText/>
                      </w:sdtPr>
                      <w:sdtContent>
                        <w:p>
                          <w:pPr>
                            <w:spacing w:line="360" w:lineRule="auto"/>
                            <w:ind w:firstLine="720"/>
                            <w:jc w:val="both"/>
                            <w:rPr>
                              <w:szCs w:val="24"/>
                            </w:rPr>
                          </w:pPr>
                          <w:sdt>
                            <w:sdtPr>
                              <w:alias w:val="Numeris"/>
                              <w:tag w:val="nr_cfaa6c15abeb4d419bc8c7c8dc4f8156"/>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administracija);</w:t>
                          </w:r>
                        </w:p>
                      </w:sdtContent>
                    </w:sdt>
                    <w:sdt>
                      <w:sdtPr>
                        <w:alias w:val="27-1 str. 1 d. 9 p."/>
                        <w:tag w:val="part_aafb559ffd834c8897caedd7c48ba789"/>
                        <w:lock w:val="sdtLocked"/>
                        <w:richText/>
                      </w:sdtPr>
                      <w:sdtContent>
                        <w:p>
                          <w:pPr>
                            <w:spacing w:line="360" w:lineRule="auto"/>
                            <w:ind w:firstLine="720"/>
                            <w:jc w:val="both"/>
                            <w:rPr>
                              <w:szCs w:val="24"/>
                            </w:rPr>
                          </w:pPr>
                          <w:sdt>
                            <w:sdtPr>
                              <w:alias w:val="Numeris"/>
                              <w:tag w:val="nr_aafb559ffd834c8897caedd7c48ba789"/>
                              <w:lock w:val="sdtLocked"/>
                              <w:richText/>
                            </w:sdtPr>
                            <w:sdtContent>
                              <w:r>
                                <w:rPr>
                                  <w:szCs w:val="24"/>
                                </w:rPr>
                                <w:t>9</w:t>
                              </w:r>
                            </w:sdtContent>
                          </w:sdt>
                          <w:r>
                            <w:rPr>
                              <w:szCs w:val="24"/>
                            </w:rPr>
                            <w:t>)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teisę statyti valstybinėje žemėje, kai toks mokėjimas privalomas vadovaujantis Žemės įstatymo 9</w:t>
                          </w:r>
                          <w:r>
                            <w:rPr>
                              <w:szCs w:val="24"/>
                              <w:vertAlign w:val="superscript"/>
                            </w:rPr>
                            <w:t>1</w:t>
                          </w:r>
                          <w:r>
                            <w:rPr>
                              <w:szCs w:val="24"/>
                            </w:rPr>
                            <w:t xml:space="preserve"> straipsnio 3, 4 ir 5 dalimis;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1b5fa244922941c79fe45606616d38c4"/>
                    <w:lock w:val="sdtLocked"/>
                    <w:richText/>
                  </w:sdtPr>
                  <w:sdtContent>
                    <w:p>
                      <w:pPr>
                        <w:spacing w:line="360" w:lineRule="auto"/>
                        <w:ind w:firstLine="720"/>
                        <w:jc w:val="both"/>
                        <w:rPr>
                          <w:szCs w:val="24"/>
                        </w:rPr>
                      </w:pPr>
                      <w:sdt>
                        <w:sdtPr>
                          <w:alias w:val="Numeris"/>
                          <w:tag w:val="nr_1b5fa244922941c79fe45606616d38c4"/>
                          <w:lock w:val="sdtLocked"/>
                          <w:richText/>
                        </w:sdtPr>
                        <w:sdtContent>
                          <w:r>
                            <w:rPr>
                              <w:szCs w:val="24"/>
                            </w:rPr>
                            <w:t>7</w:t>
                          </w:r>
                        </w:sdtContent>
                      </w:sdt>
                      <w:r>
                        <w:rPr>
                          <w:szCs w:val="24"/>
                        </w:rPr>
                        <w:t>. Aplinkos apsaugos agentūra tikrina statinių projektus, kai statinio statyba arba statiniuose planuojama vykdyti ūkinė veikla patenka į Planuojamos ūkinės veiklos poveikio aplinkai vertinimo įstatymo taikymo sritį. Tikrinama:</w:t>
                      </w:r>
                    </w:p>
                    <w:sdt>
                      <w:sdtPr>
                        <w:alias w:val="27-1 str. 7 d. 1 p."/>
                        <w:tag w:val="part_55e5c7a97dbb4a38b0d00ec51812f7b8"/>
                        <w:lock w:val="sdtLocked"/>
                        <w:richText/>
                      </w:sdtPr>
                      <w:sdtContent>
                        <w:p>
                          <w:pPr>
                            <w:spacing w:line="360" w:lineRule="auto"/>
                            <w:ind w:firstLine="720"/>
                            <w:jc w:val="both"/>
                            <w:rPr>
                              <w:szCs w:val="24"/>
                            </w:rPr>
                          </w:pPr>
                          <w:sdt>
                            <w:sdtPr>
                              <w:alias w:val="Numeris"/>
                              <w:tag w:val="nr_55e5c7a97dbb4a38b0d00ec51812f7b8"/>
                              <w:lock w:val="sdtLocked"/>
                              <w:richText/>
                            </w:sdtPr>
                            <w:sdtContent>
                              <w:r>
                                <w:rPr>
                                  <w:szCs w:val="24"/>
                                </w:rPr>
                                <w:t>1</w:t>
                              </w:r>
                            </w:sdtContent>
                          </w:sdt>
                          <w:r>
                            <w:rPr>
                              <w:szCs w:val="24"/>
                            </w:rPr>
                            <w:t>)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aktų nustatytus reikalavimus (toliau šioje dalyje – sprendimas);</w:t>
                          </w:r>
                        </w:p>
                      </w:sdtContent>
                    </w:sdt>
                    <w:sdt>
                      <w:sdtPr>
                        <w:alias w:val="27-1 str. 7 d. 2 p."/>
                        <w:tag w:val="part_846e0dc3e6704956a0ec02a9473762ce"/>
                        <w:lock w:val="sdtLocked"/>
                        <w:richText/>
                      </w:sdtPr>
                      <w:sdtContent>
                        <w:p>
                          <w:pPr>
                            <w:spacing w:line="360" w:lineRule="auto"/>
                            <w:ind w:firstLine="720"/>
                            <w:jc w:val="both"/>
                            <w:rPr>
                              <w:szCs w:val="24"/>
                            </w:rPr>
                          </w:pPr>
                          <w:sdt>
                            <w:sdtPr>
                              <w:alias w:val="Numeris"/>
                              <w:tag w:val="nr_846e0dc3e6704956a0ec02a9473762ce"/>
                              <w:lock w:val="sdtLocked"/>
                              <w:richText/>
                            </w:sdtPr>
                            <w:sdtContent>
                              <w:r>
                                <w:rPr>
                                  <w:szCs w:val="24"/>
                                </w:rPr>
                                <w:t>2</w:t>
                              </w:r>
                            </w:sdtContent>
                          </w:sdt>
                          <w:r>
                            <w:rPr>
                              <w:szCs w:val="24"/>
                            </w:rPr>
                            <w:t>) kai planuojamai ūkinei veiklai atlikta atranka dėl poveikio aplinkai vertinimo, – ar statinio projektas atitinka atrankos išvadoje nurodytą veiklos mastą, fizines ir technines charakteristikas, ar suprojektuotos atrankos išvadoje nustatytos reikšmingo neigiamo poveikio aplinkai mažinimo ir kompensavimo priemonės, arba </w:t>
                          </w:r>
                        </w:p>
                      </w:sdtContent>
                    </w:sdt>
                    <w:sdt>
                      <w:sdtPr>
                        <w:alias w:val="27-1 str. 7 d. 3 p."/>
                        <w:tag w:val="part_683b34c30b7e4a7a9e01a30c54d0aa13"/>
                        <w:lock w:val="sdtLocked"/>
                        <w:richText/>
                      </w:sdtPr>
                      <w:sdtContent>
                        <w:p>
                          <w:pPr>
                            <w:spacing w:line="360" w:lineRule="auto"/>
                            <w:ind w:firstLine="720"/>
                            <w:jc w:val="both"/>
                            <w:rPr>
                              <w:szCs w:val="24"/>
                            </w:rPr>
                          </w:pPr>
                          <w:sdt>
                            <w:sdtPr>
                              <w:alias w:val="Numeris"/>
                              <w:tag w:val="nr_683b34c30b7e4a7a9e01a30c54d0aa13"/>
                              <w:lock w:val="sdtLocked"/>
                              <w:richText/>
                            </w:sdtPr>
                            <w:sdtContent>
                              <w:r>
                                <w:rPr>
                                  <w:szCs w:val="24"/>
                                </w:rPr>
                                <w:t>3</w:t>
                              </w:r>
                            </w:sdtContent>
                          </w:sdt>
                          <w:r>
                            <w:rPr>
                              <w:szCs w:val="24"/>
                            </w:rPr>
                            <w:t>) kai planuojamai ūkinei veiklai atliktas poveikio aplinkai vertinimas, – ar statinio projektas atitinka sprendime nurodytą veiklos mastą, fizines ir technines charakteristikas, ar bus įgyvendintos sprendime nustatytos sąlygos ir suprojektuotos sprendime nustatytos reikšmingo neigiamo poveikio aplinkai mažinimo ir kompensavimo priemonės.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df4fb7cc3079496fb37d455f21afa02c"/>
                        <w:lock w:val="sdtLocked"/>
                        <w:richText/>
                      </w:sdtPr>
                      <w:sdtContent>
                        <w:p>
                          <w:pPr>
                            <w:spacing w:line="360" w:lineRule="auto"/>
                            <w:ind w:firstLine="720"/>
                            <w:jc w:val="both"/>
                            <w:rPr>
                              <w:szCs w:val="24"/>
                            </w:rPr>
                          </w:pPr>
                          <w:sdt>
                            <w:sdtPr>
                              <w:alias w:val="Numeris"/>
                              <w:tag w:val="nr_df4fb7cc3079496fb37d455f21afa02c"/>
                              <w:lock w:val="sdtLocked"/>
                              <w:richText/>
                            </w:sdtPr>
                            <w:sdtContent>
                              <w:r>
                                <w:rPr>
                                  <w:szCs w:val="24"/>
                                </w:rPr>
                                <w:t>1</w:t>
                              </w:r>
                            </w:sdtContent>
                          </w:sdt>
                          <w:r>
                            <w:rPr>
                              <w:szCs w:val="24"/>
                            </w:rPr>
                            <w:t>) elektrinių (didesnės kaip 30 kW įrengtosios galios) ir katilinių;</w:t>
                          </w:r>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ac8c7732b1746fdb9866d12805bdc9b"/>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ac8c7732b1746fdb9866d12805bdc9b"/>
                              <w:lock w:val="sdtLocked"/>
                              <w:richText/>
                            </w:sdtPr>
                            <w:sdtContent>
                              <w:r>
                                <w:rPr>
                                  <w:rFonts w:eastAsia="Calibri"/>
                                  <w:szCs w:val="24"/>
                                  <w:lang w:eastAsia="en-GB"/>
                                </w:rPr>
                                <w:t>1</w:t>
                              </w:r>
                            </w:sdtContent>
                          </w:sdt>
                          <w:r>
                            <w:rPr>
                              <w:rFonts w:eastAsia="Calibri"/>
                              <w:szCs w:val="24"/>
                              <w:lang w:eastAsia="en-GB"/>
                            </w:rPr>
                            <w:t>) atlikus visus statybos darbus ir išdavus statybos užbaigimo aktą (kai jis privalomas).</w:t>
                          </w:r>
                          <w:r>
                            <w:rPr>
                              <w:szCs w:val="24"/>
                              <w:lang w:eastAsia="lt-LT"/>
                            </w:rPr>
                            <w:t xml:space="preserve"> Statybos užbaigimo aktas surašomas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2 p."/>
                        <w:tag w:val="part_068bfe86a5c74d019e075b111233484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68bfe86a5c74d019e075b1112334848"/>
                              <w:lock w:val="sdtLocked"/>
                              <w:richText/>
                            </w:sdtPr>
                            <w:sdtContent>
                              <w:r>
                                <w:rPr>
                                  <w:rFonts w:eastAsia="Calibri"/>
                                  <w:szCs w:val="24"/>
                                  <w:lang w:eastAsia="en-GB"/>
                                </w:rPr>
                                <w:t>2</w:t>
                              </w:r>
                            </w:sdtContent>
                          </w:sdt>
                          <w:r>
                            <w:rPr>
                              <w:rFonts w:eastAsia="Calibri"/>
                              <w:szCs w:val="24"/>
                              <w:lang w:eastAsia="en-GB"/>
                            </w:rPr>
                            <w:t xml:space="preserve">) atlikus visus statybos darbus, aplinkos ministro nustatyta tvarka surašius deklaraciją apie statybos užbaigimą (kai ji privaloma), statinio </w:t>
                          </w:r>
                          <w:r>
                            <w:rPr>
                              <w:szCs w:val="24"/>
                              <w:lang w:eastAsia="lt-LT"/>
                            </w:rPr>
                            <w:t xml:space="preserve">(dalies) </w:t>
                          </w:r>
                          <w:r>
                            <w:rPr>
                              <w:rFonts w:eastAsia="Calibri"/>
                              <w:szCs w:val="24"/>
                              <w:lang w:eastAsia="en-GB"/>
                            </w:rPr>
                            <w:t xml:space="preserve">ekspertizės rangovui patvirtinus deklaraciją apie statybos užbaigimą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r>
                            <w:rPr>
                              <w:szCs w:val="24"/>
                              <w:lang w:eastAsia="lt-LT"/>
                            </w:rPr>
                            <w:t xml:space="preserve"> Deklaracija apie statybos užbaigimą patvirtinama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e2e5bf52deef491c8c09e90274860fdc"/>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2e5bf52deef491c8c09e90274860fdc"/>
                          <w:lock w:val="sdtLocked"/>
                          <w:richText/>
                        </w:sdt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1de33beabf05444e926d15558cac1a6e"/>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1de33beabf05444e926d15558cac1a6e"/>
                              <w:lock w:val="sdtLocked"/>
                              <w:richText/>
                            </w:sdtPr>
                            <w:sdtContent>
                              <w:r>
                                <w:rPr>
                                  <w:szCs w:val="24"/>
                                  <w:lang w:eastAsia="en-GB"/>
                                </w:rPr>
                                <w:t>1</w:t>
                              </w:r>
                            </w:sdtContent>
                          </w:sdt>
                          <w:r>
                            <w:rPr>
                              <w:szCs w:val="24"/>
                              <w:lang w:eastAsia="en-GB"/>
                            </w:rPr>
                            <w:t xml:space="preserve">) užbaigus ypatingųjų statinių </w:t>
                          </w:r>
                          <w:r>
                            <w:rPr>
                              <w:bCs/>
                              <w:szCs w:val="24"/>
                              <w:lang w:eastAsia="en-GB"/>
                            </w:rPr>
                            <w:t>(išskyrus nurodytuosius šio straipsnio 3 dalies 1 punkte)</w:t>
                          </w:r>
                          <w:r>
                            <w:rPr>
                              <w:szCs w:val="24"/>
                              <w:lang w:eastAsia="en-GB"/>
                            </w:rPr>
                            <w:t>, kurių statybai buvo išduoti šio įstatymo 27 straipsnio 1 dalies 1 ir 2 punktuose nurodyti statybą leidžiantys dokumentai, statybą;</w:t>
                          </w:r>
                        </w:p>
                      </w:sdtContent>
                    </w:sdt>
                    <w:sdt>
                      <w:sdtPr>
                        <w:alias w:val="28 str. 2 d. 2 p."/>
                        <w:tag w:val="part_efb842e4f80e4246b0b8c9a48c98a030"/>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fb842e4f80e4246b0b8c9a48c98a030"/>
                              <w:lock w:val="sdtLocked"/>
                              <w:richText/>
                            </w:sdtPr>
                            <w:sdtContent>
                              <w:r>
                                <w:rPr>
                                  <w:rFonts w:eastAsia="Calibri"/>
                                  <w:szCs w:val="24"/>
                                  <w:lang w:eastAsia="en-GB"/>
                                </w:rPr>
                                <w:t>2</w:t>
                              </w:r>
                            </w:sdtContent>
                          </w:sdt>
                          <w:r>
                            <w:rPr>
                              <w:rFonts w:eastAsia="Calibri"/>
                              <w:szCs w:val="24"/>
                              <w:lang w:eastAsia="en-GB"/>
                            </w:rPr>
                            <w:t>) užbaigus statinių, kurių statybai buvo išduoti šio įstatymo 27 straipsnio 1 dalies 3 punkte nurodyti statybą leidžiantys dokumentai, statybą;</w:t>
                          </w:r>
                        </w:p>
                      </w:sdtContent>
                    </w:sdt>
                    <w:sdt>
                      <w:sdtPr>
                        <w:alias w:val="28 str. 2 d. 3 p."/>
                        <w:tag w:val="part_581cc5b4982a4ba28ca030fdbdd6d09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581cc5b4982a4ba28ca030fdbdd6d092"/>
                              <w:lock w:val="sdtLocked"/>
                              <w:richText/>
                            </w:sdtPr>
                            <w:sdtContent>
                              <w:r>
                                <w:rPr>
                                  <w:rFonts w:eastAsia="Calibri"/>
                                  <w:szCs w:val="24"/>
                                  <w:lang w:eastAsia="en-GB"/>
                                </w:rPr>
                                <w:t>3</w:t>
                              </w:r>
                            </w:sdtContent>
                          </w:sdt>
                          <w:r>
                            <w:rPr>
                              <w:rFonts w:eastAsia="Calibri"/>
                              <w:szCs w:val="24"/>
                              <w:lang w:eastAsia="en-GB"/>
                            </w:rPr>
                            <w:t xml:space="preserve">) užbaigus daugiabučio namo šildymo ir apsirūpinimo karštu vandeniu bendrosios inžinerinės sistemos pertvarkymą (visame pastate ar jo dalyje pakeitus šildymo būdą, prisijungus prie centralizuotų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94a83bf405a840429ab62d76697eaaa9"/>
                    <w:lock w:val="sdtLocked"/>
                    <w:richText/>
                  </w:sdtPr>
                  <w:sdtContent>
                    <w:p>
                      <w:pPr>
                        <w:spacing w:line="360" w:lineRule="auto"/>
                        <w:ind w:firstLine="720"/>
                        <w:jc w:val="both"/>
                        <w:rPr>
                          <w:szCs w:val="24"/>
                          <w:lang w:eastAsia="lt-LT"/>
                        </w:rPr>
                      </w:pPr>
                      <w:sdt>
                        <w:sdtPr>
                          <w:alias w:val="Numeris"/>
                          <w:tag w:val="nr_94a83bf405a840429ab62d76697eaaa9"/>
                          <w:lock w:val="sdtLocked"/>
                          <w:richText/>
                        </w:sdtPr>
                        <w:sdtContent>
                          <w:r>
                            <w:rPr>
                              <w:bCs/>
                              <w:szCs w:val="24"/>
                              <w:lang w:eastAsia="lt-LT"/>
                            </w:rPr>
                            <w:t>3</w:t>
                          </w:r>
                        </w:sdtContent>
                      </w:sdt>
                      <w:r>
                        <w:rPr>
                          <w:bCs/>
                          <w:szCs w:val="24"/>
                          <w:lang w:eastAsia="lt-LT"/>
                        </w:rPr>
                        <w:t xml:space="preserve">. Deklaracija apie statybos užbaigimą surašoma, statinio </w:t>
                      </w:r>
                      <w:r>
                        <w:rPr>
                          <w:szCs w:val="24"/>
                          <w:lang w:eastAsia="lt-LT"/>
                        </w:rPr>
                        <w:t xml:space="preserve">(dalies) </w:t>
                      </w:r>
                      <w:r>
                        <w:rPr>
                          <w:bCs/>
                          <w:szCs w:val="24"/>
                          <w:lang w:eastAsia="lt-LT"/>
                        </w:rPr>
                        <w:t>ekspertizės rangovas tvirtina deklaraciją apie statybos užbaigimą ir ši deklaracija Lietuvos Respublikos statybos leidimų ir statybos valstybinės priežiūros informacinėje sistemoje „Infostatyba“ registruojama šiais atvejais:</w:t>
                      </w:r>
                    </w:p>
                    <w:sdt>
                      <w:sdtPr>
                        <w:alias w:val="28 str. 3 d. 1 p."/>
                        <w:tag w:val="part_651f7132130d496f841d2c9b1c080bc0"/>
                        <w:lock w:val="sdtLocked"/>
                        <w:richText/>
                      </w:sdtPr>
                      <w:sdtContent>
                        <w:p>
                          <w:pPr>
                            <w:spacing w:line="360" w:lineRule="auto"/>
                            <w:ind w:firstLine="720"/>
                            <w:jc w:val="both"/>
                            <w:rPr>
                              <w:szCs w:val="24"/>
                              <w:lang w:eastAsia="lt-LT"/>
                            </w:rPr>
                          </w:pPr>
                          <w:sdt>
                            <w:sdtPr>
                              <w:alias w:val="Numeris"/>
                              <w:tag w:val="nr_651f7132130d496f841d2c9b1c080bc0"/>
                              <w:lock w:val="sdtLocked"/>
                              <w:richText/>
                            </w:sdtPr>
                            <w:sdtContent>
                              <w:r>
                                <w:rPr>
                                  <w:szCs w:val="24"/>
                                  <w:lang w:eastAsia="en-GB"/>
                                </w:rPr>
                                <w:t>1</w:t>
                              </w:r>
                            </w:sdtContent>
                          </w:sdt>
                          <w:r>
                            <w:rPr>
                              <w:szCs w:val="24"/>
                              <w:lang w:eastAsia="en-GB"/>
                            </w:rPr>
                            <w:t>) užbaigus ypatingųjų statinių pagal aplinkos ministro patvirtintą sąrašą, kurių statybai buvo išduoti šio įstatymo 27 straipsnio 1 dalies 1 ir 2 punktuose nurodyti statybą leidžiantys dokumentai, statybą</w:t>
                          </w:r>
                          <w:r>
                            <w:rPr>
                              <w:bCs/>
                              <w:szCs w:val="24"/>
                              <w:lang w:eastAsia="lt-LT"/>
                            </w:rPr>
                            <w:t>;</w:t>
                          </w:r>
                        </w:p>
                      </w:sdtContent>
                    </w:sdt>
                    <w:sdt>
                      <w:sdtPr>
                        <w:alias w:val="28 str. 3 d. 2 p."/>
                        <w:tag w:val="part_f9f2d4b084554589a8df643db5495c5f"/>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f9f2d4b084554589a8df643db5495c5f"/>
                              <w:lock w:val="sdtLocked"/>
                              <w:richText/>
                            </w:sdtPr>
                            <w:sdtContent>
                              <w:r>
                                <w:rPr>
                                  <w:szCs w:val="24"/>
                                  <w:lang w:eastAsia="en-GB"/>
                                </w:rPr>
                                <w:t>2</w:t>
                              </w:r>
                            </w:sdtContent>
                          </w:sdt>
                          <w:r>
                            <w:rPr>
                              <w:szCs w:val="24"/>
                              <w:lang w:eastAsia="en-GB"/>
                            </w:rPr>
                            <w:t xml:space="preserve">) keičiant statinių ar jų dalies paskirtį, kai atliekami tik statinio paprastojo remonto darbai arba statybos darbai iš viso neatliekami, ar užbaigus kitus, negu nurodyti šio straipsnio 2 dalyje ir 3 dalies 1 punkte, statybos darbus, </w:t>
                          </w:r>
                          <w:r>
                            <w:rPr>
                              <w:bCs/>
                              <w:szCs w:val="24"/>
                              <w:lang w:eastAsia="en-GB"/>
                            </w:rPr>
                            <w:t>kuriems buvo išduoti šio įstatymo 27 straipsnio 1 dalies 1–7 punktuose nurodyti statybą leidžiantys dokumentai.</w:t>
                          </w:r>
                        </w:p>
                      </w:sdtContent>
                    </w:sdt>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c23b190054784fb0ac7153a76daad03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c23b190054784fb0ac7153a76daad037"/>
                          <w:lock w:val="sdtLocked"/>
                          <w:richText/>
                        </w:sdtPr>
                        <w:sdtContent>
                          <w:r>
                            <w:rPr>
                              <w:szCs w:val="24"/>
                              <w:lang w:eastAsia="en-GB"/>
                            </w:rPr>
                            <w:t>6</w:t>
                          </w:r>
                        </w:sdtContent>
                      </w:sdt>
                      <w:r>
                        <w:rPr>
                          <w:szCs w:val="24"/>
                          <w:lang w:eastAsia="en-GB"/>
                        </w:rPr>
                        <w:t>. Šio straipsnio 3 dalyje nurodyta d</w:t>
                      </w:r>
                      <w:r>
                        <w:rPr>
                          <w:rFonts w:eastAsia="Calibri"/>
                          <w:szCs w:val="24"/>
                          <w:lang w:eastAsia="en-GB"/>
                        </w:rPr>
                        <w:t xml:space="preserve">eklaracija apie statybos užbaigimą </w:t>
                      </w:r>
                      <w:r>
                        <w:rPr>
                          <w:szCs w:val="24"/>
                          <w:lang w:eastAsia="en-GB"/>
                        </w:rPr>
                        <w:t>Lietuvos Respublikos statybos leidimų ir statybos valstybinės priežiūros informacinėje sistemoje</w:t>
                      </w:r>
                      <w:r>
                        <w:rPr>
                          <w:rFonts w:eastAsia="Calibri"/>
                          <w:szCs w:val="24"/>
                          <w:lang w:eastAsia="en-GB"/>
                        </w:rPr>
                        <w:t xml:space="preserve"> „Infostatyba“ įregistruojama, kai statinio (dalies) ekspertizės rangovas </w:t>
                      </w:r>
                      <w:r>
                        <w:rPr>
                          <w:szCs w:val="24"/>
                          <w:lang w:eastAsia="en-GB"/>
                        </w:rPr>
                        <w:t>Lietuvos Respublikos statybos leidimų ir statybos valstybinės priežiūros informacinėje sistemoje</w:t>
                      </w:r>
                      <w:r>
                        <w:rPr>
                          <w:rFonts w:eastAsia="Calibri"/>
                          <w:szCs w:val="24"/>
                          <w:lang w:eastAsia="en-GB"/>
                        </w:rPr>
                        <w:t xml:space="preserve"> „Infostatyba“ patvirtina deklaraciją.</w:t>
                      </w:r>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bf8843334d1d46a9ab926e5621ecef23"/>
                        <w:lock w:val="sdtLocked"/>
                        <w:richText/>
                      </w:sdtPr>
                      <w:sdtContent>
                        <w:p>
                          <w:pPr>
                            <w:spacing w:line="360" w:lineRule="auto"/>
                            <w:ind w:firstLine="720"/>
                            <w:jc w:val="both"/>
                            <w:rPr>
                              <w:szCs w:val="24"/>
                            </w:rPr>
                          </w:pPr>
                          <w:sdt>
                            <w:sdtPr>
                              <w:alias w:val="Numeris"/>
                              <w:tag w:val="nr_bf8843334d1d46a9ab926e5621ecef23"/>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64d3656fc6e348ac892dad85759aa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d3656fc6e348ac892dad85759aab05"/>
                          <w:lock w:val="sdtLocked"/>
                          <w:richText/>
                        </w:sdtPr>
                        <w:sdtContent>
                          <w:r>
                            <w:rPr>
                              <w:szCs w:val="24"/>
                              <w:lang w:eastAsia="en-GB"/>
                            </w:rPr>
                            <w:t>8</w:t>
                          </w:r>
                        </w:sdtContent>
                      </w:sdt>
                      <w:r>
                        <w:rPr>
                          <w:szCs w:val="24"/>
                          <w:lang w:eastAsia="en-GB"/>
                        </w:rPr>
                        <w:t xml:space="preserve">. Deklaracija apie statybos užbaigimą negali būti surašoma ir </w:t>
                      </w:r>
                      <w:r>
                        <w:rPr>
                          <w:rFonts w:eastAsia="Calibri"/>
                          <w:szCs w:val="24"/>
                          <w:lang w:eastAsia="en-GB"/>
                        </w:rPr>
                        <w:t>statinio ekspertizės rangovas negali tvirtinti deklaracijos apie statybos užbaigimą</w:t>
                      </w:r>
                      <w:r>
                        <w:rPr>
                          <w:szCs w:val="24"/>
                          <w:lang w:eastAsia="en-GB"/>
                        </w:rPr>
                        <w:t>, jeigu:</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fe78d948099f4a3aab1a33ac8faf5338"/>
                        <w:lock w:val="sdtLocked"/>
                        <w:richText/>
                      </w:sdtPr>
                      <w:sdtContent>
                        <w:p>
                          <w:pPr>
                            <w:spacing w:line="360" w:lineRule="auto"/>
                            <w:ind w:firstLineChars="300" w:firstLine="720"/>
                            <w:jc w:val="both"/>
                            <w:rPr>
                              <w:szCs w:val="24"/>
                            </w:rPr>
                          </w:pPr>
                          <w:sdt>
                            <w:sdtPr>
                              <w:alias w:val="Numeris"/>
                              <w:tag w:val="nr_fe78d948099f4a3aab1a33ac8faf5338"/>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5f3921975c014353848e2efc6306d4a2"/>
                    <w:lock w:val="sdtLocked"/>
                    <w:richText/>
                  </w:sdtPr>
                  <w:sdtContent>
                    <w:p>
                      <w:pPr>
                        <w:spacing w:line="360" w:lineRule="auto"/>
                        <w:ind w:firstLine="720"/>
                        <w:jc w:val="both"/>
                        <w:textAlignment w:val="baseline"/>
                        <w:rPr>
                          <w:bCs/>
                          <w:szCs w:val="24"/>
                          <w:lang w:eastAsia="en-GB"/>
                        </w:rPr>
                      </w:pPr>
                      <w:sdt>
                        <w:sdtPr>
                          <w:alias w:val="Numeris"/>
                          <w:tag w:val="nr_5f3921975c014353848e2efc6306d4a2"/>
                          <w:lock w:val="sdtLocked"/>
                          <w:richText/>
                        </w:sdtPr>
                        <w:sdtContent>
                          <w:r>
                            <w:rPr>
                              <w:bCs/>
                              <w:szCs w:val="24"/>
                              <w:lang w:eastAsia="lt-LT"/>
                            </w:rPr>
                            <w:t>1</w:t>
                          </w:r>
                        </w:sdtContent>
                      </w:sdt>
                      <w:r>
                        <w:rPr>
                          <w:bCs/>
                          <w:szCs w:val="24"/>
                          <w:lang w:eastAsia="lt-LT"/>
                        </w:rPr>
                        <w:t>. Ypatingojo statinio</w:t>
                      </w:r>
                      <w:r>
                        <w:rPr>
                          <w:szCs w:val="24"/>
                          <w:lang w:eastAsia="lt-LT"/>
                        </w:rPr>
                        <w:t>, statinio, vadovaujantis šio įstatymo 6 straipsnio 3 dalimi, nurodyto Vyriausybės ar jos įgaliotos institucijos patvirtintame statinių, kurie turi būti pritaikomi 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vardu pasiskolintomis arba valstybės garantuotų paskolų lėšomis, valstybės pinigų fondų lėšomis, savivaldybių biudžetų lėšomis</w:t>
                      </w:r>
                      <w:r>
                        <w:rPr>
                          <w:bCs/>
                          <w:szCs w:val="24"/>
                          <w:lang w:eastAsia="lt-LT"/>
                        </w:rPr>
                        <w:t>,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78a900c0a21c43ad863b545a75c387a8"/>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78a900c0a21c43ad863b545a75c387a8"/>
                          <w:lock w:val="sdtLocked"/>
                          <w:richText/>
                        </w:sdtPr>
                        <w:sdtContent>
                          <w:r>
                            <w:rPr>
                              <w:bCs/>
                              <w:szCs w:val="24"/>
                              <w:lang w:eastAsia="en-GB"/>
                            </w:rPr>
                            <w:t>3</w:t>
                          </w:r>
                        </w:sdtContent>
                      </w:sdt>
                      <w:r>
                        <w:rPr>
                          <w:bCs/>
                          <w:szCs w:val="24"/>
                          <w:lang w:eastAsia="en-GB"/>
                        </w:rPr>
                        <w:t>. Statinio ekspertizę, išskyrus aplinkos ministro nustatytus atvejus, organizuoja ir deklaraciją apie statybos užbaigimą šio įstatymo 28 straipsnio 3 dalyje nustatytais atvejais statinio (dalies) ekspertizės rangovui tvirtinti teikia statytojas (užsakovas).</w:t>
                      </w:r>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11aedab1ebe4c058ea0111b4e815874"/>
                    <w:lock w:val="sdtLocked"/>
                    <w:richText/>
                  </w:sdtPr>
                  <w:sdtContent>
                    <w:p>
                      <w:pPr>
                        <w:tabs>
                          <w:tab w:val="left" w:pos="1418"/>
                          <w:tab w:val="left" w:pos="8647"/>
                        </w:tabs>
                        <w:suppressAutoHyphens/>
                        <w:spacing w:line="360" w:lineRule="auto"/>
                        <w:ind w:firstLine="720"/>
                        <w:jc w:val="both"/>
                        <w:textAlignment w:val="baseline"/>
                        <w:rPr>
                          <w:i/>
                          <w:szCs w:val="24"/>
                          <w:lang w:eastAsia="lt-LT"/>
                        </w:rPr>
                      </w:pPr>
                      <w:sdt>
                        <w:sdtPr>
                          <w:alias w:val="Numeris"/>
                          <w:tag w:val="nr_b11aedab1ebe4c058ea0111b4e815874"/>
                          <w:lock w:val="sdtLocked"/>
                          <w:richText/>
                        </w:sdtPr>
                        <w:sdtContent>
                          <w:r>
                            <w:rPr>
                              <w:szCs w:val="24"/>
                              <w:lang w:eastAsia="en-GB"/>
                            </w:rPr>
                            <w:t>1</w:t>
                          </w:r>
                        </w:sdtContent>
                      </w:sdt>
                      <w:r>
                        <w:rPr>
                          <w:szCs w:val="24"/>
                          <w:lang w:eastAsia="en-GB"/>
                        </w:rPr>
                        <w:t xml:space="preserve">. Nebaigtas statyti ar rekonstruoti ypatingasis ar neypatingasis statinys </w:t>
                      </w:r>
                      <w:r>
                        <w:rPr>
                          <w:rFonts w:eastAsia="SimSun"/>
                          <w:bCs/>
                          <w:szCs w:val="24"/>
                          <w:lang w:eastAsia="en-GB"/>
                        </w:rPr>
                        <w:t>ir daiktinės teisės į jį</w:t>
                      </w:r>
                      <w:r>
                        <w:rPr>
                          <w:rFonts w:eastAsia="SimSun"/>
                          <w:szCs w:val="24"/>
                          <w:lang w:eastAsia="en-GB"/>
                        </w:rPr>
                        <w:t>,</w:t>
                      </w:r>
                      <w:r>
                        <w:rPr>
                          <w:szCs w:val="24"/>
                          <w:lang w:eastAsia="en-GB"/>
                        </w:rPr>
                        <w:t xml:space="preserve"> taip pat nebaigtas rekonstruoti į ypatingąjį ar neypatingąjį statinį nesudėtingasis statinys </w:t>
                      </w:r>
                      <w:r>
                        <w:rPr>
                          <w:rFonts w:eastAsia="SimSun"/>
                          <w:bCs/>
                          <w:szCs w:val="24"/>
                          <w:lang w:eastAsia="en-GB"/>
                        </w:rPr>
                        <w:t xml:space="preserve">ir daiktinės teisės į jį ne vėliau kaip per 3 metus nuo statybos pradžios turi būti </w:t>
                      </w:r>
                      <w:r>
                        <w:rPr>
                          <w:szCs w:val="24"/>
                          <w:lang w:eastAsia="en-GB"/>
                        </w:rPr>
                        <w:t xml:space="preserve">įregistruoti Nekilnojamojo turto registre statytojo (užsakovo) Lietuvos Respublikos statybos leidimų ir statybos valstybinės priežiūros informacinėje sistemoje „Infostatyba“ užpildytos pažymos apie </w:t>
                      </w:r>
                      <w:r>
                        <w:rPr>
                          <w:rFonts w:eastAsia="SimSun"/>
                          <w:bCs/>
                          <w:szCs w:val="24"/>
                          <w:lang w:eastAsia="en-GB"/>
                        </w:rPr>
                        <w:t>statinio statybą be nukrypimų nuo esminių statinio projekto sprendinių,</w:t>
                      </w:r>
                      <w:r>
                        <w:rPr>
                          <w:rFonts w:eastAsia="SimSun"/>
                          <w:szCs w:val="24"/>
                          <w:lang w:eastAsia="en-GB"/>
                        </w:rPr>
                        <w:t xml:space="preserve"> aplinkos ministro nustatyta tvarka patvirtintos statinio ekspertizės rangovo, </w:t>
                      </w:r>
                      <w:r>
                        <w:rPr>
                          <w:szCs w:val="24"/>
                          <w:lang w:eastAsia="en-GB"/>
                        </w:rPr>
                        <w:t xml:space="preserve">pagrindu, </w:t>
                      </w:r>
                      <w:r>
                        <w:rPr>
                          <w:bCs/>
                          <w:szCs w:val="24"/>
                          <w:lang w:eastAsia="en-GB"/>
                        </w:rPr>
                        <w:t xml:space="preserve">o išardytas Nekilnojamojo turto registre registruotas nebaigtas statyti ar rekonstruoti statinys gali būti išregistruotas iš Nekilnojamojo turto registro </w:t>
                      </w:r>
                      <w:r>
                        <w:rPr>
                          <w:szCs w:val="24"/>
                          <w:lang w:eastAsia="en-GB"/>
                        </w:rPr>
                        <w:t xml:space="preserve">statytojo (užsakovo) Lietuvos Respublikos statybos leidimų ir statybos valstybinės priežiūros informacinėje sistemoje „Infostatyba“ užpildytos pažymos apie nebaigto </w:t>
                      </w:r>
                      <w:r>
                        <w:rPr>
                          <w:bCs/>
                          <w:szCs w:val="24"/>
                          <w:lang w:eastAsia="en-GB"/>
                        </w:rPr>
                        <w:t>statyti ar rekonstruoti statinio išardymą pagrindu.</w:t>
                      </w:r>
                      <w:r>
                        <w:rPr>
                          <w:szCs w:val="24"/>
                          <w:lang w:eastAsia="lt-LT"/>
                        </w:rPr>
                        <w:t xml:space="preserve"> Pažymos apie statinio statybą be nukrypimų nuo esminių statinio projekto sprendinių ir pažymos apie tai, kad nebaigtas statyti ar rekonstruoti statinys nugriautas, išduodamos tik pateikus Nekilnojamojo turto kadastro tvarkytojo po išankstinės patikros suderintą statinio (patalpos) kadastro duomenų bylą. </w:t>
                      </w:r>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4fa4d9578f0e49cb9ea1f54418e8e9b4"/>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4fa4d9578f0e49cb9ea1f54418e8e9b4"/>
                          <w:lock w:val="sdtLocked"/>
                          <w:richText/>
                        </w:sdtPr>
                        <w:sdtContent>
                          <w:r>
                            <w:rPr>
                              <w:szCs w:val="24"/>
                              <w:lang w:eastAsia="en-GB"/>
                            </w:rPr>
                            <w:t>6</w:t>
                          </w:r>
                        </w:sdtContent>
                      </w:sdt>
                      <w:r>
                        <w:rPr>
                          <w:szCs w:val="24"/>
                          <w:lang w:eastAsia="en-GB"/>
                        </w:rPr>
                        <w:t>. Šio straipsnio 1 dalyje nurodytą pažymą panaikina:</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9a3ff7d0df164d5193f58600f262ff6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3ff7d0df164d5193f58600f262ff66"/>
                          <w:lock w:val="sdtLocked"/>
                          <w:richText/>
                        </w:sdtPr>
                        <w:sdtContent>
                          <w:r>
                            <w:rPr>
                              <w:bCs/>
                              <w:szCs w:val="24"/>
                              <w:lang w:eastAsia="en-GB"/>
                            </w:rPr>
                            <w:t>2</w:t>
                          </w:r>
                        </w:sdtContent>
                      </w:sdt>
                      <w:r>
                        <w:rPr>
                          <w:bCs/>
                          <w:szCs w:val="24"/>
                          <w:lang w:eastAsia="en-GB"/>
                        </w:rPr>
                        <w:t xml:space="preserve">. Pastatytą naują ypatingąjį ar neypatingąjį statinį (jo dalį) galima naudoti tik šio įstatymo 28 straipsnyje </w:t>
                      </w:r>
                      <w:r>
                        <w:rPr>
                          <w:szCs w:val="24"/>
                          <w:lang w:eastAsia="en-GB"/>
                        </w:rPr>
                        <w:t>nustatyta tvarka užbaigus šio statinio (jo dalies) statybą</w:t>
                      </w:r>
                      <w:r>
                        <w:rPr>
                          <w:bCs/>
                          <w:szCs w:val="24"/>
                          <w:lang w:eastAsia="en-GB"/>
                        </w:rPr>
                        <w:t xml:space="preserve">. Šios dalies nuostatos neprivalomos statant </w:t>
                      </w:r>
                      <w:r>
                        <w:rPr>
                          <w:szCs w:val="24"/>
                          <w:lang w:eastAsia="en-GB"/>
                        </w:rPr>
                        <w:t>vieno ir dviejų butų</w:t>
                      </w:r>
                      <w:r>
                        <w:rPr>
                          <w:bCs/>
                          <w:szCs w:val="24"/>
                          <w:lang w:eastAsia="en-GB"/>
                        </w:rPr>
                        <w:t xml:space="preserve">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7 str. 3 d."/>
                    <w:tag w:val="part_7b7c75d8748049e8833d4cd995423d21"/>
                    <w:lock w:val="sdtLocked"/>
                    <w:richText/>
                  </w:sdtPr>
                  <w:sdtContent>
                    <w:p>
                      <w:pPr>
                        <w:tabs>
                          <w:tab w:val="left" w:pos="1418"/>
                        </w:tabs>
                        <w:suppressAutoHyphens/>
                        <w:spacing w:line="360" w:lineRule="auto"/>
                        <w:ind w:firstLine="720"/>
                        <w:jc w:val="both"/>
                        <w:textAlignment w:val="baseline"/>
                      </w:pPr>
                      <w:sdt>
                        <w:sdtPr>
                          <w:alias w:val="Numeris"/>
                          <w:tag w:val="nr_7b7c75d8748049e8833d4cd995423d21"/>
                          <w:lock w:val="sdtLocked"/>
                          <w:richText/>
                        </w:sdtPr>
                        <w:sdtContent>
                          <w:r>
                            <w:rPr>
                              <w:bCs/>
                              <w:szCs w:val="24"/>
                              <w:lang w:eastAsia="en-GB"/>
                            </w:rPr>
                            <w:t>3</w:t>
                          </w:r>
                        </w:sdtContent>
                      </w:sdt>
                      <w:r>
                        <w:rPr>
                          <w:bCs/>
                          <w:szCs w:val="24"/>
                          <w:lang w:eastAsia="en-GB"/>
                        </w:rPr>
                        <w:t xml:space="preserve">. Rekonstruoto ypatingojo ar neypatingojo statinio naujas dalis galima pradėti naudoti tik šio įstatymo 28 straipsnyje </w:t>
                      </w:r>
                      <w:r>
                        <w:rPr>
                          <w:szCs w:val="24"/>
                          <w:lang w:eastAsia="en-GB"/>
                        </w:rPr>
                        <w:t>nustatyta tvarka užbaigus šio statinio (jo dalies) statybą</w:t>
                      </w:r>
                      <w:r>
                        <w:rPr>
                          <w:bCs/>
                          <w:szCs w:val="24"/>
                          <w:lang w:eastAsia="en-GB"/>
                        </w:rPr>
                        <w:t>. Šios dalies nuostatos neprivalomos rekonstruojant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30c6d11573a24a3ab47dcd78fc8c258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0c6d11573a24a3ab47dcd78fc8c2580"/>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w:t>
                      </w:r>
                      <w:r>
                        <w:rPr>
                          <w:bCs/>
                          <w:szCs w:val="24"/>
                        </w:rPr>
                        <w:t>Valstybės</w:t>
                      </w:r>
                      <w:r>
                        <w:rPr>
                          <w:szCs w:val="24"/>
                        </w:rPr>
                        <w:t xml:space="preserve">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w:t>
                      </w:r>
                      <w:r>
                        <w:rPr>
                          <w:bCs/>
                          <w:szCs w:val="24"/>
                        </w:rPr>
                        <w:t>Pastatų energinio naudingumo sertifikavimo ekspertas</w:t>
                      </w:r>
                      <w:r>
                        <w:rPr>
                          <w:color w:val="1F497D"/>
                          <w:szCs w:val="24"/>
                        </w:rPr>
                        <w:t xml:space="preserve"> </w:t>
                      </w:r>
                      <w:r>
                        <w:rPr>
                          <w:bCs/>
                          <w:szCs w:val="24"/>
                        </w:rPr>
                        <w:t>turi sumokėti pastatų energinio naudingumo sertifikavimą prižiūrinčiai institucijai aplinkos ministro nustatytą įmoką</w:t>
                      </w:r>
                      <w:r>
                        <w:rPr>
                          <w:color w:val="1F497D"/>
                          <w:szCs w:val="24"/>
                        </w:rPr>
                        <w:t xml:space="preserve"> </w:t>
                      </w:r>
                      <w:r>
                        <w:rPr>
                          <w:szCs w:val="24"/>
                        </w:rPr>
                        <w:t xml:space="preserve">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w:t>
                      </w:r>
                      <w:r>
                        <w:rPr>
                          <w:bCs/>
                          <w:szCs w:val="24"/>
                        </w:rPr>
                        <w:t>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paslaugas nustatant pirmą kartą, šios paslaugos teikimo sąnaudos nustatomos lyginant jas su panašios paslaugos teikimo sąnaudomis.</w:t>
                      </w:r>
                      <w:r>
                        <w:rPr>
                          <w:szCs w:val="24"/>
                        </w:rPr>
                        <w:t xml:space="preserve"> Pastatų energinio naudingumo sertifikavimą prižiūrinčias institucijas ir jų funkcijas sertifikavimo priežiūros srityje nustato aplinkos ministras. Pastatų energinio naudingumo sertifikavimą prižiūrinčios institucijos funkcijas atlieka </w:t>
                      </w:r>
                      <w:r>
                        <w:rPr>
                          <w:bCs/>
                          <w:szCs w:val="24"/>
                        </w:rPr>
                        <w:t>viešoji įstaiga Statybos sektoriaus vystymo agentūra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8bcdc9a156f3412d96b4a63a999a97e0"/>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bcdc9a156f3412d96b4a63a999a97e0"/>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17 d."/>
                    <w:tag w:val="part_5c1ae8850996425fa8287130d0bed2f2"/>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5c1ae8850996425fa8287130d0bed2f2"/>
                          <w:lock w:val="sdtLocked"/>
                          <w:richText/>
                        </w:sdtPr>
                        <w:sdtContent>
                          <w:r>
                            <w:rPr>
                              <w:szCs w:val="24"/>
                            </w:rPr>
                            <w:t>17</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876e6c3dd37e4ac0bfcd4340227b8683"/>
                        <w:lock w:val="sdtLocked"/>
                        <w:richText/>
                      </w:sdtPr>
                      <w:sdtContent>
                        <w:p>
                          <w:pPr>
                            <w:spacing w:line="360" w:lineRule="auto"/>
                            <w:ind w:firstLine="720"/>
                            <w:jc w:val="both"/>
                            <w:rPr>
                              <w:bCs/>
                              <w:szCs w:val="24"/>
                              <w:lang w:eastAsia="lt-LT"/>
                            </w:rPr>
                          </w:pPr>
                          <w:sdt>
                            <w:sdtPr>
                              <w:alias w:val="Numeris"/>
                              <w:tag w:val="nr_876e6c3dd37e4ac0bfcd4340227b8683"/>
                              <w:lock w:val="sdtLocked"/>
                              <w:richText/>
                            </w:sdtPr>
                            <w:sdtContent>
                              <w:r>
                                <w:rPr>
                                  <w:bCs/>
                                  <w:szCs w:val="24"/>
                                  <w:lang w:eastAsia="lt-LT"/>
                                </w:rPr>
                                <w:t>7</w:t>
                              </w:r>
                            </w:sdtContent>
                          </w:sdt>
                          <w:r>
                            <w:rPr>
                              <w:bCs/>
                              <w:szCs w:val="24"/>
                              <w:lang w:eastAsia="lt-LT"/>
                            </w:rPr>
                            <w:t>) aplinkos prieinamumas, įskaitant aplinkos atitiktį specialiesiems neįgaliųjų poreikiams;</w:t>
                          </w:r>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705c8073a9bf48b88bc0624baef1a1ec"/>
                    <w:lock w:val="sdtLocked"/>
                    <w:richText/>
                  </w:sdtPr>
                  <w:sdtContent>
                    <w:p>
                      <w:pPr>
                        <w:spacing w:line="360" w:lineRule="auto"/>
                        <w:ind w:firstLine="720"/>
                        <w:jc w:val="both"/>
                        <w:textAlignment w:val="baseline"/>
                        <w:rPr>
                          <w:b/>
                          <w:szCs w:val="24"/>
                        </w:rPr>
                      </w:pPr>
                      <w:sdt>
                        <w:sdtPr>
                          <w:alias w:val="Numeris"/>
                          <w:tag w:val="nr_705c8073a9bf48b88bc0624baef1a1ec"/>
                          <w:lock w:val="sdtLocked"/>
                          <w:richText/>
                        </w:sdtPr>
                        <w:sdtContent>
                          <w:r>
                            <w:rPr>
                              <w:szCs w:val="24"/>
                              <w:lang w:eastAsia="lt-LT"/>
                            </w:rPr>
                            <w:t>2</w:t>
                          </w:r>
                        </w:sdtContent>
                      </w:sdt>
                      <w:r>
                        <w:rPr>
                          <w:szCs w:val="24"/>
                          <w:lang w:eastAsia="lt-LT"/>
                        </w:rPr>
                        <w:t>. Už statinio ekspertizės akto, neatitinkančio teisės aktų nustatytų reikalavimų, pateikimą statinio ekspertizės užsakovui, d</w:t>
                      </w:r>
                      <w:r>
                        <w:rPr>
                          <w:rFonts w:eastAsia="Calibri"/>
                          <w:szCs w:val="24"/>
                          <w:lang w:eastAsia="en-GB"/>
                        </w:rPr>
                        <w:t xml:space="preserve">eklaracijos apie statybos užbaigimą ar </w:t>
                      </w:r>
                      <w:r>
                        <w:rPr>
                          <w:szCs w:val="24"/>
                          <w:lang w:eastAsia="en-GB"/>
                        </w:rPr>
                        <w:t xml:space="preserve">pažymos apie </w:t>
                      </w:r>
                      <w:r>
                        <w:rPr>
                          <w:rFonts w:eastAsia="SimSun"/>
                          <w:bCs/>
                          <w:szCs w:val="24"/>
                          <w:lang w:eastAsia="en-GB"/>
                        </w:rPr>
                        <w:t>statinio statybą be nukrypimų nuo esminių statinio projekto sprendinių</w:t>
                      </w:r>
                      <w:r>
                        <w:rPr>
                          <w:szCs w:val="24"/>
                          <w:lang w:eastAsia="lt-LT"/>
                        </w:rPr>
                        <w:t>, neatitinkančių teisės aktų nustatytų reikalavimų,</w:t>
                      </w:r>
                      <w:r>
                        <w:rPr>
                          <w:rFonts w:eastAsia="Calibri"/>
                          <w:szCs w:val="24"/>
                          <w:lang w:eastAsia="en-GB"/>
                        </w:rPr>
                        <w:t xml:space="preserve"> patvirtinimą </w:t>
                      </w:r>
                      <w:r>
                        <w:rPr>
                          <w:szCs w:val="24"/>
                          <w:lang w:eastAsia="lt-LT"/>
                        </w:rPr>
                        <w:t>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9e5faeaa07e7439c8fb85ccebfb2c179"/>
                    <w:lock w:val="sdtLocked"/>
                    <w:richText/>
                  </w:sdtPr>
                  <w:sdtContent>
                    <w:p>
                      <w:pPr>
                        <w:spacing w:line="360" w:lineRule="auto"/>
                        <w:ind w:firstLine="720"/>
                        <w:jc w:val="both"/>
                        <w:textAlignment w:val="baseline"/>
                        <w:rPr>
                          <w:szCs w:val="24"/>
                        </w:rPr>
                      </w:pPr>
                      <w:sdt>
                        <w:sdtPr>
                          <w:alias w:val="Numeris"/>
                          <w:tag w:val="nr_9e5faeaa07e7439c8fb85ccebfb2c179"/>
                          <w:lock w:val="sdtLocked"/>
                          <w:richText/>
                        </w:sdtPr>
                        <w:sdtContent>
                          <w:r>
                            <w:rPr>
                              <w:szCs w:val="24"/>
                              <w:lang w:eastAsia="lt-LT"/>
                            </w:rPr>
                            <w:t>1</w:t>
                          </w:r>
                        </w:sdtContent>
                      </w:sdt>
                      <w:r>
                        <w:rPr>
                          <w:szCs w:val="24"/>
                          <w:lang w:eastAsia="lt-LT"/>
                        </w:rPr>
                        <w:t>.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šešiolikos tūkstančių iki penkiasdešimt tūkstančių eurų, kai pastatytas antžeminis statinys ar statinio antžeminė dalis (tarp jų – cokolinis aukštas), skiriama bauda statytojams nuo dvidešimt tūkstančių iki septyniasdešimt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2 d."/>
                    <w:tag w:val="part_b1171f133eb14269bb4fadba87557b3e"/>
                    <w:lock w:val="sdtLocked"/>
                    <w:richText/>
                  </w:sdtPr>
                  <w:sdtContent>
                    <w:p>
                      <w:pPr>
                        <w:spacing w:line="360" w:lineRule="auto"/>
                        <w:ind w:firstLine="720"/>
                        <w:jc w:val="both"/>
                        <w:textAlignment w:val="baseline"/>
                        <w:rPr>
                          <w:szCs w:val="24"/>
                        </w:rPr>
                      </w:pPr>
                      <w:sdt>
                        <w:sdtPr>
                          <w:alias w:val="Numeris"/>
                          <w:tag w:val="nr_b1171f133eb14269bb4fadba87557b3e"/>
                          <w:lock w:val="sdtLocked"/>
                          <w:richText/>
                        </w:sdt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dvidešimt tūkstančių iki šešiasdešimt tūkstančių eurų, kai pastatytas antžeminis statinys ar statinio antžeminė dalis (tarp jų – cokolinis aukštas), skiriama bauda statytojams nuo dvidešimt penkių tūkstančių iki aštuoniasdešimt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3 d."/>
                    <w:tag w:val="part_4be9c71e32a144edaacd49443389c65c"/>
                    <w:lock w:val="sdtLocked"/>
                    <w:richText/>
                  </w:sdtPr>
                  <w:sdtContent>
                    <w:p>
                      <w:pPr>
                        <w:spacing w:line="360" w:lineRule="auto"/>
                        <w:ind w:firstLine="720"/>
                        <w:jc w:val="both"/>
                        <w:textAlignment w:val="baseline"/>
                        <w:rPr>
                          <w:szCs w:val="24"/>
                        </w:rPr>
                      </w:pPr>
                      <w:sdt>
                        <w:sdtPr>
                          <w:alias w:val="Numeris"/>
                          <w:tag w:val="nr_4be9c71e32a144edaacd49443389c65c"/>
                          <w:lock w:val="sdtLocked"/>
                          <w:richText/>
                        </w:sdtPr>
                        <w:sdtContent>
                          <w:r>
                            <w:rPr>
                              <w:szCs w:val="24"/>
                              <w:lang w:eastAsia="lt-LT"/>
                            </w:rPr>
                            <w:t>3</w:t>
                          </w:r>
                        </w:sdtContent>
                      </w:sdt>
                      <w:r>
                        <w:rPr>
                          <w:szCs w:val="24"/>
                          <w:lang w:eastAsia="lt-LT"/>
                        </w:rPr>
                        <w:t>.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keturių tūkstančių penkių šimtų iki septyniolikos tūkstančių eurų, kai pastatytas antžeminis statinys ar statinio antžeminė dalis (tarp jų – cokolinis aukštas), skiriama bauda statytojams nuo šešių tūkstančių iki 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4 d."/>
                    <w:tag w:val="part_3bbfa0d046534268aa096adcb90443dc"/>
                    <w:lock w:val="sdtLocked"/>
                    <w:richText/>
                  </w:sdtPr>
                  <w:sdtContent>
                    <w:p>
                      <w:pPr>
                        <w:spacing w:line="360" w:lineRule="auto"/>
                        <w:ind w:firstLine="720"/>
                        <w:jc w:val="both"/>
                        <w:textAlignment w:val="baseline"/>
                        <w:rPr>
                          <w:szCs w:val="24"/>
                        </w:rPr>
                      </w:pPr>
                      <w:sdt>
                        <w:sdtPr>
                          <w:alias w:val="Numeris"/>
                          <w:tag w:val="nr_3bbfa0d046534268aa096adcb90443dc"/>
                          <w:lock w:val="sdtLocked"/>
                          <w:richText/>
                        </w:sdtPr>
                        <w:sdtContent>
                          <w:r>
                            <w:rPr>
                              <w:szCs w:val="24"/>
                              <w:lang w:eastAsia="lt-LT"/>
                            </w:rPr>
                            <w:t>4</w:t>
                          </w:r>
                        </w:sdtContent>
                      </w:sdt>
                      <w:r>
                        <w:rPr>
                          <w:szCs w:val="24"/>
                          <w:lang w:eastAsia="lt-LT"/>
                        </w:rPr>
                        <w:t>.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septynių tūkstančių iki dvidešimt penkių tūkstančių eurų, kai pastatytas antžeminis statinys ar statinio antžeminė dalis (tarp jų – cokolinis aukštas), skiriama bauda statytojams nuo dešimt tūkstančių iki trisdešimt penkių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5 d."/>
                    <w:tag w:val="part_45b5f99c79cc4db7a20fc61bf2b77734"/>
                    <w:lock w:val="sdtLocked"/>
                    <w:richText/>
                  </w:sdtPr>
                  <w:sdtContent>
                    <w:p>
                      <w:pPr>
                        <w:spacing w:line="360" w:lineRule="auto"/>
                        <w:ind w:firstLine="720"/>
                        <w:jc w:val="both"/>
                        <w:textAlignment w:val="baseline"/>
                        <w:rPr>
                          <w:szCs w:val="24"/>
                        </w:rPr>
                      </w:pPr>
                      <w:sdt>
                        <w:sdtPr>
                          <w:alias w:val="Numeris"/>
                          <w:tag w:val="nr_45b5f99c79cc4db7a20fc61bf2b77734"/>
                          <w:lock w:val="sdtLocked"/>
                          <w:richText/>
                        </w:sdtPr>
                        <w:sdtContent>
                          <w:r>
                            <w:rPr>
                              <w:szCs w:val="24"/>
                              <w:lang w:eastAsia="lt-LT"/>
                            </w:rPr>
                            <w:t>5</w:t>
                          </w:r>
                        </w:sdtContent>
                      </w:sdt>
                      <w:r>
                        <w:rPr>
                          <w:szCs w:val="24"/>
                          <w:lang w:eastAsia="lt-LT"/>
                        </w:rPr>
                        <w:t>.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septynių šimtų iki vieno tūkstančio eurų, kai pastatytas antžeminis statinys ar statinio antžeminė dalis (tarp jų – cokolinis aukštas), skiriama bauda statytojams nuo vieno tūkstančio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6 d."/>
                    <w:tag w:val="part_12cbb467da2241dba0541658b93db6bb"/>
                    <w:lock w:val="sdtLocked"/>
                    <w:richText/>
                  </w:sdtPr>
                  <w:sdtContent>
                    <w:p>
                      <w:pPr>
                        <w:spacing w:line="360" w:lineRule="auto"/>
                        <w:ind w:firstLine="720"/>
                        <w:jc w:val="both"/>
                        <w:textAlignment w:val="baseline"/>
                        <w:rPr>
                          <w:szCs w:val="24"/>
                        </w:rPr>
                      </w:pPr>
                      <w:sdt>
                        <w:sdtPr>
                          <w:alias w:val="Numeris"/>
                          <w:tag w:val="nr_12cbb467da2241dba0541658b93db6bb"/>
                          <w:lock w:val="sdtLocked"/>
                          <w:richText/>
                        </w:sdt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vieno tūkstančio iki dviejų tūkstančių eurų, kai pastatytas antžeminis statinys ar statinio antžeminė dalis (tarp jų – cokolinis aukštas), skiriama bauda statytojams nuo vieno tūkstančio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ndale Sans UI">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23F9AEE"/>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44.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43.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44.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45.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4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340276387c8843b3820f7a9dd99b87aa"/>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b64d87705f7f4f7e94e7c00e85223422"/>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4b34f2a8cd4d424ca04639b006aa4f59"/>
        <Part Type="strDalis" Nr="20" Abbr="12 str. 20 d." DocPartId="12197d58166d49558ba574abc7bcf965" PartId="1c5ee47fb1c1420198ca435fa29934f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e358e19b3b5343baa99df5e69020d9d7"/>
        <Part Type="strDalis" Nr="24" Abbr="24 d." DocPartId="a52f0072d42e4b74b3b037d99fb2e820" PartId="ce32309bffef47ff890a798efab07df4"/>
      </Part>
    </Part>
    <Part Type="skirsnis" Nr="4" Title="STATYBOS DALYVIAI, JŲ PAREIGOS IR TEISĖS. STATYBVIETĖJE ESANČIŲ ASMENŲ IDENTIFIKAVIMAS“." DocPartId="512d8a131b114b9b95ef91bd5c9fd0e8" PartId="c6c468ce716543c4a0cda9b3f94e68e3">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cfbc0ef3c1844af3827fc8ad437d2259"/>
        <Part Type="strDalis" Nr="3" Abbr="17 str. 3 d." DocPartId="e7dbb5482f0f4c038ee2043e3d042bf9" PartId="a5d3734ac38d4600af43e1fd065fd155">
          <Part Type="strPunktas" Nr="1" Abbr="17 str. 3 d. 1 p." DocPartId="fee7003e798b45d487e548b209a2d752" PartId="2a2af75d6ced47ed9567dd6b4ac90f30"/>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154649bfb8c4fecb5bbe6a1cf2f99e1"/>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9fa16c27193d4517ab25f79d67d7e0b6"/>
        <Part Type="strDalis" Nr="12" Abbr="17 str. 12 d." DocPartId="4c1b0d39d31d4a9dbf7f63ffb7b06067" PartId="4a3a6a23bffe4196850200def516377d"/>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12a0d294ba5148f29438c5f27f127139"/>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531f9afd1faf4726a07db3a30ad9380b"/>
        <Part Type="strDalis" Nr="5" Abbr="18 str. 5 d." DocPartId="2cc8c781497a43ddb8d2635e2d6aef42" PartId="bc4e6b9317e647fc8c716df8c8c3a8dd"/>
        <Part Type="strDalis" Nr="6" Abbr="18 str. 6 d." DocPartId="081a582f121a485e9d50d61bbb7a8be4" PartId="73d7243621ab4868b54e80192a14c0a3"/>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11 d." DocPartId="323c73add49a40b8a5704bda1b472ce0" PartId="d8c8ff7000074740a5aecea6ee1400d8"/>
      </Part>
      <Part Type="straipsnis" Nr="22-1" Abbr="22-1 str." Title="Statybvietėje esančių asmenų identifikavimas" DocPartId="9ae7116f2a48439bbe784a37a0337ac0" PartId="e58780bdb50c40fb8c4b2497d7521b39">
        <Part Type="strDalis" Nr="1" Abbr="22-1 str. 1 d." DocPartId="9fb0c47848ed42f98583a5532171bbe0" PartId="aeda052c6601433c8cc52f9c99d3b38f">
          <Part Type="strPunktas" Nr="1" Abbr="22-1 str. 1 d. 1 p." DocPartId="27a5cd2f54ff4306957dcc40e3f8633a" PartId="725328b3d461448bac5c2600206d57c0"/>
          <Part Type="strPunktas" Nr="2" Abbr="22-1 str. 1 d. 2 p." DocPartId="ced319492a6f44c78629d617d2e328ea" PartId="4ddc7f96673f4d17b7b44579b10a298b"/>
          <Part Type="strPunktas" Nr="3" Abbr="22-1 str. 1 d. 3 p." DocPartId="0ddcabac3ad2488e85c40f83f9d7b0a0" PartId="25d621a273144302a5e0e02a1ff850e5"/>
        </Part>
        <Part Type="strDalis" Nr="2" Abbr="22-1 str. 2 d." DocPartId="da26f2f6f487424b8716ea284fb0e5fb" PartId="1431b243bf77426f947db2f4447c82e6">
          <Part Type="strPunktas" Nr="1" Abbr="22-1 str. 2 d. 1 p." DocPartId="9555bbfa4f9c4370a1824562f37f8095" PartId="28979bb5f1df4eaa91ef0a5748132691"/>
          <Part Type="strPunktas" Nr="2" Abbr="22-1 str. 2 d. 2 p." DocPartId="4b3dc29e15914e9f878efe6722a4e66d" PartId="dd221dbf2d6c408887ea4c8234dc9267"/>
        </Part>
        <Part Type="strDalis" Nr="3" Abbr="22-1 str. 3 d." DocPartId="7d61d0f16e7d4dee892663ea75bb0031" PartId="7d814ddb69354af3ad7e7d703ae243eb"/>
        <Part Type="strDalis" Nr="4" Abbr="22-1 str. 4 d." DocPartId="ea9ff6b287854ba3b6f9e76e44050cb8" PartId="c1671a3465634f49933f5f97a01bf1f9"/>
        <Part Type="strDalis" Nr="5" Abbr="22-1 str. 5 d." DocPartId="8964725918294a3ebb74e12632f3c125" PartId="c77e5e57b1f34e6baa0dcaae52780a89"/>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7a24c044f155438a81074b41ed545a98"/>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9e8f609bfee4d45b5958a1440f35520"/>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adc5bde21eb4b88bab67d033118934d"/>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0ec9dac4efb54ffabcff4b2746407012">
          <Part Type="strPunktas" Nr="1" Abbr="27 str. 1 d. 1 p." DocPartId="c7430727e63f4be4b3ab56ee8cf2f15e" PartId="28cdf4d43d044c9b9412f186ad2f1aa2"/>
          <Part Type="strPunktas" Nr="2" Abbr="27 str. 1 d. 2 p." DocPartId="38f6b3d873294bd88b6be582fe913e90" PartId="838e63ae86f640ddb12919d17a0b04cb"/>
          <Part Type="strPunktas" Nr="3" Abbr="27 str. 1 d. 3 p." DocPartId="1ffa6843e7754ceba3a48b44248e0cc5" PartId="69f0829035b1424986fa9f3b057252a8"/>
          <Part Type="strPunktas" Nr="4" Abbr="27 str. 1 d. 4 p." DocPartId="ab7f97c4d3fb40daad613049c2251aeb" PartId="84f73e160a274d869c24947609409c05"/>
          <Part Type="strPunktas" Nr="5" Abbr="27 str. 1 d. 5 p." DocPartId="3635d3f3df134889b0c1e9e6310e2000" PartId="03ffe269f0af483e85a888e911afa4a7"/>
          <Part Type="strPunktas" Nr="6" Abbr="27 str. 1 d. 6 p." DocPartId="4ea0f613cd7241a7b9b44f008a2c1afb" PartId="10bbac9c48164e14ac363905762b53d2"/>
          <Part Type="strPunktas" Nr="7" Abbr="27 str. 1 d. 7 p." DocPartId="5b274dc4753e43678320f3c673ffc877" PartId="9039d832a61f4fbd828ab8ae97d38dc9"/>
          <Part Type="strPunktas" Nr="8" Abbr="27 str. 1 d. 8 p." DocPartId="912dc27899074f339c4d049c6231a191" PartId="9a29e79b953b40ccb02ec4dfeec1a96e"/>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6cfd73d0c57543fabf522dcac5c0e3b3"/>
          <Part Type="strPunktas" Nr="7" Abbr="27 str. 5 d. 7 p." DocPartId="8a4a21a125974da1b78eaf346bd5beb5" PartId="e0afa14b6b15479c92b518157fd92657"/>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d816cc3c053a4c588cbfaf3698b84f96"/>
          <Part Type="strPunktas" Nr="15" Abbr="27 str. 5 d. 15 p." DocPartId="3609cb3b50714f5f8056c9e47abb1cf9" PartId="eb007f86ee094996a0090f342d086fb1"/>
          <Part Type="strPunktas" Nr="16" Abbr="16 p." DocPartId="42654b5820904537915edd804433d4c3" PartId="29ae76fd73214f1fb1a1b4fcb8c3e1d4"/>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10" Abbr="27 str. 10 d." DocPartId="dcf939b29dd8410e9278e040ecd4c331" PartId="3ea7c138b7a146c3809bff36ff6c1538"/>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af37c2804e3f4738b64ac1cdf07e1d6c"/>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839118dc8c5141f29bc16613fbf41302"/>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cfec44ea551e4cae9a6627cfc3dddb10"/>
          <Part Type="strPunktas" Nr="3" Abbr="27 str. 16 d. 3 p." DocPartId="20f688bb86434895bc54f05217c334c1" PartId="2e6acf8c223a451590f68bd0aac1f054"/>
          <Part Type="strPunktas" Nr="4" Abbr="4 p." DocPartId="98bb5d58e6374020b0edf07111939f0c" PartId="2f75cb4e0b0245b192aebe597abd6051"/>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61ba336c62e40239601254738707ac0">
          <Part Type="strPunktas" Nr="1" Abbr="27 str. 33 d. 1 p." DocPartId="6661cf756fb544bc86112c3c089b9be9" PartId="a18ece45cc604b50b17081f6f8be81bf"/>
          <Part Type="strPunktas" Nr="2" Abbr="27 str. 33 d. 2 p." DocPartId="86848302e5f846189868401d1b3006de" PartId="9ae6c7e490544cd9b2248f099a7a14be"/>
          <Part Type="strPunktas" Nr="3" Abbr="27 str. 33 d. 3 p." DocPartId="1849371ea8044d6c990959c64f625a74" PartId="1e4ec09d73b7452a805c8c22177baf80"/>
          <Part Type="strPunktas" Nr="4" Abbr="27 str. 33 d. 4 p." DocPartId="c5bd1ed806534001a10d678c14e38bb2" PartId="23fbb5b9462142a59e2e78bdd444b2fb"/>
        </Part>
        <Part Type="strDalis" Nr="34" Abbr="34 d." DocPartId="7954d4f7c16b4bbdbdaea9fff281d3c3" PartId="66f71dc693244e74a8c6cc9b99eb6323"/>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4bda1c4328c64e44b8daeaa200089efd"/>
          <Part Type="strPunktas" Nr="2" Abbr="27-1 str. 1 d. 2 p." DocPartId="1d87969e912349ab8fd1c82c2fff9f43" PartId="414f293e95b6450093964c8a9ed76fcb"/>
          <Part Type="strPunktas" Nr="3" Abbr="27-1 str. 1 d. 3 p." DocPartId="61afc479af1d4b3c8539f92dd73d2a28" PartId="d9d80e77cd7746d29055f9f366fa725b"/>
          <Part Type="strPunktas" Nr="4" Abbr="27-1 str. 1 d. 4 p." DocPartId="9081d64ec7ce45219ed4e3bed8c64bd8" PartId="726ce1a35eca4d8782f32b16776dedae"/>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cfaa6c15abeb4d419bc8c7c8dc4f8156"/>
          <Part Type="strPunktas" Nr="9" Abbr="27-1 str. 1 d. 9 p." DocPartId="26da555793434bc0a1b863831dbb6361" PartId="aafb559ffd834c8897caedd7c48ba789"/>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1b5fa244922941c79fe45606616d38c4">
          <Part Type="strPunktas" Nr="1" Abbr="27-1 str. 7 d. 1 p." DocPartId="06bf38c539fe4253af025361ee5ba29f" PartId="55e5c7a97dbb4a38b0d00ec51812f7b8"/>
          <Part Type="strPunktas" Nr="2" Abbr="27-1 str. 7 d. 2 p." DocPartId="a70117bb7dd948e4b8f4098e6178143b" PartId="846e0dc3e6704956a0ec02a9473762ce"/>
          <Part Type="strPunktas" Nr="3" Abbr="27-1 str. 7 d. 3 p." DocPartId="47d956c617f74deb9abb1caeedb82560" PartId="683b34c30b7e4a7a9e01a30c54d0aa13"/>
        </Part>
        <Part Type="strDalis" Nr="8" Abbr="27-1 str. 8 d." DocPartId="0f87f2b9d22d4820a05406e75559edd5" PartId="fe0fe52a8ff3421cad3361cabc013ace">
          <Part Type="strPunktas" Nr="1" Abbr="27-1 str. 8 d. 1 p." DocPartId="4b730c6a80bc49919cd06ea800542c52" PartId="df4fb7cc3079496fb37d455f21afa02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ac8c7732b1746fdb9866d12805bdc9b"/>
          <Part Type="strPunktas" Nr="2" Abbr="28 str. 1 d. 2 p." DocPartId="a03bc16d826b476a8c7540080505a308" PartId="068bfe86a5c74d019e075b1112334848"/>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e2e5bf52deef491c8c09e90274860fdc">
          <Part Type="strPunktas" Nr="1" Abbr="28 str. 2 d. 1 p." DocPartId="03183e8496684169a0b545a91e49180f" PartId="1de33beabf05444e926d15558cac1a6e"/>
          <Part Type="strPunktas" Nr="2" Abbr="28 str. 2 d. 2 p." DocPartId="5252aaeae4fe45619438fc4337bec1ac" PartId="efb842e4f80e4246b0b8c9a48c98a030"/>
          <Part Type="strPunktas" Nr="3" Abbr="28 str. 2 d. 3 p." DocPartId="7e8365b85b094f2d9db0c0726f058011" PartId="581cc5b4982a4ba28ca030fdbdd6d092"/>
        </Part>
        <Part Type="strDalis" Nr="3" Abbr="28 str. 3 d." DocPartId="1837fb92928444e384d7d13f9c799a78" PartId="94a83bf405a840429ab62d76697eaaa9">
          <Part Type="strPunktas" Nr="1" Abbr="28 str. 3 d. 1 p." DocPartId="168be90771ab4c4b9ca9eb4379b7245c" PartId="651f7132130d496f841d2c9b1c080bc0"/>
          <Part Type="strPunktas" Nr="2" Abbr="28 str. 3 d. 2 p." DocPartId="63e56fec420a4213aadf257f94b7563f" PartId="f9f2d4b084554589a8df643db5495c5f"/>
        </Part>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c23b190054784fb0ac7153a76daad037"/>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bf8843334d1d46a9ab926e5621ecef23"/>
        </Part>
        <Part Type="strDalis" Nr="8" Abbr="28 str. 8 d." DocPartId="afaa493c82d549faa94109af008318d4" PartId="64d3656fc6e348ac892dad85759aab05">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fe78d948099f4a3aab1a33ac8faf5338"/>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5f3921975c014353848e2efc6306d4a2"/>
        <Part Type="strDalis" Nr="2" Abbr="34 str. 2 d." DocPartId="e8c3a26ff21f422d9a67df2c1e05ceec" PartId="b2ca627c5a854e77b044c77c28604815"/>
        <Part Type="strDalis" Nr="3" Abbr="34 str. 3 d." DocPartId="83756d12a9024820864456936f5a4611" PartId="78a900c0a21c43ad863b545a75c387a8"/>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11aedab1ebe4c058ea0111b4e815874"/>
        <Part Type="strDalis" Nr="2" Abbr="39 str. 2 d." DocPartId="2e8bc30e6c284f13acb65622d4e6d94f" PartId="2c4ed54e84a148fb9a89ca5f00df2a6b"/>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4fa4d9578f0e49cb9ea1f54418e8e9b4">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9a3ff7d0df164d5193f58600f262ff66"/>
        <Part Type="strDalis" Nr="3" Abbr="47 str. 3 d." DocPartId="2b364e06e2d14f889fdf37e28020e1cd" PartId="7b7c75d8748049e8833d4cd995423d2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30c6d11573a24a3ab47dcd78fc8c258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8bcdc9a156f3412d96b4a63a999a97e0"/>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17 d." DocPartId="c101dae26b304a22a25dd4d88362c066" PartId="5c1ae8850996425fa8287130d0bed2f2"/>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876e6c3dd37e4ac0bfcd4340227b8683"/>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705c8073a9bf48b88bc0624baef1a1ec"/>
      </Part>
      <Part Type="straipsnis" Nr="56" Abbr="56 str." Title="Juridinių asmenų atsakomybė už savavališką statybą" DocPartId="de23d7daf7814fd4a5071959088ffec7" PartId="457c52b63f4242c18af0c9696df221cf">
        <Part Type="strDalis" Nr="1" Abbr="56 str. 1 d." DocPartId="07d8a7b852054f49a042065a3bd59a17" PartId="9e5faeaa07e7439c8fb85ccebfb2c179"/>
        <Part Type="strDalis" Nr="2" Abbr="56 str. 2 d." DocPartId="c17ac30ec6994794b01e6f3eb9cafc48" PartId="b1171f133eb14269bb4fadba87557b3e"/>
        <Part Type="strDalis" Nr="3" Abbr="56 str. 3 d." DocPartId="99a6ed2be87d4592a7ede0a020c2d393" PartId="4be9c71e32a144edaacd49443389c65c"/>
        <Part Type="strDalis" Nr="4" Abbr="56 str. 4 d." DocPartId="4a984e77389345bdb03ad1d1233e1862" PartId="3bbfa0d046534268aa096adcb90443dc"/>
        <Part Type="strDalis" Nr="5" Abbr="56 str. 5 d." DocPartId="6567fca481694c718489e3f699d1e2a9" PartId="45b5f99c79cc4db7a20fc61bf2b77734"/>
        <Part Type="strDalis" Nr="6" Abbr="56 str. 6 d." DocPartId="0f7a5abf4a8f402f88554ba97db994b0" PartId="12cbb467da2241dba0541658b93db6bb"/>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D7D0569-FAA2-4CD8-97DB-003F09C69252}">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63E1366E-E296-4CD9-8960-58044DE3934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139</TotalTime>
  <Pages>118</Pages>
  <Words>37671</Words>
  <Characters>286438</Characters>
  <Application>Microsoft Office Word</Application>
  <DocSecurity>0</DocSecurity>
  <Lines>2386</Lines>
  <Paragraphs>646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323463</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2022-09-29T07:30:00Z</dcterms:modified>
  <revision>43</revision>
  <dc:title>Redagavo: Ramunė Lūžaitė (1997</dc:title>
</coreProperties>
</file>