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2021-01-01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829838d59dd8420091ec670788ed9972"/>
                    <w:lock w:val="sdtLocked"/>
                    <w:richText/>
                  </w:sdtPr>
                  <w:sdtContent>
                    <w:p>
                      <w:pPr>
                        <w:spacing w:line="360" w:lineRule="auto"/>
                        <w:ind w:firstLine="720"/>
                        <w:jc w:val="both"/>
                        <w:rPr>
                          <w:iCs/>
                          <w:szCs w:val="24"/>
                        </w:rPr>
                      </w:pPr>
                      <w:sdt>
                        <w:sdtPr>
                          <w:alias w:val="Numeris"/>
                          <w:tag w:val="nr_829838d59dd8420091ec670788ed9972"/>
                          <w:lock w:val="sdtLocked"/>
                          <w:richText/>
                        </w:sdtPr>
                        <w:sdtContent>
                          <w:r>
                            <w:rPr>
                              <w:bCs/>
                              <w:szCs w:val="24"/>
                              <w:lang w:eastAsia="lt-LT"/>
                            </w:rPr>
                            <w:t>3</w:t>
                          </w:r>
                        </w:sdtContent>
                      </w:sdt>
                      <w:r>
                        <w:rPr>
                          <w:bCs/>
                          <w:szCs w:val="24"/>
                          <w:lang w:eastAsia="lt-LT"/>
                        </w:rPr>
                        <w:t>. Statinio projektas turi būti parengtas tais atvejais, kai privaloma gauti šio įstatymo 27 straipsnio 1 dalies 1–7 punktuose nurodytus statybą leidžiančius dokumentus, taip pat tais atvejais,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adc5bde21eb4b88bab67d033118934d"/>
                    <w:lock w:val="sdtLocked"/>
                    <w:richText/>
                  </w:sdtPr>
                  <w:sdtContent>
                    <w:p>
                      <w:pPr>
                        <w:spacing w:line="360" w:lineRule="auto"/>
                        <w:ind w:firstLine="720"/>
                        <w:jc w:val="both"/>
                        <w:rPr>
                          <w:szCs w:val="24"/>
                        </w:rPr>
                      </w:pPr>
                      <w:sdt>
                        <w:sdtPr>
                          <w:alias w:val="Numeris"/>
                          <w:tag w:val="nr_aadc5bde21eb4b88bab67d033118934d"/>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0ec9dac4efb54ffabcff4b2746407012"/>
                    <w:lock w:val="sdtLocked"/>
                    <w:richText/>
                  </w:sdtPr>
                  <w:sdtContent>
                    <w:p>
                      <w:pPr>
                        <w:tabs>
                          <w:tab w:val="left" w:pos="1418"/>
                        </w:tabs>
                        <w:suppressAutoHyphens/>
                        <w:spacing w:line="360" w:lineRule="auto"/>
                        <w:ind w:firstLine="720"/>
                        <w:jc w:val="both"/>
                        <w:textAlignment w:val="baseline"/>
                        <w:rPr>
                          <w:bCs/>
                          <w:szCs w:val="24"/>
                          <w:lang w:eastAsia="lt-LT"/>
                        </w:rPr>
                      </w:pPr>
                      <w:sdt>
                        <w:sdtPr>
                          <w:alias w:val="Numeris"/>
                          <w:tag w:val="nr_0ec9dac4efb54ffabcff4b2746407012"/>
                          <w:lock w:val="sdtLocked"/>
                          <w:richText/>
                        </w:sdtPr>
                        <w:sdtContent>
                          <w:r>
                            <w:rPr>
                              <w:bCs/>
                              <w:szCs w:val="24"/>
                              <w:lang w:eastAsia="lt-LT"/>
                            </w:rPr>
                            <w:t>1</w:t>
                          </w:r>
                        </w:sdtContent>
                      </w:sdt>
                      <w:r>
                        <w:rPr>
                          <w:bCs/>
                          <w:szCs w:val="24"/>
                          <w:lang w:eastAsia="lt-LT"/>
                        </w:rPr>
                        <w:t>. Statybą leidžiantys dokumentai yra:</w:t>
                      </w:r>
                    </w:p>
                    <w:sdt>
                      <w:sdtPr>
                        <w:alias w:val="27 str. 1 d. 1 p."/>
                        <w:tag w:val="part_28cdf4d43d044c9b9412f186ad2f1aa2"/>
                        <w:lock w:val="sdtLocked"/>
                        <w:richText/>
                      </w:sdtPr>
                      <w:sdtContent>
                        <w:p>
                          <w:pPr>
                            <w:spacing w:line="360" w:lineRule="auto"/>
                            <w:ind w:firstLine="720"/>
                            <w:jc w:val="both"/>
                            <w:rPr>
                              <w:bCs/>
                              <w:szCs w:val="24"/>
                              <w:lang w:eastAsia="lt-LT"/>
                            </w:rPr>
                          </w:pPr>
                          <w:sdt>
                            <w:sdtPr>
                              <w:alias w:val="Numeris"/>
                              <w:tag w:val="nr_28cdf4d43d044c9b9412f186ad2f1aa2"/>
                              <w:lock w:val="sdtLocked"/>
                              <w:richText/>
                            </w:sdt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2 p."/>
                        <w:tag w:val="part_838e63ae86f640ddb12919d17a0b04cb"/>
                        <w:lock w:val="sdtLocked"/>
                        <w:richText/>
                      </w:sdtPr>
                      <w:sdtContent>
                        <w:p>
                          <w:pPr>
                            <w:spacing w:line="360" w:lineRule="auto"/>
                            <w:ind w:firstLine="720"/>
                            <w:jc w:val="both"/>
                          </w:pPr>
                          <w:sdt>
                            <w:sdtPr>
                              <w:alias w:val="Numeris"/>
                              <w:tag w:val="nr_838e63ae86f640ddb12919d17a0b04cb"/>
                              <w:lock w:val="sdtLocked"/>
                              <w:richText/>
                            </w:sdtPr>
                            <w:sdtContent>
                              <w:r>
                                <w:rPr>
                                  <w:rFonts w:eastAsia="Calibri"/>
                                  <w:szCs w:val="24"/>
                                </w:rPr>
                                <w:t>2</w:t>
                              </w:r>
                            </w:sdtContent>
                          </w:sdt>
                          <w:r>
                            <w:rPr>
                              <w:rFonts w:eastAsia="Calibri"/>
                              <w:szCs w:val="24"/>
                            </w:rPr>
                            <w:t>) leidimas rekonstruoti statinį – ypatingojo ar neypatingojo statinio rekonstravimui (išskyrus krašto apsaugos tikslams skirtose teritorijose rekonstruojamą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 d. 3 p."/>
                        <w:tag w:val="part_69f0829035b1424986fa9f3b057252a8"/>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69f0829035b1424986fa9f3b057252a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84f73e160a274d869c24947609409c05"/>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84f73e160a274d869c24947609409c05"/>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03ffe269f0af483e85a888e911afa4a7"/>
                        <w:lock w:val="sdtLocked"/>
                        <w:richText/>
                      </w:sdtPr>
                      <w:sdtContent>
                        <w:p>
                          <w:pPr>
                            <w:tabs>
                              <w:tab w:val="left" w:pos="1418"/>
                            </w:tabs>
                            <w:suppressAutoHyphens/>
                            <w:spacing w:line="360" w:lineRule="auto"/>
                            <w:ind w:firstLine="720"/>
                            <w:jc w:val="both"/>
                            <w:textAlignment w:val="center"/>
                            <w:rPr>
                              <w:bCs/>
                              <w:szCs w:val="24"/>
                              <w:lang w:eastAsia="lt-LT"/>
                            </w:rPr>
                          </w:pPr>
                          <w:sdt>
                            <w:sdtPr>
                              <w:alias w:val="Numeris"/>
                              <w:tag w:val="nr_03ffe269f0af483e85a888e911afa4a7"/>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10bbac9c48164e14ac363905762b53d2"/>
                        <w:lock w:val="sdtLocked"/>
                        <w:richText/>
                      </w:sdtPr>
                      <w:sdtContent>
                        <w:p>
                          <w:pPr>
                            <w:tabs>
                              <w:tab w:val="left" w:pos="1418"/>
                            </w:tabs>
                            <w:suppressAutoHyphens/>
                            <w:spacing w:line="360" w:lineRule="auto"/>
                            <w:ind w:firstLine="782"/>
                            <w:jc w:val="both"/>
                            <w:textAlignment w:val="baseline"/>
                            <w:rPr>
                              <w:szCs w:val="24"/>
                              <w:lang w:eastAsia="lt-LT"/>
                            </w:rPr>
                          </w:pPr>
                          <w:sdt>
                            <w:sdtPr>
                              <w:alias w:val="Numeris"/>
                              <w:tag w:val="nr_10bbac9c48164e14ac363905762b53d2"/>
                              <w:lock w:val="sdtLocked"/>
                              <w:richText/>
                            </w:sdtPr>
                            <w:sdtContent>
                              <w:r>
                                <w:rPr>
                                  <w:szCs w:val="24"/>
                                  <w:lang w:eastAsia="lt-LT"/>
                                </w:rPr>
                                <w:t>6</w:t>
                              </w:r>
                            </w:sdtContent>
                          </w:sdt>
                          <w:r>
                            <w:rPr>
                              <w:szCs w:val="24"/>
                              <w:lang w:eastAsia="lt-LT"/>
                            </w:rPr>
                            <w:t xml:space="preserve">) leidimas pakeisti statinio ar jo dalies paskirtį – keičiant ypatingojo ar neypatingojo pastato (patalpos, patalpų) ar inžinerinio statinio paskirtį </w:t>
                          </w:r>
                          <w:r>
                            <w:rPr>
                              <w:bCs/>
                              <w:szCs w:val="24"/>
                              <w:lang w:eastAsia="lt-LT"/>
                            </w:rPr>
                            <w:t xml:space="preserve">(išskyrus krašto apsaugos tikslams skirtose teritorijose esantį neypatingąjį </w:t>
                          </w:r>
                          <w:r>
                            <w:rPr>
                              <w:szCs w:val="24"/>
                              <w:lang w:eastAsia="lt-LT"/>
                            </w:rPr>
                            <w:t>pastatą (patalpą, patalpas) ar inžinerinį statinį</w:t>
                          </w:r>
                          <w:r>
                            <w:rPr>
                              <w:bCs/>
                              <w:szCs w:val="24"/>
                              <w:lang w:eastAsia="lt-LT"/>
                            </w:rPr>
                            <w:t>)</w:t>
                          </w:r>
                          <w:r>
                            <w:rPr>
                              <w:szCs w:val="24"/>
                              <w:lang w:eastAsia="lt-LT"/>
                            </w:rPr>
                            <w:t>, kai atliekami statinio paprastojo remonto darbai arba neatliekami jokie statybos darbai;</w:t>
                          </w:r>
                        </w:p>
                      </w:sdtContent>
                    </w:sdt>
                    <w:sdt>
                      <w:sdtPr>
                        <w:alias w:val="27 str. 1 d. 7 p."/>
                        <w:tag w:val="part_719a4f30a5a94280a3de32e35a17cc63"/>
                        <w:lock w:val="sdtLocked"/>
                        <w:richText/>
                      </w:sdtPr>
                      <w:sdtContent>
                        <w:p>
                          <w:pPr>
                            <w:tabs>
                              <w:tab w:val="left" w:pos="1418"/>
                            </w:tabs>
                            <w:suppressAutoHyphens/>
                            <w:spacing w:line="360" w:lineRule="auto"/>
                            <w:ind w:firstLine="782"/>
                            <w:jc w:val="both"/>
                            <w:textAlignment w:val="baseline"/>
                            <w:rPr>
                              <w:bCs/>
                              <w:szCs w:val="24"/>
                              <w:lang w:eastAsia="lt-LT"/>
                            </w:rPr>
                          </w:pPr>
                          <w:sdt>
                            <w:sdtPr>
                              <w:alias w:val="Numeris"/>
                              <w:tag w:val="nr_719a4f30a5a94280a3de32e35a17cc63"/>
                              <w:lock w:val="sdtLocked"/>
                              <w:richText/>
                            </w:sdtPr>
                            <w:sdtContent>
                              <w:r>
                                <w:rPr>
                                  <w:bCs/>
                                  <w:szCs w:val="24"/>
                                  <w:lang w:eastAsia="lt-LT"/>
                                </w:rPr>
                                <w:t>7</w:t>
                              </w:r>
                            </w:sdtContent>
                          </w:sdt>
                          <w:r>
                            <w:rPr>
                              <w:bCs/>
                              <w:szCs w:val="24"/>
                              <w:lang w:eastAsia="lt-LT"/>
                            </w:rPr>
                            <w:t>)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9a29e79b953b40ccb02ec4dfeec1a9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a29e79b953b40ccb02ec4dfeec1a96e"/>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ca7f93babf844778b3c3036a167081a1"/>
                        <w:lock w:val="sdtLocked"/>
                        <w:richText/>
                      </w:sdtPr>
                      <w:sdtContent>
                        <w:p>
                          <w:pPr>
                            <w:spacing w:line="360" w:lineRule="auto"/>
                            <w:ind w:firstLine="720"/>
                            <w:jc w:val="both"/>
                            <w:rPr>
                              <w:szCs w:val="24"/>
                            </w:rPr>
                          </w:pPr>
                          <w:sdt>
                            <w:sdtPr>
                              <w:alias w:val="Numeris"/>
                              <w:tag w:val="nr_ca7f93babf844778b3c3036a167081a1"/>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f96e33d8a1ad4eba9aab88d6f1e1f32d"/>
                        <w:lock w:val="sdtLocked"/>
                        <w:richText/>
                      </w:sdtPr>
                      <w:sdtContent>
                        <w:p>
                          <w:pPr>
                            <w:spacing w:line="360" w:lineRule="auto"/>
                            <w:ind w:firstLine="720"/>
                            <w:jc w:val="both"/>
                            <w:rPr>
                              <w:bCs/>
                              <w:szCs w:val="24"/>
                            </w:rPr>
                          </w:pPr>
                          <w:sdt>
                            <w:sdtPr>
                              <w:alias w:val="Numeris"/>
                              <w:tag w:val="nr_f96e33d8a1ad4eba9aab88d6f1e1f32d"/>
                              <w:lock w:val="sdtLocked"/>
                              <w:richText/>
                            </w:sdtPr>
                            <w:sdtContent>
                              <w:r>
                                <w:rPr>
                                  <w:szCs w:val="24"/>
                                </w:rPr>
                                <w:t>6</w:t>
                              </w:r>
                            </w:sdtContent>
                          </w:sdt>
                          <w:r>
                            <w:rPr>
                              <w:szCs w:val="24"/>
                            </w:rPr>
                            <w:t>) susisiekimo ministro įgaliota įstaiga, atsakinga už geležinkelių transporto eismo 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acfc0664311e7b85cfdc787069b42">
                            <w:r w:rsidRPr="00532B9F">
                              <w:rPr>
                                <w:rFonts w:ascii="Times New Roman" w:eastAsia="MS Mincho" w:hAnsi="Times New Roman"/>
                                <w:sz w:val="20"/>
                                <w:i/>
                                <w:iCs/>
                                <w:color w:val="0000FF" w:themeColor="hyperlink"/>
                                <w:u w:val="single"/>
                              </w:rPr>
                              <w:t>XIII-591</w:t>
                            </w:r>
                          </w:fldSimple>
                          <w:r>
                            <w:rPr>
                              <w:rFonts w:ascii="Times New Roman" w:eastAsia="MS Mincho" w:hAnsi="Times New Roman"/>
                              <w:sz w:val="20"/>
                              <w:i/>
                              <w:iCs/>
                            </w:rPr>
                            <w:t>,
2017-06-30,
paskelbta TAR 2017-07-11, i. k. 2017-11960            </w:t>
                          </w:r>
                        </w:p>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0c714152eba64bedb7064c3ea5dc6ab6"/>
                    <w:lock w:val="sdtLocked"/>
                    <w:richText/>
                  </w:sdtPr>
                  <w:sdtContent>
                    <w:p>
                      <w:pPr>
                        <w:spacing w:line="360" w:lineRule="auto"/>
                        <w:ind w:firstLine="720"/>
                        <w:jc w:val="both"/>
                        <w:rPr>
                          <w:szCs w:val="24"/>
                        </w:rPr>
                      </w:pPr>
                      <w:sdt>
                        <w:sdtPr>
                          <w:alias w:val="Numeris"/>
                          <w:tag w:val="nr_0c714152eba64bedb7064c3ea5dc6ab6"/>
                          <w:lock w:val="sdtLocked"/>
                          <w:richText/>
                        </w:sdtPr>
                        <w:sdtContent>
                          <w:r>
                            <w:rPr>
                              <w:rFonts w:eastAsia="Calibri"/>
                              <w:szCs w:val="24"/>
                            </w:rPr>
                            <w:t>10</w:t>
                          </w:r>
                        </w:sdtContent>
                      </w:sdt>
                      <w:r>
                        <w:rPr>
                          <w:rFonts w:eastAsia="Calibri"/>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jos apsaugos zonoje,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6, 7 ir 8 punktuose nurodytų statinio projektų sprendinių atitiktį nustatytiems reikalavimams aplinkos ministro nustatyta tvarka tikrina ir 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345c08606a104ecca10524dedadd5f17"/>
                    <w:lock w:val="sdtLocked"/>
                    <w:richText/>
                  </w:sdtPr>
                  <w:sdtContent>
                    <w:p>
                      <w:pPr>
                        <w:pBdr>
                          <w:top w:val="nil"/>
                          <w:left w:val="nil"/>
                          <w:bottom w:val="nil"/>
                          <w:right w:val="nil"/>
                          <w:between w:val="nil"/>
                        </w:pBdr>
                        <w:spacing w:line="360" w:lineRule="auto"/>
                        <w:ind w:firstLine="720"/>
                        <w:jc w:val="both"/>
                        <w:rPr>
                          <w:szCs w:val="24"/>
                        </w:rPr>
                      </w:pPr>
                      <w:sdt>
                        <w:sdtPr>
                          <w:alias w:val="Numeris"/>
                          <w:tag w:val="nr_345c08606a104ecca10524dedadd5f17"/>
                          <w:lock w:val="sdtLocked"/>
                          <w:richText/>
                        </w:sdtPr>
                        <w:sdtContent>
                          <w:r>
                            <w:rPr>
                              <w:color w:val="000000"/>
                              <w:szCs w:val="24"/>
                              <w:lang w:eastAsia="en-GB"/>
                            </w:rPr>
                            <w:t>13</w:t>
                          </w:r>
                        </w:sdtContent>
                      </w:sdt>
                      <w:r>
                        <w:rPr>
                          <w:color w:val="000000"/>
                          <w:szCs w:val="24"/>
                          <w:lang w:eastAsia="en-GB"/>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color w:val="000000"/>
                          <w:szCs w:val="24"/>
                          <w:vertAlign w:val="superscript"/>
                          <w:lang w:eastAsia="en-GB"/>
                        </w:rPr>
                        <w:t>1</w:t>
                      </w:r>
                      <w:r>
                        <w:rPr>
                          <w:color w:val="000000"/>
                          <w:szCs w:val="24"/>
                          <w:lang w:eastAsia="en-GB"/>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363af0e79634ed6801fb1e57ca2d570"/>
                    <w:lock w:val="sdtLocked"/>
                    <w:richText/>
                  </w:sdtPr>
                  <w:sdtContent>
                    <w:p>
                      <w:pPr>
                        <w:tabs>
                          <w:tab w:val="left" w:pos="1418"/>
                        </w:tabs>
                        <w:suppressAutoHyphens/>
                        <w:spacing w:line="360" w:lineRule="auto"/>
                        <w:ind w:firstLine="720"/>
                        <w:jc w:val="both"/>
                        <w:textAlignment w:val="baseline"/>
                        <w:rPr>
                          <w:szCs w:val="24"/>
                        </w:rPr>
                      </w:pPr>
                      <w:sdt>
                        <w:sdtPr>
                          <w:alias w:val="Numeris"/>
                          <w:tag w:val="nr_f363af0e79634ed6801fb1e57ca2d570"/>
                          <w:lock w:val="sdtLocked"/>
                          <w:richText/>
                        </w:sdtPr>
                        <w:sdtContent>
                          <w:r>
                            <w:rPr>
                              <w:color w:val="000000"/>
                              <w:szCs w:val="24"/>
                            </w:rPr>
                            <w:t>15</w:t>
                          </w:r>
                        </w:sdtContent>
                      </w:sdt>
                      <w:r>
                        <w:rPr>
                          <w:color w:val="000000"/>
                          <w:szCs w:val="24"/>
                        </w:rPr>
                        <w:t>. Laikoma, kad statybą leidžiantis dokumentas yra išduotas ir galiojantis, jeigu jo duomenys įregistruoti ir apie jo išdavimą visuomenė informuota paskelbiant šio straipsnio 15</w:t>
                      </w:r>
                      <w:r>
                        <w:rPr>
                          <w:color w:val="000000"/>
                          <w:szCs w:val="24"/>
                          <w:vertAlign w:val="superscript"/>
                        </w:rPr>
                        <w:t>1 </w:t>
                      </w:r>
                      <w:r>
                        <w:rPr>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t> </w:t>
                      </w:r>
                      <w:r>
                        <w:rPr>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r>
                        <w:rPr>
                          <w:bCs/>
                          <w:color w:val="000000"/>
                          <w:szCs w:val="24"/>
                        </w:rPr>
                        <w:t>. Kai prieš išduodant statybą leidžiantį dokumentą pasirašyta savivaldybės infrastruktūros plėtros sutartis, ši sutartis turi būti pakeista iki šių statybos darbų ir (ar) statybos užbaigimo procedūrų pradžios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15-1 d."/>
                    <w:tag w:val="part_b43f0138720d4a40b4c498b147844314"/>
                    <w:lock w:val="sdtLocked"/>
                    <w:richText/>
                  </w:sdtPr>
                  <w:sdtContent>
                    <w:p>
                      <w:pPr>
                        <w:pBdr>
                          <w:top w:val="nil"/>
                          <w:left w:val="nil"/>
                          <w:bottom w:val="nil"/>
                          <w:right w:val="nil"/>
                          <w:between w:val="nil"/>
                        </w:pBdr>
                        <w:spacing w:line="360" w:lineRule="auto"/>
                        <w:ind w:firstLine="720"/>
                        <w:jc w:val="both"/>
                      </w:pPr>
                      <w:sdt>
                        <w:sdtPr>
                          <w:alias w:val="Numeris"/>
                          <w:tag w:val="nr_b43f0138720d4a40b4c498b147844314"/>
                          <w:lock w:val="sdtLocked"/>
                          <w:richText/>
                        </w:sdtPr>
                        <w:sdtContent>
                          <w:r>
                            <w:rPr>
                              <w:color w:val="000000"/>
                              <w:szCs w:val="24"/>
                              <w:lang w:eastAsia="en-GB"/>
                            </w:rPr>
                            <w:t>15</w:t>
                          </w:r>
                          <w:r>
                            <w:rPr>
                              <w:color w:val="000000"/>
                              <w:szCs w:val="24"/>
                              <w:vertAlign w:val="superscript"/>
                              <w:lang w:eastAsia="en-GB"/>
                            </w:rPr>
                            <w:t>1</w:t>
                          </w:r>
                        </w:sdtContent>
                      </w:sdt>
                      <w:r>
                        <w:rPr>
                          <w:color w:val="000000"/>
                          <w:szCs w:val="24"/>
                          <w:lang w:eastAsia="en-GB"/>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en-GB"/>
                        </w:rPr>
                        <w:t xml:space="preserve">duomenis (unikalų numerį, registro numerį), statinio registracijos duomenis (unikalų numerį, registro numerį), statinio statybos </w:t>
                      </w:r>
                      <w:r>
                        <w:rPr>
                          <w:color w:val="000000"/>
                          <w:szCs w:val="24"/>
                          <w:lang w:eastAsia="en-GB"/>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ir 15 punktuose nurodyti dokumentai. Draudžiama skelbti statytojo (užsakovo), kuris yra fizinis asmuo, ir kitų fizinių asmenų, išskyrus asmenis, dalyvaujančius rengiant statinio projektą, atliekant statinio projekto ekspertizę,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f8ec1597fbfb4c15a804bd900a53651d"/>
                        <w:lock w:val="sdtLocked"/>
                        <w:richText/>
                      </w:sdtPr>
                      <w:sdtContent>
                        <w:p>
                          <w:pPr>
                            <w:spacing w:line="360" w:lineRule="auto"/>
                            <w:ind w:firstLine="720"/>
                            <w:jc w:val="both"/>
                            <w:rPr>
                              <w:szCs w:val="24"/>
                            </w:rPr>
                          </w:pPr>
                          <w:sdt>
                            <w:sdtPr>
                              <w:alias w:val="Numeris"/>
                              <w:tag w:val="nr_f8ec1597fbfb4c15a804bd900a53651d"/>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įrašymo į Nekilnojamojo turto registrą, Nekilnojamojo turto kadastrą,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5beed366ee2c4f828142d2bd9ad6a38d"/>
                    <w:lock w:val="sdtLocked"/>
                    <w:richText/>
                  </w:sdtPr>
                  <w:sdtContent>
                    <w:p>
                      <w:pPr>
                        <w:spacing w:line="360" w:lineRule="auto"/>
                        <w:ind w:firstLine="720"/>
                        <w:jc w:val="both"/>
                        <w:textAlignment w:val="baseline"/>
                        <w:rPr>
                          <w:szCs w:val="24"/>
                        </w:rPr>
                      </w:pPr>
                      <w:sdt>
                        <w:sdtPr>
                          <w:alias w:val="Numeris"/>
                          <w:tag w:val="nr_5beed366ee2c4f828142d2bd9ad6a38d"/>
                          <w:lock w:val="sdtLocked"/>
                          <w:richText/>
                        </w:sdtPr>
                        <w:sdtContent>
                          <w:r>
                            <w:rPr>
                              <w:szCs w:val="24"/>
                              <w:lang w:eastAsia="en-GB"/>
                            </w:rPr>
                            <w:t>20</w:t>
                          </w:r>
                        </w:sdtContent>
                      </w:sdt>
                      <w:r>
                        <w:rPr>
                          <w:szCs w:val="24"/>
                          <w:lang w:eastAsia="en-GB"/>
                        </w:rPr>
                        <w:t>. Prašymų išduoti statybą leidžiantį dokumentą turinį, prašant išduoti statybą leidžiantį dokumentą pateikiamo statinio projekto apimtį, statybą leidžiančių dokumentų turinį ir jų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4e1fefb15b9e4dac86108722d4210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fefb15b9e4dac86108722d4210d5e"/>
                          <w:lock w:val="sdtLocked"/>
                          <w:richText/>
                        </w:sdtPr>
                        <w:sdtContent>
                          <w:r>
                            <w:rPr>
                              <w:szCs w:val="24"/>
                              <w:lang w:eastAsia="lt-LT"/>
                            </w:rPr>
                            <w:t>2</w:t>
                          </w:r>
                        </w:sdtContent>
                      </w:sdt>
                      <w:r>
                        <w:rPr>
                          <w:szCs w:val="24"/>
                          <w:lang w:eastAsia="lt-LT"/>
                        </w:rPr>
                        <w:t>. Ypatingųjų ir neypatingųjų vieno ar dviejų butų gyvenamųjų, pagalbinio ūkio paskirties pastatų (išskyrus kultūros paveldo statinius), ypatingųjų ir neypatingųjų statinių pagal aplinkos ministro patvirtintą sąrašą ir krašto apsaugos tikslams skirtose teritorijose statomų neypatingųjų statinių statyba (naujo statinio statyba,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1058dcb4bb25426faefe7efe97ab0b7f"/>
                    <w:lock w:val="sdtLocked"/>
                    <w:richText/>
                  </w:sdtPr>
                  <w:sdtContent>
                    <w:p>
                      <w:pPr>
                        <w:spacing w:line="360" w:lineRule="auto"/>
                        <w:ind w:firstLine="720"/>
                        <w:jc w:val="both"/>
                        <w:textAlignment w:val="baseline"/>
                        <w:rPr>
                          <w:bCs/>
                          <w:szCs w:val="24"/>
                        </w:rPr>
                      </w:pPr>
                      <w:sdt>
                        <w:sdtPr>
                          <w:alias w:val="Numeris"/>
                          <w:tag w:val="nr_1058dcb4bb25426faefe7efe97ab0b7f"/>
                          <w:lock w:val="sdtLocked"/>
                          <w:richText/>
                        </w:sdtPr>
                        <w:sdtContent>
                          <w:r>
                            <w:rPr>
                              <w:bCs/>
                              <w:szCs w:val="24"/>
                              <w:lang w:eastAsia="lt-LT"/>
                            </w:rPr>
                            <w:t>1</w:t>
                          </w:r>
                        </w:sdtContent>
                      </w:sdt>
                      <w:r>
                        <w:rPr>
                          <w:bCs/>
                          <w:szCs w:val="24"/>
                          <w:lang w:eastAsia="lt-LT"/>
                        </w:rPr>
                        <w:t>. Ypatingojo statinio ir statinio, kurio projektavimas ir (ar) statyba finansuojama Lietuvos Respublikos ir (ar) Europos Sąjungos biudžeto lėšomis,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rPr>
                        <w:t xml:space="preserve"> Statinio projekto ekspertizė neprivaloma krašto apsaugos tikslams skirtose teritorijose projektuojant nesudėtingąjį statinį,</w:t>
                      </w:r>
                      <w:r>
                        <w:rPr>
                          <w:szCs w:val="24"/>
                        </w:rPr>
                        <w:t xml:space="preserve"> </w:t>
                      </w:r>
                      <w:r>
                        <w:rPr>
                          <w:bCs/>
                          <w:szCs w:val="24"/>
                        </w:rPr>
                        <w:t>kurio projektavimas ir statyba finansuojama Lietuvos Respublikos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9b9d45ba52114f15bfb29196c634603e"/>
                    <w:lock w:val="sdtLocked"/>
                    <w:richText/>
                  </w:sdtPr>
                  <w:sdtContent>
                    <w:p>
                      <w:pPr>
                        <w:spacing w:line="360" w:lineRule="auto"/>
                        <w:ind w:firstLine="720"/>
                        <w:jc w:val="both"/>
                        <w:textAlignment w:val="baseline"/>
                        <w:rPr>
                          <w:szCs w:val="24"/>
                        </w:rPr>
                      </w:pPr>
                      <w:sdt>
                        <w:sdtPr>
                          <w:alias w:val="Numeris"/>
                          <w:tag w:val="nr_9b9d45ba52114f15bfb29196c634603e"/>
                          <w:lock w:val="sdtLocked"/>
                          <w:richText/>
                        </w:sdtPr>
                        <w:sdtContent>
                          <w:r>
                            <w:rPr>
                              <w:szCs w:val="24"/>
                            </w:rPr>
                            <w:t>1</w:t>
                          </w:r>
                        </w:sdtContent>
                      </w:sdt>
                      <w:r>
                        <w:rPr>
                          <w:szCs w:val="24"/>
                        </w:rPr>
                        <w:t>. 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14.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13.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14.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15.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829838d59dd8420091ec670788ed9972"/>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adc5bde21eb4b88bab67d033118934d"/>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0ec9dac4efb54ffabcff4b2746407012">
          <Part Type="strPunktas" Nr="1" Abbr="27 str. 1 d. 1 p." DocPartId="c7430727e63f4be4b3ab56ee8cf2f15e" PartId="28cdf4d43d044c9b9412f186ad2f1aa2"/>
          <Part Type="strPunktas" Nr="2" Abbr="27 str. 1 d. 2 p." DocPartId="38f6b3d873294bd88b6be582fe913e90" PartId="838e63ae86f640ddb12919d17a0b04cb"/>
          <Part Type="strPunktas" Nr="3" Abbr="27 str. 1 d. 3 p." DocPartId="1ffa6843e7754ceba3a48b44248e0cc5" PartId="69f0829035b1424986fa9f3b057252a8"/>
          <Part Type="strPunktas" Nr="4" Abbr="27 str. 1 d. 4 p." DocPartId="ab7f97c4d3fb40daad613049c2251aeb" PartId="84f73e160a274d869c24947609409c05"/>
          <Part Type="strPunktas" Nr="5" Abbr="27 str. 1 d. 5 p." DocPartId="3635d3f3df134889b0c1e9e6310e2000" PartId="03ffe269f0af483e85a888e911afa4a7"/>
          <Part Type="strPunktas" Nr="6" Abbr="27 str. 1 d. 6 p." DocPartId="4ea0f613cd7241a7b9b44f008a2c1afb" PartId="10bbac9c48164e14ac363905762b53d2"/>
          <Part Type="strPunktas" Nr="7" Abbr="27 str. 1 d. 7 p." DocPartId="5b274dc4753e43678320f3c673ffc877" PartId="719a4f30a5a94280a3de32e35a17cc63"/>
          <Part Type="strPunktas" Nr="8" Abbr="27 str. 1 d. 8 p." DocPartId="912dc27899074f339c4d049c6231a191" PartId="9a29e79b953b40ccb02ec4dfeec1a96e"/>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ca7f93babf844778b3c3036a167081a1"/>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f96e33d8a1ad4eba9aab88d6f1e1f32d"/>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0c714152eba64bedb7064c3ea5dc6ab6"/>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345c08606a104ecca10524dedadd5f17"/>
        <Part Type="strDalis" Nr="14" Abbr="27 str. 14 d." DocPartId="1397bb05663d47c8b475d42e23cff6d4" PartId="d9cc38e94e994017ba4c5557632b5a42"/>
        <Part Type="strDalis" Nr="15" Abbr="27 str. 15 d." DocPartId="b63e526583d845f8b3b04e166f915469" PartId="f363af0e79634ed6801fb1e57ca2d570"/>
        <Part Type="strDalis" Nr="15-1" Abbr="15-1 d." DocPartId="a26e497c517549df89bdda5402386a0b" PartId="b43f0138720d4a40b4c498b147844314"/>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f8ec1597fbfb4c15a804bd900a53651d"/>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5beed366ee2c4f828142d2bd9ad6a38d"/>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4e1fefb15b9e4dac86108722d4210d5e"/>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1058dcb4bb25426faefe7efe97ab0b7f"/>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9b9d45ba52114f15bfb29196c634603e"/>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FFE47C8-B636-47E0-924E-28C739A765B4}">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F8B6A4C4-9FAF-4045-9506-C6250E7F53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TotalTime>
  <Pages>103</Pages>
  <Words>32684</Words>
  <Characters>248517</Characters>
  <Application>Microsoft Office Word</Application>
  <DocSecurity>0</DocSecurity>
  <Lines>2070</Lines>
  <Paragraphs>561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280640</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2021-06-29T15:04:00Z</dcterms:modified>
  <revision>29</revision>
  <dc:title>Redagavo: Ramunė Lūžaitė (1997</dc:title>
</coreProperties>
</file>