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2017-01-01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XII-2573. įsigaliojimo (2017-01-01) pradėtos specialiųjų architektūros reikalavimų, specialiųjų paveldosaugos reikalavimų, specialiųjų saugomos teritorijos tvarkymo ir apsaugos reikalavimų, prisijungimo sąlygų, statybą leidžiančių dokumentų išdavimo, statinių statybos užbaigimo procedūros baigiamos vykdyti pagal šių procedūrų vykdymo pradžios metu galiojusius teisės aktus. Iki šio įstatymo įsigaliojimo dienos išduoti kvalifikacijos atestatai ir teisės pripažinimo dokumentai turi tokią pačią teisinę galią kaip šiuo įstatymu keičiamame Lietuvos Respublikos statybos įstatyme nurodyti kvalifikacijos atestatai ir teisės pripažinimo dokumentai. Architektai ir statybos inžinieriai gali eiti neypatingųjų statinių statybos techninės veiklos pagrindinių sričių vadovų pareigas neturėdami kvalifikacijos atestatų ir teisės pripažinimo dokumentų, išduotų šiame įstatyme išdėstyto Lietuvos Respublikos statybos įstatymo 12 straipsnyje nustatyta tvarka, iki 2018 m. sausio 1 d. Teisę eiti šiame įstatyme išdėstyto Lietuvos Respublikos statybos įstatymo 12 straipsnio 20 ir 21 dalyse, 17 straipsnio 12 dalyje, 18 straipsnio 6 dalyje nurodytas pareigas ypatinguosiuose statiniuose turi ir asmenys iki šio įstatymo įsigaliojimo Lietuvos Respublikos nekilnojamojo kultūros paveldo apsaugos įstatymo, šiuo įstatymu keičiamo Lietuvos Respublikos statybos įstatymo, jų įgyvendinamųjų teisės aktų nustatyta tvarka gavę atestatus ar teisės pripažinimo dokumentus, suteikiančius teisę vykdyti atitinkamą veiklą. Ši teisė galioja iki atestato ar teisės pripažinimo dokumento galiojimo pabaigos dienos.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pStyle w:val="PlainText"/>
            <w:rPr>
              <w:rFonts w:ascii="Times New Roman" w:eastAsia="MS Mincho" w:hAnsi="Times New Roman"/>
              <w:sz w:val="20"/>
              <w:i/>
              <w:iCs/>
            </w:rPr>
          </w:pPr>
          <w:r>
            <w:rPr>
              <w:rFonts w:ascii="Times New Roman" w:eastAsia="MS Mincho" w:hAnsi="Times New Roman"/>
              <w:sz w:val="20"/>
              <w:i/>
              <w:iCs/>
            </w:rPr>
            <w:t>Lietuvos Respublikos statybos įstatymo Nr. I-1240 pakeitimo įstatymas</w:t>
          </w:r>
        </w:p>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6cdbef449a7645ff8eadda8f59240085"/>
                    <w:lock w:val="sdtLocked"/>
                    <w:richText/>
                  </w:sdtPr>
                  <w:sdtContent>
                    <w:p>
                      <w:pPr>
                        <w:suppressAutoHyphens/>
                        <w:spacing w:line="360" w:lineRule="auto"/>
                        <w:ind w:firstLine="720"/>
                        <w:jc w:val="both"/>
                        <w:textAlignment w:val="baseline"/>
                        <w:rPr>
                          <w:szCs w:val="24"/>
                        </w:rPr>
                      </w:pPr>
                      <w:sdt>
                        <w:sdtPr>
                          <w:alias w:val="Numeris"/>
                          <w:tag w:val="nr_6cdbef449a7645ff8eadda8f59240085"/>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baigęs universitetines menų studijų srities architektūros krypties studijas ir įgijęs architektūros krypties kvalifikacinį laipsnį arba lygiavertę aukštojo mokslo kvalifikaciją, atitinkančią Lietuvos Respublikos reglamentuojamų profesinių kvalifikacijų pripažinimo įstatymo aštuntajame skirsnyje nustatytus architektų rengimo reikalavimus.</w:t>
                      </w:r>
                    </w:p>
                  </w:sdtContent>
                </w:sdt>
                <w:sdt>
                  <w:sdtPr>
                    <w:alias w:val="2 str. 2 d."/>
                    <w:tag w:val="part_fa7ae65441454eada04bd6b4ac049559"/>
                    <w:lock w:val="sdtLocked"/>
                    <w:richText/>
                  </w:sdtPr>
                  <w:sdtContent>
                    <w:p>
                      <w:pPr>
                        <w:suppressAutoHyphens/>
                        <w:spacing w:line="360" w:lineRule="auto"/>
                        <w:ind w:firstLine="720"/>
                        <w:jc w:val="both"/>
                        <w:textAlignment w:val="baseline"/>
                        <w:rPr>
                          <w:szCs w:val="24"/>
                          <w:lang w:eastAsia="ar-SA"/>
                        </w:rPr>
                      </w:pPr>
                      <w:sdt>
                        <w:sdtPr>
                          <w:alias w:val="Numeris"/>
                          <w:tag w:val="nr_fa7ae65441454eada04bd6b4ac049559"/>
                          <w:lock w:val="sdtLocked"/>
                          <w:richText/>
                        </w:sdtPr>
                        <w:sdtContent>
                          <w:r>
                            <w:rPr>
                              <w:szCs w:val="24"/>
                            </w:rPr>
                            <w:t>2</w:t>
                          </w:r>
                        </w:sdtContent>
                      </w:sdt>
                      <w:r>
                        <w:rPr>
                          <w:szCs w:val="24"/>
                        </w:rPr>
                        <w:t xml:space="preserve">. </w:t>
                      </w:r>
                      <w:r>
                        <w:rPr>
                          <w:b/>
                          <w:bCs/>
                          <w:szCs w:val="24"/>
                          <w:lang w:eastAsia="ar-SA"/>
                        </w:rPr>
                        <w:t xml:space="preserve">Architekto veikla </w:t>
                      </w:r>
                      <w:r>
                        <w:rPr>
                          <w:szCs w:val="24"/>
                          <w:lang w:eastAsia="ar-SA"/>
                        </w:rPr>
                        <w:t>–</w:t>
                      </w:r>
                      <w:r>
                        <w:rPr>
                          <w:b/>
                          <w:bCs/>
                          <w:szCs w:val="24"/>
                          <w:lang w:eastAsia="ar-SA"/>
                        </w:rPr>
                        <w:t xml:space="preserve"> </w:t>
                      </w:r>
                      <w:r>
                        <w:rPr>
                          <w:szCs w:val="24"/>
                          <w:lang w:eastAsia="ar-SA"/>
                        </w:rPr>
                        <w:t>veikla, kuriai vykdyti reikia architekto profesinės kvalifikacijos.</w:t>
                      </w:r>
                    </w:p>
                  </w:sdtContent>
                </w:sdt>
                <w:sdt>
                  <w:sdtPr>
                    <w:alias w:val="2 str. 3 d."/>
                    <w:tag w:val="part_4b661e94c4f04143acef9095366f1440"/>
                    <w:lock w:val="sdtLocked"/>
                    <w:richText/>
                  </w:sdtPr>
                  <w:sdtContent>
                    <w:p>
                      <w:pPr>
                        <w:suppressAutoHyphens/>
                        <w:spacing w:line="360" w:lineRule="auto"/>
                        <w:ind w:firstLine="720"/>
                        <w:jc w:val="both"/>
                        <w:textAlignment w:val="baseline"/>
                        <w:rPr>
                          <w:szCs w:val="24"/>
                        </w:rPr>
                      </w:pPr>
                      <w:sdt>
                        <w:sdtPr>
                          <w:alias w:val="Numeris"/>
                          <w:tag w:val="nr_4b661e94c4f04143acef9095366f1440"/>
                          <w:lock w:val="sdtLocked"/>
                          <w:richText/>
                        </w:sdtPr>
                        <w:sdtContent>
                          <w:r>
                            <w:rPr>
                              <w:szCs w:val="24"/>
                            </w:rPr>
                            <w:t>3</w:t>
                          </w:r>
                        </w:sdtContent>
                      </w:sdt>
                      <w:r>
                        <w:rPr>
                          <w:szCs w:val="24"/>
                        </w:rPr>
                        <w:t xml:space="preserve">. </w:t>
                      </w:r>
                      <w:r>
                        <w:rPr>
                          <w:b/>
                          <w:bCs/>
                          <w:szCs w:val="24"/>
                          <w:lang w:eastAsia="ar-SA"/>
                        </w:rPr>
                        <w:t xml:space="preserve">Architektūra </w:t>
                      </w:r>
                      <w:r>
                        <w:rPr>
                          <w:szCs w:val="24"/>
                          <w:lang w:eastAsia="ar-SA"/>
                        </w:rPr>
                        <w:t xml:space="preserve">– funkcinis erdvinis ir vizualiai suvokiamas meninis statinių, kraštovaizdžio ir teritorijų planavimo objektų formavimas. </w:t>
                      </w:r>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c8838645430642a1ae4c24acbac8ce1d"/>
                    <w:lock w:val="sdtLocked"/>
                    <w:richText/>
                  </w:sdtPr>
                  <w:sdtContent>
                    <w:p>
                      <w:pPr>
                        <w:suppressAutoHyphens/>
                        <w:spacing w:line="360" w:lineRule="auto"/>
                        <w:ind w:firstLine="720"/>
                        <w:jc w:val="both"/>
                        <w:textAlignment w:val="baseline"/>
                        <w:rPr>
                          <w:szCs w:val="24"/>
                        </w:rPr>
                      </w:pPr>
                      <w:sdt>
                        <w:sdtPr>
                          <w:alias w:val="Numeris"/>
                          <w:tag w:val="nr_c8838645430642a1ae4c24acbac8ce1d"/>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statinio projektuotojo parinkimo konkurso medžiaga ir (ar) informacija visuomenei apie numatomą statinių projektavimą bei gali būti naudojami rengiant specialiuosius architektūros reikalavimus, specialiuosius saugomos teritorijos tvarkymo ir apsaugos reikalavimus, specialiuosius paveldosaugos reikalavimus.</w:t>
                      </w:r>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be916f200f4e45a49a30ab9f9b9e2b35"/>
                    <w:lock w:val="sdtLocked"/>
                    <w:richText/>
                  </w:sdtPr>
                  <w:sdtContent>
                    <w:p>
                      <w:pPr>
                        <w:suppressAutoHyphens/>
                        <w:spacing w:line="360" w:lineRule="auto"/>
                        <w:ind w:firstLine="720"/>
                        <w:jc w:val="both"/>
                        <w:textAlignment w:val="baseline"/>
                        <w:rPr>
                          <w:szCs w:val="24"/>
                        </w:rPr>
                      </w:pPr>
                      <w:sdt>
                        <w:sdtPr>
                          <w:alias w:val="Numeris"/>
                          <w:tag w:val="nr_be916f200f4e45a49a30ab9f9b9e2b35"/>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w:t>
                      </w:r>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bc5a786e3b7244108c065c73d5b09c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c5a786e3b7244108c065c73d5b09c22"/>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ar kapitalinio remonto aprašą statiniuose, kurių sąrašą tvirtina Vyriausybė ar jos įgaliota institucija,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8afc901db8af4af888ef1c334f4a28ba"/>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c901db8af4af888ef1c334f4a28ba"/>
                              <w:lock w:val="sdtLocked"/>
                              <w:richText/>
                            </w:sdtPr>
                            <w:sdtContent>
                              <w:r>
                                <w:rPr>
                                  <w:szCs w:val="24"/>
                                </w:rPr>
                                <w:t>9</w:t>
                              </w:r>
                            </w:sdtContent>
                          </w:sdt>
                          <w:r>
                            <w:rPr>
                              <w:szCs w:val="24"/>
                            </w:rPr>
                            <w:t>) sustabdžius statybos darbus, kuriems pirkti taikomas Lietuvos Respublikos viešųjų pirkimų įstatymas, neatsižvelgiant į sustabdymo priežastis, Vyriausybės arba jos įgaliotos institucijos nustatyta tvarka organizuoti statomo statinio konservavimo darbus;</w:t>
                          </w:r>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08d35c6eae644433ae68b28293ccd84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5c6eae644433ae68b28293ccd843"/>
                              <w:lock w:val="sdtLocked"/>
                              <w:richText/>
                            </w:sdtPr>
                            <w:sdtContent>
                              <w:r>
                                <w:rPr>
                                  <w:szCs w:val="24"/>
                                </w:rPr>
                                <w:t>3</w:t>
                              </w:r>
                            </w:sdtContent>
                          </w:sdt>
                          <w:r>
                            <w:rPr>
                              <w:szCs w:val="24"/>
                            </w:rPr>
                            <w:t>)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Lietuvos Respublikos viešųjų pirkimų įstatymo nustatyta tvarka.</w:t>
                          </w:r>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bfafb94e51df4a0bbe7d643d73635d13"/>
                        <w:lock w:val="sdtLocked"/>
                        <w:richText/>
                      </w:sdtPr>
                      <w:sdtContent>
                        <w:p>
                          <w:pPr>
                            <w:tabs>
                              <w:tab w:val="left" w:pos="1418"/>
                            </w:tabs>
                            <w:suppressAutoHyphens/>
                            <w:spacing w:line="360" w:lineRule="auto"/>
                            <w:ind w:firstLine="720"/>
                            <w:jc w:val="both"/>
                            <w:textAlignment w:val="baseline"/>
                            <w:rPr>
                              <w:szCs w:val="24"/>
                            </w:rPr>
                          </w:pPr>
                          <w:sdt>
                            <w:sdtPr>
                              <w:alias w:val="Numeris"/>
                              <w:tag w:val="nr_bfafb94e51df4a0bbe7d643d73635d13"/>
                              <w:lock w:val="sdtLocked"/>
                              <w:richText/>
                            </w:sdtPr>
                            <w:sdtContent>
                              <w:r>
                                <w:rPr>
                                  <w:szCs w:val="24"/>
                                </w:rPr>
                                <w:t>9</w:t>
                              </w:r>
                            </w:sdtContent>
                          </w:sdt>
                          <w:r>
                            <w:rPr>
                              <w:szCs w:val="24"/>
                            </w:rPr>
                            <w:t>) paprastojo remonto aprašas – statinio, išskyrus šios dalies 5 punkte nurodytus statinius, paprastajam remontui;</w:t>
                          </w:r>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95769a7a820d40fa9ac0ce02d9241741"/>
                    <w:lock w:val="sdtLocked"/>
                    <w:richText/>
                  </w:sdtPr>
                  <w:sdtContent>
                    <w:p>
                      <w:pPr>
                        <w:tabs>
                          <w:tab w:val="left" w:pos="1418"/>
                        </w:tabs>
                        <w:suppressAutoHyphens/>
                        <w:spacing w:line="360" w:lineRule="auto"/>
                        <w:ind w:firstLine="720"/>
                        <w:jc w:val="both"/>
                        <w:textAlignment w:val="baseline"/>
                        <w:rPr>
                          <w:iCs/>
                          <w:szCs w:val="24"/>
                        </w:rPr>
                      </w:pPr>
                      <w:sdt>
                        <w:sdtPr>
                          <w:alias w:val="Numeris"/>
                          <w:tag w:val="nr_95769a7a820d40fa9ac0ce02d9241741"/>
                          <w:lock w:val="sdtLocked"/>
                          <w:richText/>
                        </w:sdtPr>
                        <w:sdtContent>
                          <w:r>
                            <w:rPr>
                              <w:iCs/>
                              <w:szCs w:val="24"/>
                            </w:rPr>
                            <w:t>3</w:t>
                          </w:r>
                        </w:sdtContent>
                      </w:sdt>
                      <w:r>
                        <w:rPr>
                          <w:iCs/>
                          <w:szCs w:val="24"/>
                        </w:rPr>
                        <w:t>. Statinio projektas turi būti parengtas tais atvejais kai privaloma gauti šio įstatymo 27 straipsnio 1 dalies 1–7 punktuose nurodytus statybą leidžiančius dokumentus,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w:t>
                      </w:r>
                      <w:r>
                        <w:rPr>
                          <w:szCs w:val="24"/>
                        </w:rPr>
                        <w:t>kai pagal Lietuvos Respublikos planuojamos ūkinės veiklos poveikio aplinkai vertinimo įstatymo nuostatas turi būti atliktos planuojamos ūkinės veiklos poveikio aplinkai vertinimo procedūros</w:t>
                      </w:r>
                      <w:r>
                        <w:rPr>
                          <w:iCs/>
                          <w:szCs w:val="24"/>
                        </w:rPr>
                        <w:t>);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3c2bd531d9474438962ccb22055f5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3c2bd531d9474438962ccb22055f5710"/>
                          <w:lock w:val="sdtLocked"/>
                          <w:richText/>
                        </w:sdtPr>
                        <w:sdtContent>
                          <w:r>
                            <w:rPr>
                              <w:szCs w:val="24"/>
                            </w:rPr>
                            <w:t>24</w:t>
                          </w:r>
                        </w:sdtContent>
                      </w:sdt>
                      <w:r>
                        <w:rPr>
                          <w:szCs w:val="24"/>
                        </w:rPr>
                        <w:t xml:space="preserve">. </w:t>
                      </w:r>
                      <w:r>
                        <w:rPr>
                          <w:bCs/>
                          <w:szCs w:val="24"/>
                        </w:rPr>
                        <w:t xml:space="preserve">Šio straipsnio 1 dalyje nurodyti statinio projektai turi atitikti </w:t>
                      </w:r>
                      <w:r>
                        <w:rPr>
                          <w:szCs w:val="24"/>
                        </w:rPr>
                        <w:t xml:space="preserve">Lietuvos Respublikos </w:t>
                      </w:r>
                      <w:r>
                        <w:rPr>
                          <w:bCs/>
                          <w:szCs w:val="24"/>
                        </w:rPr>
                        <w:t xml:space="preserve">įstatymų, kitų teisės aktų, normatyvinių statybos techninių dokumentų reikalavimus, kurie galiojo tą dieną, kai buvo išduoti specialieji reikalavimai </w:t>
                      </w:r>
                      <w:r>
                        <w:rPr>
                          <w:szCs w:val="24"/>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bCs/>
                          <w:szCs w:val="24"/>
                        </w:rPr>
                        <w:t>.</w:t>
                      </w:r>
                    </w:p>
                    <w:p>
                      <w:pPr>
                        <w:tabs>
                          <w:tab w:val="left" w:pos="1418"/>
                        </w:tabs>
                        <w:spacing w:line="360" w:lineRule="auto"/>
                        <w:ind w:firstLine="720"/>
                        <w:rPr>
                          <w:szCs w:val="24"/>
                        </w:rPr>
                      </w:pPr>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273a8746565b4fcca0ea7885b57a0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a8746565b4fcca0ea7885b57a0676"/>
                          <w:lock w:val="sdtLocked"/>
                          <w:richText/>
                        </w:sdtPr>
                        <w:sdtContent>
                          <w:r>
                            <w:rPr>
                              <w:szCs w:val="24"/>
                            </w:rPr>
                            <w:t>1</w:t>
                          </w:r>
                        </w:sdtContent>
                      </w:sdt>
                      <w:r>
                        <w:rPr>
                          <w:szCs w:val="24"/>
                        </w:rPr>
                        <w:t>. Statybą leidžiantys dokumentai yra:</w:t>
                      </w:r>
                    </w:p>
                    <w:sdt>
                      <w:sdtPr>
                        <w:alias w:val="27 str. 1 d. 1 p."/>
                        <w:tag w:val="part_12717e6309fe4492a00a578b8096c1f4"/>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717e6309fe4492a00a578b8096c1f4"/>
                              <w:lock w:val="sdtLocked"/>
                              <w:richText/>
                            </w:sdtPr>
                            <w:sdtContent>
                              <w:r>
                                <w:rPr>
                                  <w:szCs w:val="24"/>
                                </w:rPr>
                                <w:t>1</w:t>
                              </w:r>
                            </w:sdtContent>
                          </w:sdt>
                          <w:r>
                            <w:rPr>
                              <w:szCs w:val="24"/>
                            </w:rPr>
                            <w:t xml:space="preserve">) leidimas statyti naują statinį – naujo ypatingojo ir neypatingojo statinio statybai; </w:t>
                          </w:r>
                          <w:r>
                            <w:rPr>
                              <w:bCs/>
                              <w:szCs w:val="24"/>
                            </w:rPr>
                            <w:t>naujo nesudėtingojo statinio statybai mieste,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27 str. 1 d. 2 p."/>
                        <w:tag w:val="part_47d47b0a5ec94a6c906ce7ecd48cf3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7d47b0a5ec94a6c906ce7ecd48cf3c2"/>
                              <w:lock w:val="sdtLocked"/>
                              <w:richText/>
                            </w:sdtPr>
                            <w:sdtContent>
                              <w:r>
                                <w:rPr>
                                  <w:szCs w:val="24"/>
                                </w:rPr>
                                <w:t>2</w:t>
                              </w:r>
                            </w:sdtContent>
                          </w:sdt>
                          <w:r>
                            <w:rPr>
                              <w:szCs w:val="24"/>
                            </w:rPr>
                            <w:t xml:space="preserve">) leidimas rekonstruoti statinį – ypatingojo ar neypatingojo statinio rekonstravimui; </w:t>
                          </w:r>
                          <w:r>
                            <w:rPr>
                              <w:bCs/>
                              <w:szCs w:val="24"/>
                            </w:rPr>
                            <w:t>nesudėtingojo statinio rekonstravimui mieste,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27 str. 1 d. 3 p."/>
                        <w:tag w:val="part_8fd20f2225b84d35850f9dba0dd9f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8fd20f2225b84d35850f9dba0dd9ffab"/>
                              <w:lock w:val="sdtLocked"/>
                              <w:richText/>
                            </w:sdtPr>
                            <w:sdtContent>
                              <w:r>
                                <w:rPr>
                                  <w:szCs w:val="24"/>
                                </w:rPr>
                                <w:t>3</w:t>
                              </w:r>
                            </w:sdtContent>
                          </w:sdt>
                          <w:r>
                            <w:rPr>
                              <w:szCs w:val="24"/>
                            </w:rPr>
                            <w:t>) leidimas atnaujinti (modernizuoti) pastatą – pastato atnaujinimui (modernizavimui);</w:t>
                          </w:r>
                        </w:p>
                      </w:sdtContent>
                    </w:sdt>
                    <w:sdt>
                      <w:sdtPr>
                        <w:alias w:val="27 str. 1 d. 4 p."/>
                        <w:tag w:val="part_b35112971ebe4f5290dbdc7041109e16"/>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b35112971ebe4f5290dbdc7041109e16"/>
                              <w:lock w:val="sdtLocked"/>
                              <w:richText/>
                            </w:sdtPr>
                            <w:sdtContent>
                              <w:r>
                                <w:rPr>
                                  <w:bCs/>
                                  <w:szCs w:val="24"/>
                                </w:rPr>
                                <w:t>4</w:t>
                              </w:r>
                            </w:sdtContent>
                          </w:sdt>
                          <w:r>
                            <w:rPr>
                              <w:bCs/>
                              <w:szCs w:val="24"/>
                            </w:rPr>
                            <w:t xml:space="preserve">) leidimas atlikti statinio kapitalinį remontą – ypatingo ir neypatingo daugiabučio namo, viešojo pastato kapitaliniam remontui,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ypatingojo ir neypatingojo daugiabučio namo, viešojo pastato, nesudėtingojo statinio kapitaliniam remontui kultūros paveldo objekto teritorijoje arba kultūros paveldo vietovėje kultūros ministro ir aplinkos ministro nustatytais atvejais; </w:t>
                          </w:r>
                        </w:p>
                      </w:sdtContent>
                    </w:sdt>
                    <w:sdt>
                      <w:sdtPr>
                        <w:alias w:val="27 str. 1 d. 5 p."/>
                        <w:tag w:val="part_410ab013e69e4f7980a508f4c51c0320"/>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410ab013e69e4f7980a508f4c51c0320"/>
                              <w:lock w:val="sdtLocked"/>
                              <w:richText/>
                            </w:sdtPr>
                            <w:sdtContent>
                              <w:r>
                                <w:rPr>
                                  <w:szCs w:val="24"/>
                                </w:rPr>
                                <w:t>5</w:t>
                              </w:r>
                            </w:sdtContent>
                          </w:sdt>
                          <w:r>
                            <w:rPr>
                              <w:szCs w:val="24"/>
                            </w:rPr>
                            <w:t xml:space="preserve">)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w:t>
                          </w:r>
                          <w:r>
                            <w:rPr>
                              <w:bCs/>
                              <w:szCs w:val="24"/>
                            </w:rPr>
                            <w:t>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03678c42472c4dc0afcd97d1ed48f812"/>
                        <w:lock w:val="sdtLocked"/>
                        <w:richText/>
                      </w:sdtPr>
                      <w:sdtContent>
                        <w:p>
                          <w:pPr>
                            <w:tabs>
                              <w:tab w:val="left" w:pos="1418"/>
                            </w:tabs>
                            <w:suppressAutoHyphens/>
                            <w:spacing w:line="360" w:lineRule="auto"/>
                            <w:ind w:firstLine="720"/>
                            <w:jc w:val="both"/>
                            <w:textAlignment w:val="baseline"/>
                            <w:rPr>
                              <w:szCs w:val="24"/>
                            </w:rPr>
                          </w:pPr>
                          <w:sdt>
                            <w:sdtPr>
                              <w:alias w:val="Numeris"/>
                              <w:tag w:val="nr_03678c42472c4dc0afcd97d1ed48f812"/>
                              <w:lock w:val="sdtLocked"/>
                              <w:richText/>
                            </w:sdtPr>
                            <w:sdtContent>
                              <w:r>
                                <w:rPr>
                                  <w:szCs w:val="24"/>
                                </w:rPr>
                                <w:t>6</w:t>
                              </w:r>
                            </w:sdtContent>
                          </w:sdt>
                          <w:r>
                            <w:rPr>
                              <w:szCs w:val="24"/>
                            </w:rPr>
                            <w:t>) leidimas pakeisti statinio ar jo dalies paskirtį – keičiant ypatingojo ar neypatingojo pastato (patalpos, patalpų) ar inžinerinio statinio paskirtį, kai atliekami statinio paprastojo remonto darbai arba neatliekami jokie statybos darbai;</w:t>
                          </w:r>
                        </w:p>
                      </w:sdtContent>
                    </w:sdt>
                    <w:sdt>
                      <w:sdtPr>
                        <w:alias w:val="27 str. 1 d. 7 p."/>
                        <w:tag w:val="part_e6a858866e13477e864fd21c207e5d8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6a858866e13477e864fd21c207e5d8d"/>
                              <w:lock w:val="sdtLocked"/>
                              <w:richText/>
                            </w:sdtPr>
                            <w:sdtContent>
                              <w:r>
                                <w:rPr>
                                  <w:bCs/>
                                  <w:szCs w:val="24"/>
                                </w:rPr>
                                <w:t>7</w:t>
                              </w:r>
                            </w:sdtContent>
                          </w:sdt>
                          <w:r>
                            <w:rPr>
                              <w:bCs/>
                              <w:szCs w:val="24"/>
                            </w:rPr>
                            <w:t>) leidimas nugriauti statinį – ypatingojo ar neypatingojo statinio griovimui, išskyrus atvejus, kai statinys griaunamas vykdant teismo sprendimą ar Valstybinės teritorijų planavimo ir statybos inspekcijos prie Aplinkos ministerijos privalomąjį nurodymą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dfda3b6cfa7e4614a093b6dafa596742"/>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rPr>
                          </w:pPr>
                          <w:sdt>
                            <w:sdtPr>
                              <w:alias w:val="Numeris"/>
                              <w:tag w:val="nr_dfda3b6cfa7e4614a093b6dafa596742"/>
                              <w:lock w:val="sdtLocked"/>
                              <w:richText/>
                            </w:sdtPr>
                            <w:sdtContent>
                              <w:r>
                                <w:rPr>
                                  <w:szCs w:val="24"/>
                                </w:rPr>
                                <w:t>8</w:t>
                              </w:r>
                            </w:sdtContent>
                          </w:sdt>
                          <w:r>
                            <w:rPr>
                              <w:szCs w:val="24"/>
                            </w:rPr>
                            <w:t>) leidimas tęsti sustabdytą statybą, išskyrus atvejus, kai statyba tęsiama pašalinus savavališkos statybos padarinius.</w:t>
                          </w:r>
                        </w:p>
                      </w:sdtContent>
                    </w:sdt>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0cb3d422c28644219cc63eab2abdb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cb3d422c28644219cc63eab2abdb6fd"/>
                              <w:lock w:val="sdtLocked"/>
                              <w:richText/>
                            </w:sdtPr>
                            <w:sdtContent>
                              <w:r>
                                <w:rPr>
                                  <w:szCs w:val="24"/>
                                </w:rPr>
                                <w:t>14</w:t>
                              </w:r>
                            </w:sdtContent>
                          </w:sdt>
                          <w:r>
                            <w:rPr>
                              <w:szCs w:val="24"/>
                            </w:rPr>
                            <w:t>)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8cf8cd5f433f4e4fa6b79f00ae3c474c"/>
                    <w:lock w:val="sdtLocked"/>
                    <w:richText/>
                  </w:sdtPr>
                  <w:sdtContent>
                    <w:p>
                      <w:pPr>
                        <w:tabs>
                          <w:tab w:val="left" w:pos="1418"/>
                        </w:tabs>
                        <w:suppressAutoHyphens/>
                        <w:spacing w:line="360" w:lineRule="auto"/>
                        <w:ind w:firstLine="720"/>
                        <w:jc w:val="both"/>
                        <w:textAlignment w:val="baseline"/>
                        <w:rPr>
                          <w:szCs w:val="24"/>
                        </w:rPr>
                      </w:pPr>
                      <w:sdt>
                        <w:sdtPr>
                          <w:alias w:val="Numeris"/>
                          <w:tag w:val="nr_8cf8cd5f433f4e4fa6b79f00ae3c474c"/>
                          <w:lock w:val="sdtLocked"/>
                          <w:richText/>
                        </w:sdtPr>
                        <w:sdtContent>
                          <w:r>
                            <w:rPr>
                              <w:szCs w:val="24"/>
                            </w:rPr>
                            <w:t>6</w:t>
                          </w:r>
                        </w:sdtContent>
                      </w:sdt>
                      <w:r>
                        <w:rPr>
                          <w:szCs w:val="24"/>
                        </w:rPr>
                        <w:t>. Šio straipsnio 5 dalies 3–13 punktuose nurodyti dokumentai atskirai neteikiami, jeigu jie ar jų patvirtintos kopijos yra įtraukti į statinio projektą.</w:t>
                      </w:r>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dff074ef14224d0fa64205072d55510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dff074ef14224d0fa64205072d555105"/>
                              <w:lock w:val="sdtLocked"/>
                              <w:richText/>
                            </w:sdtPr>
                            <w:sdtContent>
                              <w:r>
                                <w:rPr>
                                  <w:bCs/>
                                  <w:szCs w:val="24"/>
                                </w:rPr>
                                <w:t>6</w:t>
                              </w:r>
                            </w:sdtContent>
                          </w:sdt>
                          <w:r>
                            <w:rPr>
                              <w:bCs/>
                              <w:szCs w:val="24"/>
                            </w:rPr>
                            <w:t>) Valstybinė geležinkelio inspekcija prie Susisiekimo ministerijos;</w:t>
                          </w:r>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a71d03674a7c408dad4f1341d8b2f536"/>
                    <w:lock w:val="sdtLocked"/>
                    <w:richText/>
                  </w:sdtPr>
                  <w:sdtContent>
                    <w:p>
                      <w:pPr>
                        <w:tabs>
                          <w:tab w:val="left" w:pos="1418"/>
                        </w:tabs>
                        <w:suppressAutoHyphens/>
                        <w:spacing w:line="360" w:lineRule="auto"/>
                        <w:ind w:firstLine="720"/>
                        <w:jc w:val="both"/>
                        <w:textAlignment w:val="baseline"/>
                        <w:rPr>
                          <w:szCs w:val="24"/>
                        </w:rPr>
                      </w:pPr>
                      <w:sdt>
                        <w:sdtPr>
                          <w:alias w:val="Numeris"/>
                          <w:tag w:val="nr_a71d03674a7c408dad4f1341d8b2f536"/>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6, 7 ir 8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220f25af86a5424c8c1e50acee6dca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20f25af86a5424c8c1e50acee6dca59"/>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pasinaudojant Lietuvos Respublikos statybos leidimų ir statybos valstybinės priežiūros informacine sistema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kai Lietuvos Respublikos statybos leidimų ir statybos valstybinės priežiūros informacinėje sistemoje „Infostatyba“ pakartotinis prašymas išduoti statybą leidžiantį dokumentą pažymimas kaip priimtas.</w:t>
                      </w:r>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c33af235f07a448c81fd43649508af2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3af235f07a448c81fd43649508af29"/>
                          <w:lock w:val="sdtLocked"/>
                          <w:richText/>
                        </w:sdtPr>
                        <w:sdtContent>
                          <w:r>
                            <w:rPr>
                              <w:szCs w:val="24"/>
                            </w:rPr>
                            <w:t>15</w:t>
                          </w:r>
                        </w:sdtContent>
                      </w:sdt>
                      <w:r>
                        <w:rPr>
                          <w:szCs w:val="24"/>
                        </w:rPr>
                        <w:t>. Laikoma, kad statybą leidžiantis dokumentas yra išduotas ir galiojantis, jeigu jo duomenys įregistruoti Lietuvos Respublikos statybos leidimų ir statybos valstybinės priežiūros informacinėje sistemoje „Infostatyba“ (apie įregistruotą statybą leidžiantį dokumentą statytojas (užsakovas) ar jo įgaliotas asmuo turi būti informuojamas). Įregistravus šiuos duomenis,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557a7185daea4160a7b78cb6d66db7bf"/>
                        <w:lock w:val="sdtLocked"/>
                        <w:richText/>
                      </w:sdtPr>
                      <w:sdtContent>
                        <w:p>
                          <w:pPr>
                            <w:tabs>
                              <w:tab w:val="left" w:pos="1418"/>
                            </w:tabs>
                            <w:suppressAutoHyphens/>
                            <w:spacing w:line="360" w:lineRule="auto"/>
                            <w:ind w:firstLine="720"/>
                            <w:jc w:val="both"/>
                            <w:textAlignment w:val="baseline"/>
                            <w:rPr>
                              <w:szCs w:val="24"/>
                            </w:rPr>
                          </w:pPr>
                          <w:sdt>
                            <w:sdtPr>
                              <w:alias w:val="Numeris"/>
                              <w:tag w:val="nr_557a7185daea4160a7b78cb6d66db7bf"/>
                              <w:lock w:val="sdtLocked"/>
                              <w:richText/>
                            </w:sdtPr>
                            <w:sdtContent>
                              <w:r>
                                <w:rPr>
                                  <w:szCs w:val="24"/>
                                </w:rPr>
                                <w:t>3</w:t>
                              </w:r>
                            </w:sdtContent>
                          </w:sdt>
                          <w:r>
                            <w:rPr>
                              <w:szCs w:val="24"/>
                            </w:rPr>
                            <w:t>) kai nepateiktas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885b12a265d54036a3041f4f5b1c7355"/>
                    <w:lock w:val="sdtLocked"/>
                    <w:richText/>
                  </w:sdtPr>
                  <w:sdtContent>
                    <w:p>
                      <w:pPr>
                        <w:tabs>
                          <w:tab w:val="left" w:pos="1418"/>
                        </w:tabs>
                        <w:suppressAutoHyphens/>
                        <w:spacing w:line="360" w:lineRule="auto"/>
                        <w:ind w:firstLine="720"/>
                        <w:jc w:val="both"/>
                        <w:textAlignment w:val="baseline"/>
                        <w:rPr>
                          <w:szCs w:val="24"/>
                        </w:rPr>
                      </w:pPr>
                      <w:sdt>
                        <w:sdtPr>
                          <w:alias w:val="Numeris"/>
                          <w:tag w:val="nr_885b12a265d54036a3041f4f5b1c7355"/>
                          <w:lock w:val="sdtLocked"/>
                          <w:richText/>
                        </w:sdtPr>
                        <w:sdtContent>
                          <w:r>
                            <w:rPr>
                              <w:szCs w:val="24"/>
                            </w:rPr>
                            <w:t>20</w:t>
                          </w:r>
                        </w:sdtContent>
                      </w:sdt>
                      <w:r>
                        <w:rPr>
                          <w:szCs w:val="24"/>
                        </w:rPr>
                        <w:t>. Prašymų išduoti statybą leidžiantį dokumentą turinį, statybą leidžiančiam dokumentui gauti pateikiamo statinio projekto apimtį ir statybą leidžiančių dokumentų turinį ir jų viešinimo tvarką nustato aplinkos ministras.</w:t>
                      </w:r>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9e5b2149113f467e807dcafdd95d59d2"/>
                    <w:lock w:val="sdtLocked"/>
                    <w:richText/>
                  </w:sdtPr>
                  <w:sdtContent>
                    <w:p>
                      <w:pPr>
                        <w:tabs>
                          <w:tab w:val="left" w:pos="1418"/>
                        </w:tabs>
                        <w:suppressAutoHyphens/>
                        <w:spacing w:line="360" w:lineRule="auto"/>
                        <w:ind w:firstLine="720"/>
                        <w:jc w:val="both"/>
                        <w:textAlignment w:val="baseline"/>
                        <w:rPr>
                          <w:szCs w:val="24"/>
                        </w:rPr>
                      </w:pPr>
                      <w:sdt>
                        <w:sdtPr>
                          <w:alias w:val="Numeris"/>
                          <w:tag w:val="nr_9e5b2149113f467e807dcafdd95d59d2"/>
                          <w:lock w:val="sdtLocked"/>
                          <w:richText/>
                        </w:sdtPr>
                        <w:sdtContent>
                          <w:r>
                            <w:rPr>
                              <w:szCs w:val="24"/>
                            </w:rPr>
                            <w:t>2</w:t>
                          </w:r>
                        </w:sdtContent>
                      </w:sdt>
                      <w:r>
                        <w:rPr>
                          <w:szCs w:val="24"/>
                        </w:rPr>
                        <w:t>. Ypatingųjų ir neypatingųjų vieno ar dviejų butų gyvenamųjų, pagalbinio ūkio paskirties pastatų (išskyrus kultūros paveldo statinius) ir ypatingųjų bei neypatingųjų statinių pagal aplinkos ministro patvirtintą sąrašą statyba (naujo statinio statyba, statinio rekonstravimas)</w:t>
                      </w:r>
                      <w:r>
                        <w:rPr>
                          <w:bCs/>
                          <w:szCs w:val="24"/>
                        </w:rPr>
                        <w:t xml:space="preserve"> </w:t>
                      </w:r>
                      <w:r>
                        <w:rPr>
                          <w:szCs w:val="24"/>
                        </w:rPr>
                        <w:t>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2bf6ef1bea184ae99d49a08bdcf1242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bf6ef1bea184ae99d49a08bdcf1242b"/>
                          <w:lock w:val="sdtLocked"/>
                          <w:richText/>
                        </w:sdtPr>
                        <w:sdtContent>
                          <w:r>
                            <w:rPr>
                              <w:bCs/>
                              <w:szCs w:val="24"/>
                            </w:rPr>
                            <w:t>1</w:t>
                          </w:r>
                        </w:sdtContent>
                      </w:sdt>
                      <w:r>
                        <w:rPr>
                          <w:bCs/>
                          <w:szCs w:val="24"/>
                        </w:rPr>
                        <w:t>. Ypatingojo statinio ir statinio, kurio projektavimas ir (ar) statyba finansuojama Lietuvos Respublikos ir (ar) Europos Sąjungos biudžeto lėšomis, statinių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24806f060e4cb289f17b3c19265ba0"/>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a24806f060e4cb289f17b3c19265ba0"/>
                      <w:lock w:val="sdtLocked"/>
                      <w:richText/>
                    </w:sdtPr>
                    <w:sdtContent>
                      <w:r>
                        <w:rPr>
                          <w:b/>
                          <w:szCs w:val="24"/>
                        </w:rPr>
                        <w:t>37</w:t>
                      </w:r>
                    </w:sdtContent>
                  </w:sdt>
                  <w:r>
                    <w:rPr>
                      <w:b/>
                      <w:szCs w:val="24"/>
                    </w:rPr>
                    <w:t xml:space="preserve"> straipsnis. </w:t>
                  </w:r>
                  <w:sdt>
                    <w:sdtPr>
                      <w:alias w:val="Pavadinimas"/>
                      <w:tag w:val="title_2a24806f060e4cb289f17b3c19265ba0"/>
                      <w:lock w:val="sdtLocked"/>
                      <w:richText/>
                    </w:sdtPr>
                    <w:sdtContent>
                      <w:r>
                        <w:rPr>
                          <w:b/>
                          <w:szCs w:val="24"/>
                        </w:rPr>
                        <w:t>Visuomenės informavimas apie numatomą statinių projektavimą ir visuomenės dalyvavimas svarstant statinių projektinius pasiūlymus</w:t>
                      </w:r>
                    </w:sdtContent>
                  </w:sdt>
                </w:p>
                <w:sdt>
                  <w:sdtPr>
                    <w:alias w:val="37 str. 1 d."/>
                    <w:tag w:val="part_6855de27d2e949d1b52f8fecf1c90941"/>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r>
                        <w:rPr>
                          <w:szCs w:val="24"/>
                        </w:rPr>
                        <w:t xml:space="preserve">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w:t>
                      </w:r>
                      <w:r>
                        <w:rPr>
                          <w:iCs/>
                          <w:szCs w:val="24"/>
                        </w:rPr>
                        <w:t>teritorijų planavimo įstatymo</w:t>
                      </w:r>
                      <w:r>
                        <w:rPr>
                          <w:szCs w:val="24"/>
                        </w:rPr>
                        <w:t xml:space="preserve"> 20 straipsnyje nustatytais atvejais neparengti vietovės lygmens teritorijų planavimo dokumentai ir statyba konkrečiame žemės sklype leidžiama. Visuomenei svarbių statinių ir statinių dalių sąrašus (nurodant paskirtį), informavimo ir visuomenės dalyvavimo svarstant statinių ir statinių dalių projektinius pasiūlymus tvarką nustato aplinkos ministras.</w:t>
                      </w:r>
                    </w:p>
                    <w:p>
                      <w:pPr>
                        <w:tabs>
                          <w:tab w:val="left" w:pos="1418"/>
                        </w:tabs>
                        <w:spacing w:line="360" w:lineRule="auto"/>
                        <w:ind w:firstLine="720"/>
                        <w:rPr>
                          <w:szCs w:val="24"/>
                        </w:rPr>
                      </w:pPr>
                    </w:p>
                  </w:sdtContent>
                </w:sdt>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36" w:history="1">
                <w:hyperlink r:id="rId3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8" w:history="1">
                <w:hyperlink r:id="rId3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0" w:history="1">
                <w:hyperlink r:id="rId4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42" w:history="1">
                <w:hyperlink r:id="rId4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4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4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5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5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5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BF2B847"/>
</w:settings>
</file>

<file path=word/styles.xml><?xml version="1.0" encoding="utf-8"?>
<w:styl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32384&amp;b="/>
  <Relationship Id="rId11" Type="http://schemas.openxmlformats.org/officeDocument/2006/relationships/hyperlink" TargetMode="External" Target="http://www3.lrs.lt/cgi-bin/preps2?a=253003&amp;b="/>
  <Relationship Id="rId12" Type="http://schemas.openxmlformats.org/officeDocument/2006/relationships/hyperlink" TargetMode="External" Target="http://www3.lrs.lt/cgi-bin/preps2?a=266757&amp;b="/>
  <Relationship Id="rId13" Type="http://schemas.openxmlformats.org/officeDocument/2006/relationships/hyperlink" TargetMode="External" Target="http://www3.lrs.lt/cgi-bin/preps2?a=285396&amp;b="/>
  <Relationship Id="rId14" Type="http://schemas.openxmlformats.org/officeDocument/2006/relationships/hyperlink" TargetMode="External" Target="http://www3.lrs.lt/cgi-bin/preps2?a=290089&amp;b="/>
  <Relationship Id="rId15" Type="http://schemas.openxmlformats.org/officeDocument/2006/relationships/hyperlink" TargetMode="External" Target="http://www3.lrs.lt/cgi-bin/preps2?a=297423&amp;b="/>
  <Relationship Id="rId16" Type="http://schemas.openxmlformats.org/officeDocument/2006/relationships/hyperlink" TargetMode="External" Target="http://www3.lrs.lt/cgi-bin/preps2?a=353179&amp;b="/>
  <Relationship Id="rId17" Type="http://schemas.openxmlformats.org/officeDocument/2006/relationships/hyperlink" TargetMode="External" Target="http://www3.lrs.lt/cgi-bin/preps2?a=358741&amp;b="/>
  <Relationship Id="rId18" Type="http://schemas.openxmlformats.org/officeDocument/2006/relationships/hyperlink" TargetMode="External" Target="http://www3.lrs.lt/cgi-bin/preps2?a=377909&amp;b="/>
  <Relationship Id="rId19" Type="http://schemas.openxmlformats.org/officeDocument/2006/relationships/hyperlink" TargetMode="External" Target="http://www3.lrs.lt/cgi-bin/preps2?a=398877&amp;b="/>
  <Relationship Id="rId2" Type="http://schemas.openxmlformats.org/officeDocument/2006/relationships/endnotes" Target="endnotes.xml"/>
  <Relationship Id="rId20" Type="http://schemas.openxmlformats.org/officeDocument/2006/relationships/hyperlink" TargetMode="External" Target="http://www3.lrs.lt/cgi-bin/preps2?a=400335&amp;b="/>
  <Relationship Id="rId21" Type="http://schemas.openxmlformats.org/officeDocument/2006/relationships/hyperlink" TargetMode="External" Target="http://www3.lrs.lt/cgi-bin/preps2?a=402193&amp;b="/>
  <Relationship Id="rId22" Type="http://schemas.openxmlformats.org/officeDocument/2006/relationships/hyperlink" TargetMode="External" Target="http://www3.lrs.lt/cgi-bin/preps2?a=403284&amp;b="/>
  <Relationship Id="rId23" Type="http://schemas.openxmlformats.org/officeDocument/2006/relationships/hyperlink" TargetMode="External" Target="http://www3.lrs.lt/cgi-bin/preps2?a=412344&amp;b="/>
  <Relationship Id="rId24" Type="http://schemas.openxmlformats.org/officeDocument/2006/relationships/hyperlink" TargetMode="External" Target="http://www3.lrs.lt/cgi-bin/preps2?a=413473&amp;b="/>
  <Relationship Id="rId25" Type="http://schemas.openxmlformats.org/officeDocument/2006/relationships/hyperlink" TargetMode="External" Target="http://www3.lrs.lt/cgi-bin/preps2?a=425437&amp;b="/>
  <Relationship Id="rId26" Type="http://schemas.openxmlformats.org/officeDocument/2006/relationships/hyperlink" TargetMode="External" Target="http://www3.lrs.lt/cgi-bin/preps2?a=427594&amp;b="/>
  <Relationship Id="rId27" Type="http://schemas.openxmlformats.org/officeDocument/2006/relationships/hyperlink" TargetMode="External" Target="http://www3.lrs.lt/cgi-bin/preps2?a=428509&amp;b="/>
  <Relationship Id="rId28" Type="http://schemas.openxmlformats.org/officeDocument/2006/relationships/hyperlink" TargetMode="External" Target="http://www3.lrs.lt/cgi-bin/preps2?a=451763&amp;b="/>
  <Relationship Id="rId29" Type="http://schemas.openxmlformats.org/officeDocument/2006/relationships/hyperlink" TargetMode="External" Target="http://www3.lrs.lt/cgi-bin/preps2?a=451899&amp;b="/>
  <Relationship Id="rId3" Type="http://schemas.openxmlformats.org/officeDocument/2006/relationships/fontTable" Target="fontTable.xml"/>
  <Relationship Id="rId30" Type="http://schemas.openxmlformats.org/officeDocument/2006/relationships/hyperlink" TargetMode="External" Target="http://www3.lrs.lt/cgi-bin/preps2?a=453050&amp;b="/>
  <Relationship Id="rId31" Type="http://schemas.openxmlformats.org/officeDocument/2006/relationships/settings" Target="settings.xml"/>
  <Relationship Id="rId32" Type="http://schemas.openxmlformats.org/officeDocument/2006/relationships/styles" Target="styles.xml"/>
  <Relationship Id="rId33" Type="http://schemas.microsoft.com/office/2007/relationships/stylesWithEffects" Target="stylesWithEffects.xml"/>
  <Relationship Id="rId34" Type="http://schemas.openxmlformats.org/officeDocument/2006/relationships/theme" Target="theme/theme1.xml"/>
  <Relationship Id="rId35" Type="http://schemas.openxmlformats.org/officeDocument/2006/relationships/webSettings" Target="webSettings.xml"/>
  <Relationship Id="rId36" Type="http://schemas.openxmlformats.org/officeDocument/2006/relationships/hyperlink" TargetMode="External" Target="http://www3.lrs.lt/cgi-bin/preps2?Condition1=41495&amp;Condition2="/>
  <Relationship Id="rId37" Type="http://schemas.openxmlformats.org/officeDocument/2006/relationships/hyperlink" TargetMode="External" Target="http://www3.lrs.lt/cgi-bin/preps2?Condition1=41495&amp;Condition2="/>
  <Relationship Id="rId38" Type="http://schemas.openxmlformats.org/officeDocument/2006/relationships/hyperlink" TargetMode="External" Target="http://www3.lrs.lt/cgi-bin/preps2?Condition1=108265&amp;Condition2="/>
  <Relationship Id="rId39" Type="http://schemas.openxmlformats.org/officeDocument/2006/relationships/hyperlink" TargetMode="External" Target="http://www3.lrs.lt/cgi-bin/preps2?Condition1=108265&amp;Condition2="/>
  <Relationship Id="rId4" Type="http://schemas.openxmlformats.org/officeDocument/2006/relationships/footnotes" Target="footnotes.xml"/>
  <Relationship Id="rId40" Type="http://schemas.openxmlformats.org/officeDocument/2006/relationships/hyperlink" TargetMode="External" Target="http://www3.lrs.lt/cgi-bin/preps2?Condition1=109923&amp;Condition2="/>
  <Relationship Id="rId41" Type="http://schemas.openxmlformats.org/officeDocument/2006/relationships/hyperlink" TargetMode="External" Target="http://www3.lrs.lt/cgi-bin/preps2?Condition1=109923&amp;Condition2="/>
  <Relationship Id="rId42" Type="http://schemas.openxmlformats.org/officeDocument/2006/relationships/hyperlink" TargetMode="External" Target="http://www3.lrs.lt/cgi-bin/preps2?Condition1=116685&amp;Condition2="/>
  <Relationship Id="rId43" Type="http://schemas.openxmlformats.org/officeDocument/2006/relationships/hyperlink" TargetMode="External" Target="http://www3.lrs.lt/cgi-bin/preps2?Condition1=116685&amp;Condition2="/>
  <Relationship Id="rId44" Type="http://schemas.openxmlformats.org/officeDocument/2006/relationships/hyperlink" TargetMode="External" Target="http://www3.lrs.lt/cgi-bin/preps2?a=145882&amp;b="/>
  <Relationship Id="rId45" Type="http://schemas.openxmlformats.org/officeDocument/2006/relationships/hyperlink" TargetMode="External" Target="http://www3.lrs.lt/cgi-bin/preps2?a=154805&amp;b="/>
  <Relationship Id="rId46" Type="http://schemas.openxmlformats.org/officeDocument/2006/relationships/hyperlink" TargetMode="External" Target="http://www3.lrs.lt/cgi-bin/preps2?a=154815&amp;b="/>
  <Relationship Id="rId47" Type="http://schemas.openxmlformats.org/officeDocument/2006/relationships/hyperlink" TargetMode="External" Target="http://www3.lrs.lt/cgi-bin/preps2?a=171377&amp;b="/>
  <Relationship Id="rId48" Type="http://schemas.openxmlformats.org/officeDocument/2006/relationships/hyperlink" TargetMode="External" Target="http://www3.lrs.lt/cgi-bin/preps2?a=197727&amp;b="/>
  <Relationship Id="rId49" Type="http://schemas.openxmlformats.org/officeDocument/2006/relationships/hyperlink" TargetMode="External" Target="http://www3.lrs.lt/cgi-bin/preps2?a=220290&amp;b="/>
  <Relationship Id="rId5" Type="http://schemas.openxmlformats.org/officeDocument/2006/relationships/hyperlink" TargetMode="External" Target="http://www3.lrs.lt/cgi-bin/preps2?a=154805&amp;b="/>
  <Relationship Id="rId50" Type="http://schemas.openxmlformats.org/officeDocument/2006/relationships/hyperlink" TargetMode="External" Target="http://www3.lrs.lt/cgi-bin/preps2?a=224266&amp;b="/>
  <Relationship Id="rId51" Type="http://schemas.openxmlformats.org/officeDocument/2006/relationships/hyperlink" TargetMode="External" Target="http://www3.lrs.lt/cgi-bin/preps2?a=232384&amp;b="/>
  <Relationship Id="rId52" Type="http://schemas.openxmlformats.org/officeDocument/2006/relationships/hyperlink" TargetMode="External" Target="http://www3.lrs.lt/cgi-bin/preps2?a=253003&amp;b="/>
  <Relationship Id="rId53" Type="http://schemas.openxmlformats.org/officeDocument/2006/relationships/hyperlink" TargetMode="External" Target="http://www3.lrs.lt/cgi-bin/preps2?a=266757&amp;b="/>
  <Relationship Id="rId54" Type="http://schemas.openxmlformats.org/officeDocument/2006/relationships/hyperlink" TargetMode="External" Target="http://www3.lrs.lt/cgi-bin/preps2?a=285396&amp;b="/>
  <Relationship Id="rId55" Type="http://schemas.openxmlformats.org/officeDocument/2006/relationships/hyperlink" TargetMode="External" Target="http://www3.lrs.lt/cgi-bin/preps2?a=290089&amp;b="/>
  <Relationship Id="rId56" Type="http://schemas.openxmlformats.org/officeDocument/2006/relationships/hyperlink" TargetMode="External" Target="http://www3.lrs.lt/cgi-bin/preps2?a=297423&amp;b="/>
  <Relationship Id="rId57" Type="http://schemas.openxmlformats.org/officeDocument/2006/relationships/hyperlink" TargetMode="External" Target="http://www3.lrs.lt/cgi-bin/preps2?a=353179&amp;b="/>
  <Relationship Id="rId58" Type="http://schemas.openxmlformats.org/officeDocument/2006/relationships/hyperlink" TargetMode="External" Target="http://www3.lrs.lt/cgi-bin/preps2?a=358741&amp;b="/>
  <Relationship Id="rId59" Type="http://schemas.openxmlformats.org/officeDocument/2006/relationships/hyperlink" TargetMode="External" Target="http://www3.lrs.lt/cgi-bin/preps2?a=377909&amp;b="/>
  <Relationship Id="rId6" Type="http://schemas.openxmlformats.org/officeDocument/2006/relationships/hyperlink" TargetMode="External" Target="http://www3.lrs.lt/cgi-bin/preps2?a=171377&amp;b="/>
  <Relationship Id="rId60" Type="http://schemas.openxmlformats.org/officeDocument/2006/relationships/hyperlink" TargetMode="External" Target="http://www3.lrs.lt/cgi-bin/preps2?a=398877&amp;b="/>
  <Relationship Id="rId61" Type="http://schemas.openxmlformats.org/officeDocument/2006/relationships/hyperlink" TargetMode="External" Target="http://www3.lrs.lt/cgi-bin/preps2?a=400335&amp;b="/>
  <Relationship Id="rId62" Type="http://schemas.openxmlformats.org/officeDocument/2006/relationships/hyperlink" TargetMode="External" Target="http://www3.lrs.lt/cgi-bin/preps2?a=402193&amp;b="/>
  <Relationship Id="rId63" Type="http://schemas.openxmlformats.org/officeDocument/2006/relationships/hyperlink" TargetMode="External" Target="http://www3.lrs.lt/cgi-bin/preps2?a=403284&amp;b="/>
  <Relationship Id="rId64" Type="http://schemas.openxmlformats.org/officeDocument/2006/relationships/hyperlink" TargetMode="External" Target="http://www3.lrs.lt/cgi-bin/preps2?a=412344&amp;b="/>
  <Relationship Id="rId65" Type="http://schemas.openxmlformats.org/officeDocument/2006/relationships/hyperlink" TargetMode="External" Target="http://www3.lrs.lt/cgi-bin/preps2?a=413473&amp;b="/>
  <Relationship Id="rId66" Type="http://schemas.openxmlformats.org/officeDocument/2006/relationships/hyperlink" TargetMode="External" Target="http://www3.lrs.lt/cgi-bin/preps2?a=425437&amp;b="/>
  <Relationship Id="rId67" Type="http://schemas.openxmlformats.org/officeDocument/2006/relationships/hyperlink" TargetMode="External" Target="http://www3.lrs.lt/cgi-bin/preps2?a=427594&amp;b="/>
  <Relationship Id="rId68" Type="http://schemas.openxmlformats.org/officeDocument/2006/relationships/hyperlink" TargetMode="External" Target="http://www3.lrs.lt/cgi-bin/preps2?a=428509&amp;b="/>
  <Relationship Id="rId69" Type="http://schemas.openxmlformats.org/officeDocument/2006/relationships/hyperlink" TargetMode="External" Target="http://www3.lrs.lt/cgi-bin/preps2?a=451763&amp;b="/>
  <Relationship Id="rId7" Type="http://schemas.openxmlformats.org/officeDocument/2006/relationships/hyperlink" TargetMode="External" Target="http://www3.lrs.lt/cgi-bin/preps2?a=197727&amp;b="/>
  <Relationship Id="rId70" Type="http://schemas.openxmlformats.org/officeDocument/2006/relationships/hyperlink" TargetMode="External" Target="http://www3.lrs.lt/cgi-bin/preps2?a=451899&amp;b="/>
  <Relationship Id="rId71" Type="http://schemas.openxmlformats.org/officeDocument/2006/relationships/hyperlink" TargetMode="External" Target="http://www3.lrs.lt/cgi-bin/preps2?a=453050&amp;b="/>
  <Relationship Id="rId72" Type="http://schemas.openxmlformats.org/officeDocument/2006/relationships/customXml" Target="../customXml/item1.xml"/>
  <Relationship Id="rId8" Type="http://schemas.openxmlformats.org/officeDocument/2006/relationships/hyperlink" TargetMode="External" Target="http://www3.lrs.lt/cgi-bin/preps2?a=220290&amp;b="/>
  <Relationship Id="rId9" Type="http://schemas.openxmlformats.org/officeDocument/2006/relationships/hyperlink" TargetMode="External" Target="http://www3.lrs.lt/cgi-bin/preps2?a=22426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6cdbef449a7645ff8eadda8f59240085"/>
        <Part Type="strDalis" Nr="2" Abbr="2 str. 2 d." DocPartId="94f6fd124f1641019886765f79475412" PartId="fa7ae65441454eada04bd6b4ac049559"/>
        <Part Type="strDalis" Nr="3" Abbr="2 str. 3 d." DocPartId="0090c7420c6a4adfae034a4e3f2d4ce0" PartId="4b661e94c4f04143acef9095366f1440"/>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c8838645430642a1ae4c24acbac8ce1d"/>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be916f200f4e45a49a30ab9f9b9e2b35"/>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bc5a786e3b7244108c065c73d5b09c22"/>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8afc901db8af4af888ef1c334f4a28ba"/>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08d35c6eae644433ae68b28293ccd843"/>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bfafb94e51df4a0bbe7d643d73635d13"/>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95769a7a820d40fa9ac0ce02d9241741"/>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3c2bd531d9474438962ccb22055f5710"/>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273a8746565b4fcca0ea7885b57a0676">
          <Part Type="strPunktas" Nr="1" Abbr="27 str. 1 d. 1 p." DocPartId="75e0b0f9653e483f9a923eb306806107" PartId="12717e6309fe4492a00a578b8096c1f4"/>
          <Part Type="strPunktas" Nr="2" Abbr="27 str. 1 d. 2 p." DocPartId="8f5025108f71459ca9a59a8d8ec9a0ca" PartId="47d47b0a5ec94a6c906ce7ecd48cf3c2"/>
          <Part Type="strPunktas" Nr="3" Abbr="27 str. 1 d. 3 p." DocPartId="52da5cc12fd74920adf3b587b002daa9" PartId="8fd20f2225b84d35850f9dba0dd9ffab"/>
          <Part Type="strPunktas" Nr="4" Abbr="27 str. 1 d. 4 p." DocPartId="8ae23df9bd9c43c693b5f2bce7fd2955" PartId="b35112971ebe4f5290dbdc7041109e16"/>
          <Part Type="strPunktas" Nr="5" Abbr="27 str. 1 d. 5 p." DocPartId="a7d79e261337452fae745cf6e4d6ccba" PartId="410ab013e69e4f7980a508f4c51c0320"/>
          <Part Type="strPunktas" Nr="6" Abbr="27 str. 1 d. 6 p." DocPartId="09d4a1e7190b410aa6087b5ae690155d" PartId="03678c42472c4dc0afcd97d1ed48f812"/>
          <Part Type="strPunktas" Nr="7" Abbr="27 str. 1 d. 7 p." DocPartId="62ccf6e327114ea090b57337f773d6fc" PartId="e6a858866e13477e864fd21c207e5d8d"/>
          <Part Type="strPunktas" Nr="8" Abbr="27 str. 1 d. 8 p." DocPartId="eddf7ea609c14f0b82441ce1ee6923b9" PartId="dfda3b6cfa7e4614a093b6dafa596742"/>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0cb3d422c28644219cc63eab2abdb6fd"/>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8cf8cd5f433f4e4fa6b79f00ae3c474c"/>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dff074ef14224d0fa64205072d555105"/>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a71d03674a7c408dad4f1341d8b2f536"/>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220f25af86a5424c8c1e50acee6dca59"/>
        <Part Type="strDalis" Nr="14" Abbr="27 str. 14 d." DocPartId="1397bb05663d47c8b475d42e23cff6d4" PartId="d9cc38e94e994017ba4c5557632b5a42"/>
        <Part Type="strDalis" Nr="15" Abbr="27 str. 15 d." DocPartId="b63e526583d845f8b3b04e166f915469" PartId="c33af235f07a448c81fd43649508af29"/>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557a7185daea4160a7b78cb6d66db7bf"/>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885b12a265d54036a3041f4f5b1c7355"/>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9e5b2149113f467e807dcafdd95d59d2"/>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2bf6ef1bea184ae99d49a08bdcf1242b"/>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24806f060e4cb289f17b3c19265ba0">
        <Part Type="strDalis" Nr="1" Abbr="37 str. 1 d." DocPartId="2ea9d1260ceb42459f59c8ba3930fa18" PartId="6855de27d2e949d1b52f8fecf1c90941"/>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Nr="" Abbr=""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99BE3FB-DF47-4D75-9BAE-00F250F6C8B3}">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E26A429C-3953-4D8B-8B9A-EE7E36DC76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59</TotalTime>
  <Pages>153</Pages>
  <Words>318166</Words>
  <Characters>181355</Characters>
  <Application>Microsoft Office Word</Application>
  <DocSecurity>0</DocSecurity>
  <Lines>1511</Lines>
  <Paragraphs>997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498524</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2016-08-07T13:48:00Z</dcterms:modified>
  <revision>9</revision>
  <dc:title>Redagavo: Ramunė Lūžaitė (1997</dc:title>
</coreProperties>
</file>