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2021-11-01 iki 2022-02-28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4b3b5bbd858443ac84a19c2009d3d768"/>
                    <w:lock w:val="sdtLocked"/>
                    <w:richText/>
                  </w:sdtPr>
                  <w:sdtContent>
                    <w:p>
                      <w:pPr>
                        <w:spacing w:line="360" w:lineRule="auto"/>
                        <w:ind w:firstLine="720"/>
                        <w:jc w:val="both"/>
                        <w:rPr>
                          <w:iCs/>
                          <w:szCs w:val="24"/>
                        </w:rPr>
                      </w:pPr>
                      <w:sdt>
                        <w:sdtPr>
                          <w:alias w:val="Numeris"/>
                          <w:tag w:val="nr_4b3b5bbd858443ac84a19c2009d3d768"/>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(jeigu juos atlikti privaloma);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bc5e463b58a54f4bb7c6d392fe33cbf1"/>
                        <w:lock w:val="sdtLocked"/>
                        <w:richText/>
                      </w:sdtPr>
                      <w:sdtContent>
                        <w:p>
                          <w:pPr>
                            <w:spacing w:line="360" w:lineRule="auto"/>
                            <w:ind w:firstLine="720"/>
                            <w:jc w:val="both"/>
                            <w:rPr>
                              <w:color w:val="000000"/>
                              <w:szCs w:val="24"/>
                            </w:rPr>
                          </w:pPr>
                          <w:sdt>
                            <w:sdtPr>
                              <w:alias w:val="Numeris"/>
                              <w:tag w:val="nr_bc5e463b58a54f4bb7c6d392fe33cbf1"/>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spacing w:line="360" w:lineRule="auto"/>
                            <w:ind w:firstLine="720"/>
                            <w:jc w:val="both"/>
                            <w:rPr>
                              <w:color w:val="000000"/>
                              <w:szCs w:val="24"/>
                            </w:rPr>
                          </w:pPr>
                        </w:p>
                        <w:p>
                          <w:pPr>
                            <w:spacing w:line="360" w:lineRule="auto"/>
                            <w:jc w:val="both"/>
                            <w:rPr>
                              <w:b/>
                              <w:bCs/>
                              <w:i/>
                              <w:sz w:val="20"/>
                              <w:lang w:eastAsia="lt-LT"/>
                            </w:rPr>
                          </w:pPr>
                          <w:r>
                            <w:rPr>
                              <w:b/>
                              <w:bCs/>
                              <w:i/>
                              <w:sz w:val="20"/>
                              <w:lang w:eastAsia="lt-LT"/>
                            </w:rPr>
                            <w:t>TAR pastaba. 27 straipsnio 1 dalies 7 punkto redakcija galioja nuo 2027-01-01:</w:t>
                          </w: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d8b2cc8af4749fc943bd7787b6cce7a"/>
                        <w:lock w:val="sdtLocked"/>
                        <w:richText/>
                      </w:sdtPr>
                      <w:sdtContent>
                        <w:p>
                          <w:pPr>
                            <w:tabs>
                              <w:tab w:val="left" w:pos="1418"/>
                            </w:tabs>
                            <w:spacing w:line="360" w:lineRule="auto"/>
                            <w:ind w:firstLine="720"/>
                            <w:jc w:val="both"/>
                            <w:rPr>
                              <w:szCs w:val="24"/>
                            </w:rPr>
                          </w:pPr>
                          <w:sdt>
                            <w:sdtPr>
                              <w:alias w:val="Numeris"/>
                              <w:tag w:val="nr_ed8b2cc8af4749fc943bd7787b6cce7a"/>
                              <w:lock w:val="sdtLocked"/>
                              <w:richText/>
                            </w:sdtPr>
                            <w:sdtContent>
                              <w:r>
                                <w:rPr>
                                  <w:szCs w:val="24"/>
                                </w:rPr>
                                <w:t>15</w:t>
                              </w:r>
                            </w:sdtContent>
                          </w:sdt>
                          <w:r>
                            <w:rPr>
                              <w:szCs w:val="24"/>
                            </w:rPr>
                            <w:t>) statinio projekto priėmimo–perdavimo aktas.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345c08606a104ecca10524dedadd5f17"/>
                    <w:lock w:val="sdtLocked"/>
                    <w:richText/>
                  </w:sdtPr>
                  <w:sdtContent>
                    <w:p>
                      <w:pPr>
                        <w:pBdr>
                          <w:top w:val="nil"/>
                          <w:left w:val="nil"/>
                          <w:bottom w:val="nil"/>
                          <w:right w:val="nil"/>
                          <w:between w:val="nil"/>
                        </w:pBdr>
                        <w:spacing w:line="360" w:lineRule="auto"/>
                        <w:ind w:firstLine="720"/>
                        <w:jc w:val="both"/>
                        <w:rPr>
                          <w:szCs w:val="24"/>
                        </w:rPr>
                      </w:pPr>
                      <w:sdt>
                        <w:sdtPr>
                          <w:alias w:val="Numeris"/>
                          <w:tag w:val="nr_345c08606a104ecca10524dedadd5f17"/>
                          <w:lock w:val="sdtLocked"/>
                          <w:richText/>
                        </w:sdtPr>
                        <w:sdtContent>
                          <w:r>
                            <w:rPr>
                              <w:color w:val="000000"/>
                              <w:szCs w:val="24"/>
                              <w:lang w:eastAsia="en-GB"/>
                            </w:rPr>
                            <w:t>13</w:t>
                          </w:r>
                        </w:sdtContent>
                      </w:sdt>
                      <w:r>
                        <w:rPr>
                          <w:color w:val="000000"/>
                          <w:szCs w:val="24"/>
                          <w:lang w:eastAsia="en-GB"/>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color w:val="000000"/>
                          <w:szCs w:val="24"/>
                          <w:vertAlign w:val="superscript"/>
                          <w:lang w:eastAsia="en-GB"/>
                        </w:rPr>
                        <w:t>1</w:t>
                      </w:r>
                      <w:r>
                        <w:rPr>
                          <w:color w:val="000000"/>
                          <w:szCs w:val="24"/>
                          <w:lang w:eastAsia="en-GB"/>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4757bd42883e41089d467aa1c0c8c04e"/>
                        <w:lock w:val="sdtLocked"/>
                        <w:richText/>
                      </w:sdtPr>
                      <w:sdtContent>
                        <w:p>
                          <w:pPr>
                            <w:spacing w:line="360" w:lineRule="auto"/>
                            <w:ind w:firstLine="720"/>
                            <w:jc w:val="both"/>
                            <w:rPr>
                              <w:szCs w:val="24"/>
                            </w:rPr>
                          </w:pPr>
                          <w:sdt>
                            <w:sdtPr>
                              <w:alias w:val="Numeris"/>
                              <w:tag w:val="nr_4757bd42883e41089d467aa1c0c8c04e"/>
                              <w:lock w:val="sdtLocked"/>
                              <w:richText/>
                            </w:sdtPr>
                            <w:sdtContent>
                              <w:r>
                                <w:rPr>
                                  <w:szCs w:val="24"/>
                                </w:rPr>
                                <w:t>9</w:t>
                              </w:r>
                            </w:sdtContent>
                          </w:sdt>
                          <w:r>
                            <w:rPr>
                              <w:szCs w:val="24"/>
                            </w:rPr>
                            <w:t xml:space="preserve">) ar statinio projekto sprendiniai neprieštarauja teritorijų planavimo dokumentų sprendiniams, ar statinio projekto sprendiniai atitinka valstybinės žemės nuomos sutarties sąlygas, kai šį statinį planuojama statyti išnuomotame valstybinės žemės sklype; </w:t>
                          </w:r>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a82c5fb2efbd4e4aa60a9e6bfa9aeff8"/>
                    <w:lock w:val="sdtLocked"/>
                    <w:richText/>
                  </w:sdtPr>
                  <w:sdtContent>
                    <w:p>
                      <w:pPr>
                        <w:spacing w:line="360" w:lineRule="auto"/>
                        <w:ind w:firstLine="720"/>
                        <w:jc w:val="both"/>
                        <w:rPr>
                          <w:szCs w:val="24"/>
                        </w:rPr>
                      </w:pPr>
                      <w:sdt>
                        <w:sdtPr>
                          <w:alias w:val="Numeris"/>
                          <w:tag w:val="nr_a82c5fb2efbd4e4aa60a9e6bfa9aeff8"/>
                          <w:lock w:val="sdtLocked"/>
                          <w:richText/>
                        </w:sdtPr>
                        <w:sdtContent>
                          <w:r>
                            <w:rPr>
                              <w:szCs w:val="24"/>
                            </w:rPr>
                            <w:t>7</w:t>
                          </w:r>
                        </w:sdtContent>
                      </w:sdt>
                      <w:r>
                        <w:rPr>
                          <w:szCs w:val="24"/>
                        </w:rPr>
                        <w:t>. Aplinkos apsaugos agentūra tikrina, ar planuojamai veiklai pagal Planuojamos ūkinės veiklos poveikio aplinkai vertinimo įstatymo nuostatas turėjo būti atlikta atranka dėl poveikio aplinkai vertinimo ar poveikio aplinkai vertinimas; tikrina, ar statinio projektas, kai planuojamai veiklai reikia atlikti atranką dėl poveikio aplinkai vertinimo ar poveikio aplinkai vertinimą, atitinka atrankos išvadoje dėl planuojamos ūkinės veiklos poveikio aplinkai vertinimo ar sprendime dėl planuojamos ūkinės veiklos poveikio aplinkai nurodytą veiklos mastą, fizines ir technines charakteristikas, ar suprojektuotos visos reikšmingo neigiamo poveikio aplinkai mažinimo ir kompensavimo priemonės, ar nepasibaigęs atrankos išvados arba sprendimo galiojimo terminas.</w:t>
                      </w:r>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32af5d42fa0f42e39a43d69cf87630d2"/>
                    <w:lock w:val="sdtLocked"/>
                    <w:richText/>
                  </w:sdtPr>
                  <w:sdtContent>
                    <w:p>
                      <w:pPr>
                        <w:spacing w:line="360" w:lineRule="auto"/>
                        <w:ind w:firstLine="720"/>
                        <w:jc w:val="both"/>
                        <w:rPr>
                          <w:rFonts w:eastAsia="Calibri"/>
                          <w:szCs w:val="24"/>
                        </w:rPr>
                      </w:pPr>
                      <w:sdt>
                        <w:sdtPr>
                          <w:alias w:val="Numeris"/>
                          <w:tag w:val="nr_32af5d42fa0f42e39a43d69cf87630d2"/>
                          <w:lock w:val="sdtLocked"/>
                          <w:richText/>
                        </w:sdtPr>
                        <w:sdtContent>
                          <w:r>
                            <w:rPr>
                              <w:rFonts w:eastAsia="Calibri"/>
                              <w:color w:val="000000"/>
                              <w:szCs w:val="24"/>
                            </w:rPr>
                            <w:t>1</w:t>
                          </w:r>
                        </w:sdtContent>
                      </w:sdt>
                      <w:r>
                        <w:rPr>
                          <w:rFonts w:eastAsia="Calibri"/>
                          <w:color w:val="000000"/>
                          <w:szCs w:val="24"/>
                        </w:rPr>
                        <w:t xml:space="preserve">. </w:t>
                      </w:r>
                      <w:r>
                        <w:rPr>
                          <w:color w:val="000000"/>
                          <w:szCs w:val="24"/>
                        </w:rPr>
                        <w:t>Ypatingųjų ir neypatingųjų statinių, išskyrus nurodytuosius šio straipsnio 2 dalyje, kurių statybai išduotas šio įstatymo 27 straipsnio 1 dalies 1, 2 arba 3 punkte nurodytas statybą leidžiantis dokumentas, statyba užbaigiama, taip pat daugiabučio namo šildymo ir apsirūpinimo karštu vandeniu bendrosios inžinerinės sistemos pertvarkymas (visame pastate ar jo dalyje keičiant šildymo būdą, prisijungiant prie ar atsijungiant nuo šilumos perdavimo tinklų) užbaigiamas surašant statybos užbaigimo aktą. Statybos užbaigimo aktas surašomas tik statytojui pateikus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2 d."/>
                    <w:tag w:val="part_2eb14fd0fca74b03822039fd8352f343"/>
                    <w:lock w:val="sdtLocked"/>
                    <w:richText/>
                  </w:sdtPr>
                  <w:sdtContent>
                    <w:p>
                      <w:pPr>
                        <w:spacing w:line="360" w:lineRule="auto"/>
                        <w:ind w:firstLine="720"/>
                        <w:jc w:val="both"/>
                        <w:textAlignment w:val="baseline"/>
                        <w:rPr>
                          <w:szCs w:val="24"/>
                        </w:rPr>
                      </w:pPr>
                      <w:sdt>
                        <w:sdtPr>
                          <w:alias w:val="Numeris"/>
                          <w:tag w:val="nr_2eb14fd0fca74b03822039fd8352f343"/>
                          <w:lock w:val="sdtLocked"/>
                          <w:richText/>
                        </w:sdtPr>
                        <w:sdtContent>
                          <w:r>
                            <w:rPr>
                              <w:szCs w:val="24"/>
                            </w:rPr>
                            <w:t>2</w:t>
                          </w:r>
                        </w:sdtContent>
                      </w:sdt>
                      <w:r>
                        <w:rPr>
                          <w:szCs w:val="24"/>
                        </w:rPr>
                        <w:t xml:space="preserve">.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surašius deklaraciją apie statybos užbaigimą, ją patvirtinus ir įregistravus Valstybinėje teritorijų planavimo ir statybos inspekcijoje prie Aplinkos ministerijos. </w:t>
                      </w:r>
                      <w:r>
                        <w:rPr>
                          <w:color w:val="000000"/>
                          <w:szCs w:val="24"/>
                        </w:rPr>
                        <w:t xml:space="preserve">Deklaracija apie statybos užbaigimą patvirtinama tik statytojui pateikus Nekilnojamojo turto kadastro tvarkytojo po išankstinės patikros suderintą statinio kadastro duomenų bylą. </w:t>
                      </w:r>
                      <w:r>
                        <w:rPr>
                          <w:szCs w:val="24"/>
                        </w:rPr>
                        <w:t>Deklaracijas apie statybos užbaigimą tvirtina statybos valstybinę priežiūrą vykdantys pareigūnai. Šioje dalyje nurodytais atvejais deklaracijos apie statybos užbaigimą neprivaloma tvirtinti, jeigu atlikta statinio ekspertizė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3 d."/>
                    <w:tag w:val="part_9789e64ac2ef4f9d88301c287bd7f6b6"/>
                    <w:lock w:val="sdtLocked"/>
                    <w:richText/>
                  </w:sdtPr>
                  <w:sdtContent>
                    <w:p>
                      <w:pPr>
                        <w:spacing w:line="360" w:lineRule="auto"/>
                        <w:ind w:firstLine="720"/>
                        <w:jc w:val="both"/>
                        <w:textAlignment w:val="baseline"/>
                        <w:rPr>
                          <w:szCs w:val="24"/>
                        </w:rPr>
                      </w:pPr>
                      <w:sdt>
                        <w:sdtPr>
                          <w:alias w:val="Numeris"/>
                          <w:tag w:val="nr_9789e64ac2ef4f9d88301c287bd7f6b6"/>
                          <w:lock w:val="sdtLocked"/>
                          <w:richText/>
                        </w:sdtPr>
                        <w:sdtContent>
                          <w:r>
                            <w:rPr>
                              <w:szCs w:val="24"/>
                            </w:rPr>
                            <w:t>3</w:t>
                          </w:r>
                        </w:sdtContent>
                      </w:sdt>
                      <w:r>
                        <w:rPr>
                          <w:szCs w:val="24"/>
                        </w:rPr>
                        <w:t xml:space="preserve">. Statinių, išskyrus nesudėtinguosius statinius ir statinius, kuriems pagal aplinkos ministro patvirtintą sąrašą nereikalingas statybą leidžiantis dokumentas, kapitalinis remontas užbaigiamas statytojui ar jo teises ir pareigas perėmusiam asmeniui surašius deklaraciją apie statybos užbaigimą, ją patvirtinus ir įregistravus Valstybinėje teritorijų planavimo ir statybos inspekcijoje prie Aplinkos ministerijos. </w:t>
                      </w:r>
                      <w:r>
                        <w:rPr>
                          <w:color w:val="000000"/>
                          <w:szCs w:val="24"/>
                        </w:rPr>
                        <w:t xml:space="preserve">Deklaracija apie statybos užbaigimą patvirtinama tik statytojui pateikus Nekilnojamojo turto kadastro tvarkytojo po išankstinės patikros suderintą statinio kadastro duomenų bylą. </w:t>
                      </w:r>
                      <w:r>
                        <w:rPr>
                          <w:szCs w:val="24"/>
                        </w:rPr>
                        <w:t>Deklaracijas apie statybos užbaigimą tvirtina statybos valstybinę priežiūrą vykdantys pareigūnai. Šioje dalyje nurodytais atvejais deklaracijos apie statybos užbaigimą neprivaloma tvirtinti, jeigu atlikta statinio ekspertizė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4 d."/>
                    <w:tag w:val="part_5e4a105da69a4ecea33deed98f65d9af"/>
                    <w:lock w:val="sdtLocked"/>
                    <w:richText/>
                  </w:sdtPr>
                  <w:sdtContent>
                    <w:p>
                      <w:pPr>
                        <w:tabs>
                          <w:tab w:val="left" w:pos="709"/>
                        </w:tabs>
                        <w:suppressAutoHyphens/>
                        <w:spacing w:line="360" w:lineRule="auto"/>
                        <w:ind w:firstLine="720"/>
                        <w:jc w:val="both"/>
                        <w:textAlignment w:val="baseline"/>
                        <w:rPr>
                          <w:szCs w:val="24"/>
                        </w:rPr>
                      </w:pPr>
                      <w:sdt>
                        <w:sdtPr>
                          <w:alias w:val="Numeris"/>
                          <w:tag w:val="nr_5e4a105da69a4ecea33deed98f65d9af"/>
                          <w:lock w:val="sdtLocked"/>
                          <w:richText/>
                        </w:sdtPr>
                        <w:sdtContent>
                          <w:r>
                            <w:rPr>
                              <w:color w:val="000000"/>
                              <w:szCs w:val="24"/>
                            </w:rPr>
                            <w:t>4</w:t>
                          </w:r>
                        </w:sdtContent>
                      </w:sdt>
                      <w:r>
                        <w:rPr>
                          <w:color w:val="000000"/>
                          <w:szCs w:val="24"/>
                        </w:rPr>
                        <w:t xml:space="preserve">. Statinių paprastasis remontas, statinių ar patalpų paskirties keitimas, kai atliekami tik statinio paprastojo remonto darbai arba statybos darbai iš viso neatliekami, nesudėtingųjų statinių ir statinių (statytojui (užsakovui) pageidaujant), kuriems pagal aplinkos ministro patvirtintą sąrašą nereikalingas statybą leidžiantis dokumentas, statyba (naujo statinio statyba, statinio rekonstravimas, statinio kapitalinis remontas, statinio paprastasis remontas, statinio griovimas) užbaigiami statytojui ar jo teises ir pareigas perėmusiam asmeniui surašant deklaraciją apie statybos užbaigimą ir ją įregistruojant </w:t>
                      </w:r>
                      <w:r>
                        <w:rPr>
                          <w:szCs w:val="24"/>
                        </w:rPr>
                        <w:t>Valstybinėje teritorijų planavimo ir statybos inspekcijoje prie Aplinkos ministerijos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5 d."/>
                    <w:tag w:val="part_5460edb9ce7b4a6281358661a44dd5f0"/>
                    <w:lock w:val="sdtLocked"/>
                    <w:richText/>
                  </w:sdtPr>
                  <w:sdtContent>
                    <w:p>
                      <w:pPr>
                        <w:spacing w:line="360" w:lineRule="auto"/>
                        <w:ind w:firstLine="720"/>
                        <w:jc w:val="both"/>
                        <w:textAlignment w:val="baseline"/>
                        <w:rPr>
                          <w:szCs w:val="24"/>
                        </w:rPr>
                      </w:pPr>
                      <w:sdt>
                        <w:sdtPr>
                          <w:alias w:val="Numeris"/>
                          <w:tag w:val="nr_5460edb9ce7b4a6281358661a44dd5f0"/>
                          <w:lock w:val="sdtLocked"/>
                          <w:richText/>
                        </w:sdtPr>
                        <w:sdtContent>
                          <w:r>
                            <w:rPr>
                              <w:color w:val="000000"/>
                              <w:szCs w:val="24"/>
                            </w:rPr>
                            <w:t>5</w:t>
                          </w:r>
                        </w:sdtContent>
                      </w:sdt>
                      <w:r>
                        <w:rPr>
                          <w:color w:val="000000"/>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įregistravimo dienos. Statybos užbaigimo aktas ir deklaracija apie statybos užbaigimą surašomi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12a715a1580f4d85a4e369cd32d72d58"/>
                    <w:lock w:val="sdtLocked"/>
                    <w:richText/>
                  </w:sdtPr>
                  <w:sdtContent>
                    <w:p>
                      <w:pPr>
                        <w:spacing w:line="360" w:lineRule="auto"/>
                        <w:ind w:firstLine="720"/>
                        <w:jc w:val="both"/>
                        <w:textAlignment w:val="baseline"/>
                        <w:rPr>
                          <w:szCs w:val="24"/>
                        </w:rPr>
                      </w:pPr>
                      <w:sdt>
                        <w:sdtPr>
                          <w:alias w:val="Numeris"/>
                          <w:tag w:val="nr_12a715a1580f4d85a4e369cd32d72d58"/>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602aab473c7740f68202a1d7fef1255d"/>
                    <w:lock w:val="sdtLocked"/>
                    <w:richText/>
                  </w:sdtPr>
                  <w:sdtContent>
                    <w:p>
                      <w:pPr>
                        <w:spacing w:line="360" w:lineRule="auto"/>
                        <w:ind w:firstLine="720"/>
                        <w:jc w:val="both"/>
                        <w:textAlignment w:val="baseline"/>
                        <w:rPr>
                          <w:bCs/>
                          <w:szCs w:val="24"/>
                        </w:rPr>
                      </w:pPr>
                      <w:sdt>
                        <w:sdtPr>
                          <w:alias w:val="Numeris"/>
                          <w:tag w:val="nr_602aab473c7740f68202a1d7fef1255d"/>
                          <w:lock w:val="sdtLocked"/>
                          <w:richText/>
                        </w:sdtPr>
                        <w:sdtContent>
                          <w:r>
                            <w:rPr>
                              <w:szCs w:val="24"/>
                            </w:rPr>
                            <w:t>1</w:t>
                          </w:r>
                        </w:sdtContent>
                      </w:sdt>
                      <w:r>
                        <w:rPr>
                          <w:szCs w:val="24"/>
                        </w:rPr>
                        <w:t>. Ypatingojo statinio, statinio, vadovaujantis šio įstatymo 6 straipsnio 3 dalimi, nurodyto Vyriausybės ar jos įgaliotos institucijos statinių, kurie turi būti pritaikomi specialiesiems neįgaliųjų poreikiams, sąraše, ir statinio, kurio projektavimas ir (ar) statyba finansuojama Lietuvos Respublikos ir (ar) Europos Sąjungos biudžeto lėšomis, projektų ekspertizė privaloma. Kultūros paveldo statinių tvarkomųjų statybos darbų projektų ekspertizės atlikimo privalomus atvejus, suderinęs su aplinkos ministru, nustato kultūros ministras.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finansuojama Lietuvos Respublikos biudžeto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str. 2 d."/>
                    <w:tag w:val="part_6da7d07f89fc442b871530c2acea47d4"/>
                    <w:lock w:val="sdtLocked"/>
                    <w:richText/>
                  </w:sdtPr>
                  <w:sdtContent>
                    <w:p>
                      <w:pPr>
                        <w:spacing w:line="360" w:lineRule="auto"/>
                        <w:ind w:firstLine="720"/>
                        <w:jc w:val="both"/>
                        <w:textAlignment w:val="baseline"/>
                        <w:rPr>
                          <w:bCs/>
                          <w:szCs w:val="24"/>
                        </w:rPr>
                      </w:pPr>
                      <w:sdt>
                        <w:sdtPr>
                          <w:alias w:val="Numeris"/>
                          <w:tag w:val="nr_6da7d07f89fc442b871530c2acea47d4"/>
                          <w:lock w:val="sdtLocked"/>
                          <w:richText/>
                        </w:sdtPr>
                        <w:sdtContent>
                          <w:r>
                            <w:rPr>
                              <w:szCs w:val="24"/>
                            </w:rPr>
                            <w:t>2</w:t>
                          </w:r>
                        </w:sdtContent>
                      </w:sdt>
                      <w:r>
                        <w:rPr>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 taip pat aplinkos ministro nustatytais atvejais, kai gavus statybą leidžiantį dokumentą keičiami šioje dalyje nurodytų statinių projektų sprendiniai, kuriais įgyvendinami aplinkos prieinamumo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bbfff595e2484a0c8c14b4b27a477b91"/>
                    <w:lock w:val="sdtLocked"/>
                    <w:richText/>
                  </w:sdtPr>
                  <w:sdtContent>
                    <w:p>
                      <w:pPr>
                        <w:spacing w:line="360" w:lineRule="auto"/>
                        <w:ind w:firstLine="720"/>
                        <w:jc w:val="both"/>
                        <w:textAlignment w:val="baseline"/>
                        <w:rPr>
                          <w:szCs w:val="24"/>
                        </w:rPr>
                      </w:pPr>
                      <w:sdt>
                        <w:sdtPr>
                          <w:alias w:val="Numeris"/>
                          <w:tag w:val="nr_bbfff595e2484a0c8c14b4b27a477b91"/>
                          <w:lock w:val="sdtLocked"/>
                          <w:richText/>
                        </w:sdtPr>
                        <w:sdtContent>
                          <w:r>
                            <w:rPr>
                              <w:szCs w:val="24"/>
                            </w:rPr>
                            <w:t>5</w:t>
                          </w:r>
                        </w:sdtContent>
                      </w:sdt>
                      <w:r>
                        <w:rPr>
                          <w:szCs w:val="24"/>
                        </w:rPr>
                        <w:t>. Statinio projekto ar statinio ekspertizės išlaidas apmoka statytojas (užsakovas) arba statinio naudotojas, išskyrus atvejus, kai statinio projekto ar statinio ekspertizės atliekamos viešojo administravimo subjekto, atliekančio statybos valstybinę priežiūrą, užsakymu.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33f42f70829c4176a55883d65713b8a1"/>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33f42f70829c4176a55883d65713b8a1"/>
                          <w:lock w:val="sdtLocked"/>
                          <w:richText/>
                        </w:sdtPr>
                        <w:sdtContent>
                          <w:r>
                            <w:rPr>
                              <w:color w:val="000000"/>
                              <w:szCs w:val="24"/>
                            </w:rPr>
                            <w:t>1</w:t>
                          </w:r>
                        </w:sdtContent>
                      </w:sdt>
                      <w:r>
                        <w:rPr>
                          <w:color w:val="000000"/>
                          <w:szCs w:val="24"/>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statybą leidžiančio dokumento išdavimo pradžios turi būti įregistruoti Nekilnojamojo turto registre Valstybinės teritorijų planavimo ir statybos inspekcijos prie Aplinkos ministerijos išduotos pažymos apie statinio statybą be nukrypimų nuo esminių statinio projekto sprendinių pagrindu, 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 Pažymos apie </w:t>
                      </w:r>
                      <w:r>
                        <w:rPr>
                          <w:rFonts w:eastAsia="SimSun"/>
                          <w:bCs/>
                          <w:color w:val="000000"/>
                          <w:szCs w:val="24"/>
                        </w:rPr>
                        <w:t>statinio statybą be nukrypimų nuo esminių statinio projekto sprendinių</w:t>
                      </w:r>
                      <w:r>
                        <w:rPr>
                          <w:rFonts w:eastAsia="SimSun"/>
                          <w:color w:val="000000"/>
                          <w:szCs w:val="24"/>
                        </w:rPr>
                        <w:t xml:space="preserve"> ir </w:t>
                      </w:r>
                      <w:r>
                        <w:rPr>
                          <w:bCs/>
                          <w:color w:val="000000"/>
                          <w:szCs w:val="24"/>
                        </w:rPr>
                        <w:t xml:space="preserve">pažymos apie tai, kad nebaigtas statyti ar rekonstruoti statinys nugriautas, išduodamos tik pateikus </w:t>
                      </w:r>
                      <w:r>
                        <w:rPr>
                          <w:color w:val="000000"/>
                          <w:szCs w:val="24"/>
                        </w:rPr>
                        <w:t xml:space="preserve">Nekilnojamojo turto kadastro tvarkytojo po išankstinės patikros suderintą </w:t>
                      </w:r>
                      <w:r>
                        <w:rPr>
                          <w:szCs w:val="24"/>
                        </w:rPr>
                        <w:t>statinio (patalpos)</w:t>
                      </w:r>
                      <w:r>
                        <w:rPr>
                          <w:color w:val="000000"/>
                          <w:szCs w:val="24"/>
                        </w:rPr>
                        <w:t xml:space="preserve">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9 str. 2 d."/>
                    <w:tag w:val="part_e95ab2c4b5d94309b38ef000fef78f8b"/>
                    <w:lock w:val="sdtLocked"/>
                    <w:richText/>
                  </w:sdtPr>
                  <w:sdtContent>
                    <w:p>
                      <w:pPr>
                        <w:spacing w:line="360" w:lineRule="auto"/>
                        <w:ind w:firstLine="720"/>
                        <w:jc w:val="both"/>
                        <w:rPr>
                          <w:szCs w:val="24"/>
                        </w:rPr>
                      </w:pPr>
                      <w:sdt>
                        <w:sdtPr>
                          <w:alias w:val="Numeris"/>
                          <w:tag w:val="nr_e95ab2c4b5d94309b38ef000fef78f8b"/>
                          <w:lock w:val="sdtLocked"/>
                          <w:richText/>
                        </w:sdtPr>
                        <w:sdtContent>
                          <w:r>
                            <w:rPr>
                              <w:color w:val="000000"/>
                              <w:szCs w:val="24"/>
                            </w:rPr>
                            <w:t>2</w:t>
                          </w:r>
                        </w:sdtContent>
                      </w:sdt>
                      <w:r>
                        <w:rPr>
                          <w:color w:val="000000"/>
                          <w:szCs w:val="24"/>
                        </w:rPr>
                        <w:t>. Nebaigtas statyti ar rekonstruoti nesudėtingasis statinys (išskyrus atvejį, kai jis rekonstruojamas į ypatingąjį ar neypatingąjį statinį)</w:t>
                      </w:r>
                      <w:r>
                        <w:rPr>
                          <w:szCs w:val="24"/>
                        </w:rPr>
                        <w:t xml:space="preserve"> </w:t>
                      </w:r>
                      <w:r>
                        <w:rPr>
                          <w:color w:val="000000"/>
                          <w:szCs w:val="24"/>
                        </w:rPr>
                        <w:t xml:space="preserve">ir daiktinės teisės į jį statytojo (užsakovo) pageidavimu įregistruojami Nekilnojamojo turto registre statytojo (užsakovo) surašytos ir Valstybinėje teritorijų planavimo ir statybos inspekcijoje prie Aplinkos ministerijos įregistruotos </w:t>
                      </w:r>
                      <w:r>
                        <w:rPr>
                          <w:szCs w:val="24"/>
                        </w:rPr>
                        <w:t xml:space="preserve">aplinkos ministro nustatytos formos </w:t>
                      </w:r>
                      <w:r>
                        <w:rPr>
                          <w:color w:val="000000"/>
                          <w:szCs w:val="24"/>
                        </w:rPr>
                        <w:t xml:space="preserve">pažymos apie nebaigto statyti </w:t>
                      </w:r>
                      <w:r>
                        <w:rPr>
                          <w:bCs/>
                          <w:szCs w:val="24"/>
                        </w:rPr>
                        <w:t>ar rekonstruoti</w:t>
                      </w:r>
                      <w:r>
                        <w:rPr>
                          <w:szCs w:val="24"/>
                        </w:rPr>
                        <w:t xml:space="preserve"> </w:t>
                      </w:r>
                      <w:r>
                        <w:rPr>
                          <w:color w:val="000000"/>
                          <w:szCs w:val="24"/>
                        </w:rPr>
                        <w:t>nesudėtingo statinio statybą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de9a344e0c234261891450871b6c45e4"/>
                    <w:lock w:val="sdtLocked"/>
                    <w:richText/>
                  </w:sdtPr>
                  <w:sdtContent>
                    <w:p>
                      <w:pPr>
                        <w:tabs>
                          <w:tab w:val="left" w:pos="1418"/>
                        </w:tabs>
                        <w:spacing w:line="360" w:lineRule="auto"/>
                        <w:ind w:firstLine="720"/>
                        <w:jc w:val="both"/>
                        <w:rPr>
                          <w:szCs w:val="24"/>
                        </w:rPr>
                      </w:pPr>
                      <w:sdt>
                        <w:sdtPr>
                          <w:alias w:val="Numeris"/>
                          <w:tag w:val="nr_de9a344e0c234261891450871b6c45e4"/>
                          <w:lock w:val="sdtLocked"/>
                          <w:richText/>
                        </w:sdtPr>
                        <w:sdtContent>
                          <w:r>
                            <w:rPr>
                              <w:szCs w:val="24"/>
                            </w:rPr>
                            <w:t>1</w:t>
                          </w:r>
                        </w:sdtContent>
                      </w:sdt>
                      <w:r>
                        <w:rPr>
                          <w:szCs w:val="24"/>
                        </w:rPr>
                        <w:t>. Statinio projektuotojo, statinio projekto (jo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statinio projektuotojo, statinio projekto (dalies) ekspertizės rangovo, statinio statybos techninio prižiūrėtojo, statybos rangovo ir statytojo (užsakovo) juridinį statusą.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5a12b8290a4249cc8788a6a0e9780578"/>
                    <w:lock w:val="sdtLocked"/>
                    <w:richText/>
                  </w:sdtPr>
                  <w:sdtContent>
                    <w:p>
                      <w:pPr>
                        <w:spacing w:line="360" w:lineRule="auto"/>
                        <w:ind w:firstLine="720"/>
                        <w:jc w:val="both"/>
                        <w:rPr>
                          <w:szCs w:val="24"/>
                        </w:rPr>
                      </w:pPr>
                      <w:sdt>
                        <w:sdtPr>
                          <w:alias w:val="Numeris"/>
                          <w:tag w:val="nr_5a12b8290a4249cc8788a6a0e9780578"/>
                          <w:lock w:val="sdtLocked"/>
                          <w:richText/>
                        </w:sdtPr>
                        <w:sdtContent>
                          <w:r>
                            <w:rPr>
                              <w:szCs w:val="24"/>
                            </w:rPr>
                            <w:t>3</w:t>
                          </w:r>
                        </w:sdtContent>
                      </w:sdt>
                      <w:r>
                        <w:rPr>
                          <w:szCs w:val="24"/>
                        </w:rPr>
                        <w:t>. Apdraudžiant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0ed65bfa8add49fba33c1ee93248c90c"/>
                    <w:lock w:val="sdtLocked"/>
                    <w:richText/>
                  </w:sdtPr>
                  <w:sdtContent>
                    <w:p>
                      <w:pPr>
                        <w:spacing w:line="360" w:lineRule="auto"/>
                        <w:ind w:firstLine="720"/>
                        <w:jc w:val="both"/>
                        <w:rPr>
                          <w:szCs w:val="24"/>
                        </w:rPr>
                      </w:pPr>
                      <w:sdt>
                        <w:sdtPr>
                          <w:alias w:val="Numeris"/>
                          <w:tag w:val="nr_0ed65bfa8add49fba33c1ee93248c90c"/>
                          <w:lock w:val="sdtLocked"/>
                          <w:richText/>
                        </w:sdtPr>
                        <w:sdtContent>
                          <w:r>
                            <w:rPr>
                              <w:szCs w:val="24"/>
                            </w:rPr>
                            <w:t>8</w:t>
                          </w:r>
                        </w:sdtContent>
                      </w:sdt>
                      <w:r>
                        <w:rPr>
                          <w:szCs w:val="24"/>
                        </w:rPr>
                        <w:t>.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1d445b71ac1247dea15a1de68dd9d51d"/>
                    <w:lock w:val="sdtLocked"/>
                    <w:richText/>
                  </w:sdtPr>
                  <w:sdtContent>
                    <w:p>
                      <w:pPr>
                        <w:spacing w:line="360" w:lineRule="auto"/>
                        <w:ind w:firstLine="720"/>
                        <w:jc w:val="both"/>
                        <w:rPr>
                          <w:szCs w:val="24"/>
                        </w:rPr>
                      </w:pPr>
                      <w:sdt>
                        <w:sdtPr>
                          <w:alias w:val="Numeris"/>
                          <w:tag w:val="nr_1d445b71ac1247dea15a1de68dd9d51d"/>
                          <w:lock w:val="sdtLocked"/>
                          <w:richText/>
                        </w:sdtPr>
                        <w:sdtContent>
                          <w:r>
                            <w:rPr>
                              <w:szCs w:val="24"/>
                            </w:rPr>
                            <w:t>12</w:t>
                          </w:r>
                        </w:sdtContent>
                      </w:sdt>
                      <w:r>
                        <w:rPr>
                          <w:szCs w:val="24"/>
                        </w:rPr>
                        <w:t>. Statinio projektuotojo, statinio projekto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CC3E442"/>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23.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22.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23.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24.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2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4b3b5bbd858443ac84a19c2009d3d76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bc5e463b58a54f4bb7c6d392fe33cbf1"/>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d8b2cc8af4749fc943bd7787b6cce7a"/>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345c08606a104ecca10524dedadd5f17"/>
        <Part Type="strDalis" Nr="14" Abbr="27 str. 14 d." DocPartId="1397bb05663d47c8b475d42e23cff6d4" PartId="d9cc38e94e994017ba4c5557632b5a42"/>
        <Part Type="strDalis" Nr="15" Abbr="27 str. 15 d." DocPartId="b63e526583d845f8b3b04e166f915469" PartId="f8837ca8bf654c4aa32363c7e621a90e"/>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d12d1a014e74b77b63c67dddf665716"/>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4757bd42883e41089d467aa1c0c8c04e"/>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a82c5fb2efbd4e4aa60a9e6bfa9aeff8"/>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f9f8dfd0e27b42d09fccbd3428996f46">
        <Part Type="strDalis" Nr="1" Abbr="28 str. 1 d." DocPartId="c7abacea1f864ebe816596cbf287196a" PartId="32af5d42fa0f42e39a43d69cf87630d2"/>
        <Part Type="strDalis" Nr="2" Abbr="28 str. 2 d." DocPartId="eb62342ec0af4fcb8589ed35d1b58009" PartId="2eb14fd0fca74b03822039fd8352f343"/>
        <Part Type="strDalis" Nr="3" Abbr="28 str. 3 d." DocPartId="f11b642ca2694e238a879b28b8ae6c7e" PartId="9789e64ac2ef4f9d88301c287bd7f6b6"/>
        <Part Type="strDalis" Nr="4" Abbr="28 str. 4 d." DocPartId="9c7de739d1f0461da015a5ec696b5e34" PartId="5e4a105da69a4ecea33deed98f65d9af"/>
        <Part Type="strDalis" Nr="5" Abbr="28 str. 5 d." DocPartId="2d1d02b10b04427c9d02e9482d18c84e" PartId="5460edb9ce7b4a6281358661a44dd5f0"/>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12a715a1580f4d85a4e369cd32d72d58"/>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435a100252fa400aa9f79e888afdbaed">
        <Part Type="strDalis" Nr="1" Abbr="34 str. 1 d." DocPartId="9791fe5ee56c4db68d1efef1916027a7" PartId="602aab473c7740f68202a1d7fef1255d"/>
        <Part Type="strDalis" Nr="2" Abbr="34 str. 2 d." DocPartId="af798219808046cc8ea4ce4e5b3ece8d" PartId="6da7d07f89fc442b871530c2acea47d4"/>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bbfff595e2484a0c8c14b4b27a477b91"/>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33f42f70829c4176a55883d65713b8a1"/>
        <Part Type="strDalis" Nr="2" Abbr="39 str. 2 d." DocPartId="80b68d27bc304177bfbebe44d4107326" PartId="e95ab2c4b5d94309b38ef000fef78f8b"/>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de9a344e0c234261891450871b6c45e4"/>
        <Part Type="strDalis" Nr="2" Abbr="42 str. 2 d." DocPartId="2dd7e41019cb42b4b911745e9e7ea5ca" PartId="92d07ca090524deeb55269e3978c0492"/>
        <Part Type="strDalis" Nr="3" Abbr="42 str. 3 d." DocPartId="d842a1a8ec794791bb65b6863021f330" PartId="5a12b8290a4249cc8788a6a0e9780578"/>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0ed65bfa8add49fba33c1ee93248c90c"/>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1d445b71ac1247dea15a1de68dd9d51d"/>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CE03470-2363-4AA9-B470-ACED67E2F63F}">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83884AA2-011E-4AF9-B0AF-D3568C165B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106</TotalTime>
  <Pages>111</Pages>
  <Words>34978</Words>
  <Characters>266336</Characters>
  <Application>Microsoft Office Word</Application>
  <DocSecurity>0</DocSecurity>
  <Lines>2219</Lines>
  <Paragraphs>601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300713</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2022-01-05T09:11:00Z</dcterms:modified>
  <revision>34</revision>
  <dc:title>Redagavo: Ramunė Lūžaitė (1997</dc:title>
</coreProperties>
</file>