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2026-01-01 iki 2026-01-07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72e33141505c4407b43fba5480dfd5a2"/>
                    <w:lock w:val="sdtLocked"/>
                    <w:richText/>
                  </w:sdtPr>
                  <w:sdtContent>
                    <w:p>
                      <w:pPr>
                        <w:tabs>
                          <w:tab w:val="left" w:pos="567"/>
                          <w:tab w:val="left" w:pos="851"/>
                          <w:tab w:val="left" w:pos="1418"/>
                        </w:tabs>
                        <w:spacing w:line="360" w:lineRule="auto"/>
                        <w:ind w:firstLine="720"/>
                        <w:jc w:val="both"/>
                        <w:rPr>
                          <w:szCs w:val="24"/>
                        </w:rPr>
                      </w:pPr>
                      <w:sdt>
                        <w:sdtPr>
                          <w:alias w:val="Numeris"/>
                          <w:tag w:val="nr_72e33141505c4407b43fba5480dfd5a2"/>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5291f394b378419fb14b66db9ae583f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291f394b378419fb14b66db9ae583f4"/>
                          <w:lock w:val="sdtLocked"/>
                          <w:richText/>
                        </w:sdtPr>
                        <w:sdtContent>
                          <w:r>
                            <w:rPr>
                              <w:bCs/>
                              <w:szCs w:val="24"/>
                              <w:lang w:eastAsia="lt-LT"/>
                            </w:rPr>
                            <w:t>113</w:t>
                          </w:r>
                        </w:sdtContent>
                      </w:sdt>
                      <w:r>
                        <w:rPr>
                          <w:bCs/>
                          <w:szCs w:val="24"/>
                          <w:lang w:eastAsia="lt-LT"/>
                        </w:rPr>
                        <w:t>. Kitos šiame įstatyme vartojamos sąvokos suprantamos taip, kaip apibrėžiamos Architektūros įstatyme, Lietuvos Respublikos architektų rūmų įstatyme, Lietuvos Respublikos autorių teisių ir gretutinių teisių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ir tarnybos paslapčių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e5164bb9fb3462b8bfc3ebb8a2b1e5f"/>
                    <w:lock w:val="sdtLocked"/>
                    <w:richText/>
                  </w:sdtPr>
                  <w:sdtContent>
                    <w:p>
                      <w:pPr>
                        <w:spacing w:line="360" w:lineRule="auto"/>
                        <w:ind w:firstLine="720"/>
                        <w:jc w:val="both"/>
                        <w:rPr>
                          <w:szCs w:val="24"/>
                        </w:rPr>
                      </w:pPr>
                      <w:sdt>
                        <w:sdtPr>
                          <w:alias w:val="Numeris"/>
                          <w:tag w:val="nr_ce5164bb9fb3462b8bfc3ebb8a2b1e5f"/>
                          <w:lock w:val="sdtLocked"/>
                          <w:richText/>
                        </w:sdtPr>
                        <w:sdtContent>
                          <w:r>
                            <w:rPr>
                              <w:kern w:val="2"/>
                              <w:szCs w:val="24"/>
                              <w:lang w:eastAsia="en-GB"/>
                            </w:rPr>
                            <w:t>3</w:t>
                          </w:r>
                        </w:sdtContent>
                      </w:sdt>
                      <w:r>
                        <w:rPr>
                          <w:kern w:val="2"/>
                          <w:szCs w:val="24"/>
                          <w:lang w:eastAsia="en-GB"/>
                        </w:rPr>
                        <w:t xml:space="preserve">. Statinių klasifikavimą pagal jų naudojimo paskirtį pagal jai būdingus funkcinius, inžinerinius, socialinius, nekilnojamojo turto kadastro objektų kiekio, užimamo sklypo ir kitus požymius, </w:t>
                      </w:r>
                      <w:r>
                        <w:rPr>
                          <w:bCs/>
                          <w:kern w:val="2"/>
                          <w:szCs w:val="24"/>
                          <w:lang w:eastAsia="en-GB"/>
                        </w:rPr>
                        <w:t>statinių paskirties grupes, atsižvelgiant į pagrindinę žemės naudojimo paskirtį ir naudojimo būdus,</w:t>
                      </w:r>
                      <w:r>
                        <w:rPr>
                          <w:kern w:val="2"/>
                          <w:szCs w:val="24"/>
                          <w:lang w:eastAsia="en-GB"/>
                        </w:rPr>
                        <w:t xml:space="preserve">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25c83948b534b798a3ace12edb16238"/>
                    <w:lock w:val="sdtLocked"/>
                    <w:richText/>
                  </w:sdtPr>
                  <w:sdtContent>
                    <w:p>
                      <w:pPr>
                        <w:spacing w:line="360" w:lineRule="auto"/>
                        <w:ind w:firstLine="720"/>
                        <w:jc w:val="both"/>
                        <w:rPr>
                          <w:bCs/>
                          <w:szCs w:val="24"/>
                        </w:rPr>
                      </w:pPr>
                      <w:sdt>
                        <w:sdtPr>
                          <w:alias w:val="Numeris"/>
                          <w:tag w:val="nr_e25c83948b534b798a3ace12edb16238"/>
                          <w:lock w:val="sdtLocked"/>
                          <w:richText/>
                        </w:sdtPr>
                        <w:sdtContent>
                          <w:r>
                            <w:rPr>
                              <w:bCs/>
                              <w:szCs w:val="24"/>
                            </w:rPr>
                            <w:t>1</w:t>
                          </w:r>
                        </w:sdtContent>
                      </w:sdt>
                      <w:r>
                        <w:rPr>
                          <w:bCs/>
                          <w:szCs w:val="24"/>
                        </w:rPr>
                        <w:t>. Vyriausybės ar jos įgaliotos institucijos nustatytais atvejais statinio gyvavimo ciklą apibūdinantys duomenys kuriami, tvarkomi, valdomi ir viešinami skaitmenine forma.</w:t>
                      </w:r>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9a4ce545cfed4cc2997ee26ea703c2d0"/>
                        <w:lock w:val="sdtLocked"/>
                        <w:richText/>
                      </w:sdtPr>
                      <w:sdtContent>
                        <w:p>
                          <w:pPr>
                            <w:spacing w:line="360" w:lineRule="auto"/>
                            <w:ind w:firstLine="720"/>
                            <w:jc w:val="both"/>
                            <w:textAlignment w:val="baseline"/>
                            <w:rPr>
                              <w:kern w:val="2"/>
                              <w:szCs w:val="24"/>
                              <w:lang w:eastAsia="lt-LT"/>
                            </w:rPr>
                          </w:pPr>
                          <w:sdt>
                            <w:sdtPr>
                              <w:alias w:val="Numeris"/>
                              <w:tag w:val="nr_9a4ce545cfed4cc2997ee26ea703c2d0"/>
                              <w:lock w:val="sdtLocked"/>
                              <w:richText/>
                            </w:sdtPr>
                            <w:sdtContent>
                              <w:r>
                                <w:rPr>
                                  <w:kern w:val="2"/>
                                  <w:szCs w:val="24"/>
                                  <w:lang w:eastAsia="lt-LT"/>
                                </w:rPr>
                                <w:t>3</w:t>
                              </w:r>
                            </w:sdtContent>
                          </w:sdt>
                          <w:r>
                            <w:rPr>
                              <w:kern w:val="2"/>
                              <w:szCs w:val="24"/>
                              <w:lang w:eastAsia="lt-LT"/>
                            </w:rPr>
                            <w:t>) leidimas atnaujinti (modernizuoti) pastatą;</w:t>
                          </w:r>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932fa97d67e14145a6dedd49f3184ded"/>
                        <w:lock w:val="sdtLocked"/>
                        <w:richText/>
                      </w:sdtPr>
                      <w:sdtContent>
                        <w:p>
                          <w:pPr>
                            <w:spacing w:line="360" w:lineRule="auto"/>
                            <w:ind w:firstLine="720"/>
                            <w:jc w:val="both"/>
                            <w:rPr>
                              <w:szCs w:val="24"/>
                            </w:rPr>
                          </w:pPr>
                          <w:sdt>
                            <w:sdtPr>
                              <w:alias w:val="Numeris"/>
                              <w:tag w:val="nr_932fa97d67e14145a6dedd49f3184ded"/>
                              <w:lock w:val="sdtLocked"/>
                              <w:richText/>
                            </w:sdtPr>
                            <w:sdtContent>
                              <w:r>
                                <w:rPr>
                                  <w:szCs w:val="24"/>
                                  <w:lang w:eastAsia="lt-LT"/>
                                </w:rPr>
                                <w:t>3</w:t>
                              </w:r>
                            </w:sdtContent>
                          </w:sdt>
                          <w:r>
                            <w:rPr>
                              <w:szCs w:val="24"/>
                              <w:lang w:eastAsia="lt-LT"/>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w:t>
                          </w:r>
                          <w:r>
                            <w:rPr>
                              <w:bCs/>
                              <w:szCs w:val="24"/>
                              <w:lang w:eastAsia="lt-LT"/>
                            </w:rPr>
                            <w:t>;</w:t>
                          </w:r>
                          <w:r>
                            <w:rPr>
                              <w:szCs w:val="24"/>
                              <w:lang w:eastAsia="lt-LT"/>
                            </w:rPr>
                            <w:t xml:space="preserve"> daugiabučio pastato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2529eb7115f54f249bf721962ce2cedf"/>
                    <w:lock w:val="sdtLocked"/>
                    <w:richText/>
                  </w:sdtPr>
                  <w:sdtContent>
                    <w:p>
                      <w:pPr>
                        <w:spacing w:line="360" w:lineRule="auto"/>
                        <w:ind w:firstLine="720"/>
                        <w:jc w:val="both"/>
                        <w:rPr>
                          <w:szCs w:val="24"/>
                        </w:rPr>
                      </w:pPr>
                      <w:sdt>
                        <w:sdtPr>
                          <w:alias w:val="Numeris"/>
                          <w:tag w:val="nr_2529eb7115f54f249bf721962ce2cedf"/>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w:t>
                      </w:r>
                      <w:r>
                        <w:rPr>
                          <w:bCs/>
                          <w:szCs w:val="24"/>
                        </w:rPr>
                        <w:t xml:space="preserve">Pastatų energinio naudingumo sertifikatų ir pastatų energinio naudingumo sertifikavimo ekspertų </w:t>
                      </w:r>
                      <w:r>
                        <w:rPr>
                          <w:szCs w:val="24"/>
                        </w:rPr>
                        <w:t xml:space="preserve">informacine sistema. Pastatų energinio naudingumo sertifikavimo ekspertas turi sumokėti pastatų energinio naudingumo sertifikavimą prižiūrinčiai institucijai </w:t>
                      </w:r>
                      <w:r>
                        <w:rPr>
                          <w:bCs/>
                          <w:szCs w:val="24"/>
                        </w:rPr>
                        <w:t>jos</w:t>
                      </w:r>
                      <w:r>
                        <w:rPr>
                          <w:szCs w:val="24"/>
                        </w:rPr>
                        <w:t xml:space="preserve"> nustatytą įmoką</w:t>
                      </w:r>
                      <w:r>
                        <w:rPr>
                          <w:bCs/>
                          <w:szCs w:val="24"/>
                        </w:rPr>
                        <w:t>, suderintą su Aplinkos ministerija,</w:t>
                      </w:r>
                      <w:r>
                        <w:rPr>
                          <w:szCs w:val="24"/>
                        </w:rPr>
                        <w:t xml:space="preserve">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w:t>
                      </w:r>
                      <w:r>
                        <w:rPr>
                          <w:bCs/>
                          <w:szCs w:val="24"/>
                        </w:rPr>
                        <w:t>Nustatytas įmokos dydis</w:t>
                      </w:r>
                      <w:r>
                        <w:rPr>
                          <w:szCs w:val="24"/>
                        </w:rPr>
                        <w:t xml:space="preserve">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w:t>
                      </w:r>
                      <w:r>
                        <w:rPr>
                          <w:bCs/>
                          <w:szCs w:val="24"/>
                        </w:rPr>
                        <w:t xml:space="preserve">institucija ar </w:t>
                      </w:r>
                      <w:r>
                        <w:rPr>
                          <w:szCs w:val="24"/>
                        </w:rPr>
                        <w:t>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59f98135c982412891fbc81081365f30"/>
                    <w:lock w:val="sdtLocked"/>
                    <w:richText/>
                  </w:sdtPr>
                  <w:sdtContent>
                    <w:p>
                      <w:pPr>
                        <w:spacing w:line="400" w:lineRule="atLeast"/>
                        <w:ind w:firstLine="720"/>
                        <w:jc w:val="both"/>
                        <w:rPr>
                          <w:szCs w:val="24"/>
                        </w:rPr>
                      </w:pPr>
                      <w:sdt>
                        <w:sdtPr>
                          <w:alias w:val="Numeris"/>
                          <w:tag w:val="nr_59f98135c982412891fbc81081365f30"/>
                          <w:lock w:val="sdtLocked"/>
                          <w:richText/>
                        </w:sdtPr>
                        <w:sdtContent>
                          <w:r>
                            <w:rPr>
                              <w:bCs/>
                              <w:szCs w:val="24"/>
                            </w:rPr>
                            <w:t>2</w:t>
                          </w:r>
                          <w:r>
                            <w:rPr>
                              <w:bCs/>
                              <w:szCs w:val="24"/>
                              <w:vertAlign w:val="superscript"/>
                            </w:rPr>
                            <w:t>1</w:t>
                          </w:r>
                        </w:sdtContent>
                      </w:sdt>
                      <w:r>
                        <w:rPr>
                          <w:bCs/>
                          <w:szCs w:val="24"/>
                        </w:rPr>
                        <w:t xml:space="preserve">. Duomenys apie pastatus, jų naudojimą, techninę priežiūrą, naudojimo priežiūrą, pastatų bendrojo naudojimo objektus, šių objektų valdymą ir valdymo priežiūrą teikiami į Pastatų duomenų banko informacinę sistemą aplinkos ministro tvirtinamuose Pastatų duomenų banko informacinės sistemos nuostatuose nustatyta tvarka arba kita aplinkos ministro nustatyta tvarka. Pastatų duomenų banko informacinė sistema pasiekiama ir paslaugos teikiamos tik per </w:t>
                      </w:r>
                      <w:r>
                        <w:rPr>
                          <w:bCs/>
                          <w:szCs w:val="24"/>
                          <w:shd w:val="clear" w:color="auto" w:fill="FFFFFF"/>
                          <w:lang w:eastAsia="lt-LT"/>
                        </w:rPr>
                        <w:t>TPS „Vartai“</w:t>
                      </w:r>
                      <w:r>
                        <w:rPr>
                          <w:bCs/>
                          <w:szCs w:val="24"/>
                        </w:rPr>
                        <w:t xml:space="preserve">. </w:t>
                      </w:r>
                      <w:r>
                        <w:rPr>
                          <w:bCs/>
                          <w:szCs w:val="24"/>
                          <w:shd w:val="clear" w:color="auto" w:fill="FFFFFF"/>
                          <w:lang w:eastAsia="lt-LT"/>
                        </w:rPr>
                        <w:t xml:space="preserve">Per TPS „Vartai“ </w:t>
                      </w:r>
                      <w:r>
                        <w:rPr>
                          <w:bCs/>
                          <w:szCs w:val="24"/>
                        </w:rPr>
                        <w:t xml:space="preserve">Pastatų duomenų banko informacinėje sistemoje </w:t>
                      </w:r>
                      <w:r>
                        <w:rPr>
                          <w:bCs/>
                          <w:szCs w:val="24"/>
                          <w:shd w:val="clear" w:color="auto" w:fill="FFFFFF"/>
                          <w:lang w:eastAsia="lt-LT"/>
                        </w:rPr>
                        <w:t>skelbiami bendrojo naudojimo objektų valdytojų duomenys: juridinio asmens pavadinimas, kodas, atstovo vardas, pavardė, ryšio numeris ir elektroninio pašto adresas arba fizinio asmens vardas, pavardė,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MS Mincho">
    <w:altName w:val="Yu Gothic UI"/>
    <w:panose1 w:val="02020609040205080304"/>
    <w:charset w:val="80"/>
    <w:family w:val="modern"/>
    <w:pitch w:val="fixed"/>
    <w:sig w:usb0="E00002FF" w:usb1="6AC7FDFB" w:usb2="00000012" w:usb3="00000000" w:csb0="0002009F" w:csb1="00000000"/>
  </w:font>
  <w:font w:name="Andale Sans UI">
    <w:altName w:val="Times New Roman"/>
    <w:charset w:val="BA"/>
    <w:family w:val="auto"/>
    <w:pitch w:val="variable"/>
  </w:font>
  <w:font w:name="Aptos">
    <w:altName w:val="Times New Roman"/>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659A7EA3"/>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131.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130.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131.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132.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13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b440962a4244484baabbbcaa38cbcf6b"/>
        <Part Type="strDalis" Nr="11" Abbr="2 str. 11 d." DocPartId="5fc61d46e8444438b5dca4a96f02ee88" PartId="6dc40dcd6e064c00a3ae6cf24516ce92"/>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72e33141505c4407b43fba5480dfd5a2"/>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2fe37771ddc64580bfc20566bcae979f"/>
        <Part Type="strDalis" Nr="42-1" Abbr="2 str. 42-1 d." DocPartId="a3068d3740ca42c48caeba95a5f0e478" PartId="a89b43595c4042b1a1c2f6b80c989d1d"/>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26fcb2d596c94c5a9bc7d94e75d1cb70"/>
        <Part Type="strDalis" Nr="113" Abbr="2 str. 113 d." DocPartId="c9d05753841d48d6a4dc22c59ff8a0ac" PartId="5291f394b378419fb14b66db9ae583f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ce5164bb9fb3462b8bfc3ebb8a2b1e5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25c83948b534b798a3ace12edb16238"/>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9a4ce545cfed4cc2997ee26ea703c2d0"/>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932fa97d67e14145a6dedd49f3184ded"/>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2529eb7115f54f249bf721962ce2cedf"/>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2-1 d." DocPartId="8d59babdb6db4f3899f455fa23ac5815" PartId="59f98135c982412891fbc81081365f30"/>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2EA2124-65D9-4A91-9D37-525EA5C2C7A4}">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32419E44-831C-4C61-ABF5-DCD5CB94C35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397</TotalTime>
  <Pages>134</Pages>
  <Words>43594</Words>
  <Characters>330567</Characters>
  <Application>Microsoft Office Word</Application>
  <DocSecurity>0</DocSecurity>
  <Lines>2754</Lines>
  <Paragraphs>746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373415</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TAMALIŪNIENĖ Vilija</lastModifiedBy>
  <dcterms:modified xsi:type="dcterms:W3CDTF">2025-10-30T12:49:00Z</dcterms:modified>
  <revision>75</revision>
  <dc:title>Redagavo: Ramunė Lūžaitė (1997</dc:title>
</coreProperties>
</file>