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2026-11-01 iki 2028-10-31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7fb9c83db88a45bb95ced0dc2e894de5"/>
                    <w:lock w:val="sdtLocked"/>
                    <w:richText/>
                  </w:sdtPr>
                  <w:sdtContent>
                    <w:p>
                      <w:pPr>
                        <w:spacing w:line="360" w:lineRule="auto"/>
                        <w:ind w:firstLine="720"/>
                        <w:jc w:val="both"/>
                        <w:rPr>
                          <w:szCs w:val="24"/>
                          <w:lang w:eastAsia="lt-LT"/>
                        </w:rPr>
                      </w:pPr>
                      <w:sdt>
                        <w:sdtPr>
                          <w:alias w:val="Numeris"/>
                          <w:tag w:val="nr_7fb9c83db88a45bb95ced0dc2e894de5"/>
                          <w:lock w:val="sdtLocked"/>
                          <w:richText/>
                        </w:sdtPr>
                        <w:sdtContent>
                          <w:r>
                            <w:rPr>
                              <w:szCs w:val="24"/>
                              <w:lang w:eastAsia="lt-LT"/>
                            </w:rPr>
                            <w:t>2</w:t>
                          </w:r>
                        </w:sdtContent>
                      </w:sdt>
                      <w:r>
                        <w:rPr>
                          <w:szCs w:val="24"/>
                          <w:lang w:eastAsia="lt-LT"/>
                        </w:rPr>
                        <w:t>. Šis įstatymas netaikomas nustatant:</w:t>
                      </w:r>
                    </w:p>
                    <w:sdt>
                      <w:sdtPr>
                        <w:alias w:val="1 str. 2 d. 1 p."/>
                        <w:tag w:val="part_ba3f9d0f8e744045a3a61c5f7aec32f3"/>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a3f9d0f8e744045a3a61c5f7aec32f3"/>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hyperlink r:id="rId81" w:tgtFrame="_blank" w:history="1">
                            <w:r>
                              <w:rPr>
                                <w:bCs/>
                                <w:color w:val="0000FF" w:themeColor="hyperlink"/>
                                <w:szCs w:val="24"/>
                                <w:u w:val="single"/>
                                <w:lang w:eastAsia="lt-LT"/>
                              </w:rPr>
                              <w:t>(ES) 2024/3110</w:t>
                            </w:r>
                          </w:hyperlink>
                          <w:r>
                            <w:rPr>
                              <w:szCs w:val="24"/>
                              <w:lang w:eastAsia="lt-LT"/>
                            </w:rPr>
                            <w:t>;</w:t>
                          </w:r>
                        </w:p>
                      </w:sdtContent>
                    </w:sdt>
                    <w:sdt>
                      <w:sdtPr>
                        <w:alias w:val="1 str. 2 d. 2 p."/>
                        <w:tag w:val="part_b966b833cdb041ceac04dc7f151efa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966b833cdb041ceac04dc7f151efa30"/>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hyperlink r:id="rId82" w:tgtFrame="_blank" w:history="1">
                            <w:r>
                              <w:rPr>
                                <w:bCs/>
                                <w:color w:val="0000FF" w:themeColor="hyperlink"/>
                                <w:szCs w:val="24"/>
                                <w:u w:val="single"/>
                                <w:lang w:eastAsia="lt-LT"/>
                              </w:rPr>
                              <w:t>(ES) 2024/3110</w:t>
                            </w:r>
                          </w:hyperlink>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1 str. 2 d. 3 p."/>
                        <w:tag w:val="part_5f048ea006c9491fa65a1f8c80d2687c"/>
                        <w:lock w:val="sdtLocked"/>
                        <w:richText/>
                      </w:sdtPr>
                      <w:sdtContent>
                        <w:p>
                          <w:pPr>
                            <w:tabs>
                              <w:tab w:val="left" w:pos="567"/>
                              <w:tab w:val="left" w:pos="851"/>
                              <w:tab w:val="left" w:pos="1418"/>
                            </w:tabs>
                            <w:spacing w:line="360" w:lineRule="auto"/>
                            <w:ind w:firstLine="720"/>
                            <w:jc w:val="both"/>
                            <w:rPr>
                              <w:szCs w:val="24"/>
                            </w:rPr>
                          </w:pPr>
                          <w:sdt>
                            <w:sdtPr>
                              <w:alias w:val="Numeris"/>
                              <w:tag w:val="nr_5f048ea006c9491fa65a1f8c80d2687c"/>
                              <w:lock w:val="sdtLocked"/>
                              <w:richText/>
                            </w:sdtPr>
                            <w:sdtContent>
                              <w:r>
                                <w:rPr>
                                  <w:szCs w:val="24"/>
                                  <w:lang w:eastAsia="lt-LT"/>
                                </w:rPr>
                                <w:t>3</w:t>
                              </w:r>
                            </w:sdtContent>
                          </w:sdt>
                          <w:r>
                            <w:rPr>
                              <w:szCs w:val="24"/>
                              <w:lang w:eastAsia="lt-LT"/>
                            </w:rPr>
                            <w:t>) naudojamame statinyje vykdomos ūkinės komercinės ar kitos veiklos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d48d5997ceb143f1b6f35042ce38b812"/>
                    <w:lock w:val="sdtLocked"/>
                    <w:richText/>
                  </w:sdtPr>
                  <w:sdtContent>
                    <w:p>
                      <w:pPr>
                        <w:tabs>
                          <w:tab w:val="left" w:pos="567"/>
                          <w:tab w:val="left" w:pos="851"/>
                          <w:tab w:val="left" w:pos="1418"/>
                        </w:tabs>
                        <w:spacing w:line="360" w:lineRule="auto"/>
                        <w:ind w:firstLine="720"/>
                        <w:jc w:val="both"/>
                        <w:rPr>
                          <w:szCs w:val="24"/>
                        </w:rPr>
                      </w:pPr>
                      <w:sdt>
                        <w:sdtPr>
                          <w:alias w:val="Numeris"/>
                          <w:tag w:val="nr_d48d5997ceb143f1b6f35042ce38b812"/>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hyperlink r:id="rId51" w:tgtFrame="_blank" w:history="1">
                        <w:r>
                          <w:rPr>
                            <w:bCs/>
                            <w:color w:val="0000FF" w:themeColor="hyperlink"/>
                            <w:szCs w:val="24"/>
                            <w:u w:val="single"/>
                            <w:lang w:eastAsia="lt-LT"/>
                          </w:rPr>
                          <w:t>(ES) 2024/3110</w:t>
                        </w:r>
                      </w:hyperlink>
                      <w:r>
                        <w:rPr>
                          <w:bCs/>
                          <w:szCs w:val="24"/>
                          <w:lang w:eastAsia="lt-LT"/>
                        </w:rPr>
                        <w:t xml:space="preserve"> 3 straipsnio 42 punktą arba remiantis Reglamento </w:t>
                      </w:r>
                      <w:hyperlink r:id="rId52" w:tgtFrame="_blank" w:history="1">
                        <w:r>
                          <w:rPr>
                            <w:bCs/>
                            <w:color w:val="0000FF" w:themeColor="hyperlink"/>
                            <w:szCs w:val="24"/>
                            <w:u w:val="single"/>
                            <w:lang w:eastAsia="lt-LT"/>
                          </w:rPr>
                          <w:t>(ES) 2024/3110</w:t>
                        </w:r>
                      </w:hyperlink>
                      <w:r>
                        <w:rPr>
                          <w:bCs/>
                          <w:szCs w:val="24"/>
                          <w:lang w:eastAsia="lt-LT"/>
                        </w:rPr>
                        <w:t xml:space="preserve"> 95 straipsnyje nustatytomis pereinamojo laikotarpio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 d."/>
                    <w:tag w:val="part_3d929c95add44e8587d1f8c6fe6034d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8a0165781052497f910b4eb9e572af64"/>
                    <w:lock w:val="sdtLocked"/>
                    <w:richText/>
                  </w:sdtPr>
                  <w:sdtContent>
                    <w:p>
                      <w:pPr>
                        <w:tabs>
                          <w:tab w:val="left" w:pos="567"/>
                          <w:tab w:val="left" w:pos="851"/>
                          <w:tab w:val="left" w:pos="1418"/>
                        </w:tabs>
                        <w:spacing w:line="360" w:lineRule="auto"/>
                        <w:ind w:firstLine="720"/>
                        <w:jc w:val="both"/>
                        <w:rPr>
                          <w:szCs w:val="24"/>
                        </w:rPr>
                      </w:pPr>
                      <w:sdt>
                        <w:sdtPr>
                          <w:alias w:val="Numeris"/>
                          <w:tag w:val="nr_8a0165781052497f910b4eb9e572af64"/>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hyperlink r:id="rId5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7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22c9dfdd02b474ebd9760c4cc1fc4b9"/>
                    <w:lock w:val="sdtLocked"/>
                    <w:richText/>
                  </w:sdtPr>
                  <w:sdtContent>
                    <w:p>
                      <w:pPr>
                        <w:tabs>
                          <w:tab w:val="left" w:pos="567"/>
                          <w:tab w:val="left" w:pos="851"/>
                          <w:tab w:val="left" w:pos="1418"/>
                        </w:tabs>
                        <w:spacing w:line="360" w:lineRule="auto"/>
                        <w:ind w:firstLine="720"/>
                        <w:jc w:val="both"/>
                        <w:rPr>
                          <w:szCs w:val="24"/>
                        </w:rPr>
                      </w:pPr>
                      <w:sdt>
                        <w:sdtPr>
                          <w:alias w:val="Numeris"/>
                          <w:tag w:val="nr_f22c9dfdd02b474ebd9760c4cc1fc4b9"/>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hyperlink r:id="rId5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19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3 d."/>
                    <w:tag w:val="part_dde82758aa264986ae733072526ae4d0"/>
                    <w:lock w:val="sdtLocked"/>
                    <w:richText/>
                  </w:sdtPr>
                  <w:sdtContent>
                    <w:p>
                      <w:pPr>
                        <w:tabs>
                          <w:tab w:val="left" w:pos="567"/>
                          <w:tab w:val="left" w:pos="851"/>
                          <w:tab w:val="left" w:pos="1418"/>
                        </w:tabs>
                        <w:spacing w:line="360" w:lineRule="auto"/>
                        <w:ind w:firstLine="720"/>
                        <w:jc w:val="both"/>
                        <w:rPr>
                          <w:szCs w:val="24"/>
                        </w:rPr>
                      </w:pPr>
                      <w:sdt>
                        <w:sdtPr>
                          <w:alias w:val="Numeris"/>
                          <w:tag w:val="nr_dde82758aa264986ae733072526ae4d0"/>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hyperlink r:id="rId5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18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4 d."/>
                    <w:tag w:val="part_a9b339c5d20e42729b4f0041c9f9a6ef"/>
                    <w:lock w:val="sdtLocked"/>
                    <w:richText/>
                  </w:sdtPr>
                  <w:sdtContent>
                    <w:p>
                      <w:pPr>
                        <w:tabs>
                          <w:tab w:val="left" w:pos="567"/>
                          <w:tab w:val="left" w:pos="851"/>
                          <w:tab w:val="left" w:pos="1418"/>
                        </w:tabs>
                        <w:spacing w:line="360" w:lineRule="auto"/>
                        <w:ind w:firstLine="720"/>
                        <w:jc w:val="both"/>
                        <w:rPr>
                          <w:szCs w:val="24"/>
                        </w:rPr>
                      </w:pPr>
                      <w:sdt>
                        <w:sdtPr>
                          <w:alias w:val="Numeris"/>
                          <w:tag w:val="nr_a9b339c5d20e42729b4f0041c9f9a6ef"/>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hyperlink r:id="rId5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10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5 d."/>
                    <w:tag w:val="part_b201d0d29dd8400bb2a8aa34aa99b659"/>
                    <w:lock w:val="sdtLocked"/>
                    <w:richText/>
                  </w:sdtPr>
                  <w:sdtContent>
                    <w:p>
                      <w:pPr>
                        <w:tabs>
                          <w:tab w:val="left" w:pos="567"/>
                          <w:tab w:val="left" w:pos="851"/>
                          <w:tab w:val="left" w:pos="1418"/>
                        </w:tabs>
                        <w:spacing w:line="360" w:lineRule="auto"/>
                        <w:ind w:firstLine="720"/>
                        <w:jc w:val="both"/>
                        <w:rPr>
                          <w:szCs w:val="24"/>
                        </w:rPr>
                      </w:pPr>
                      <w:sdt>
                        <w:sdtPr>
                          <w:alias w:val="Numeris"/>
                          <w:tag w:val="nr_b201d0d29dd8400bb2a8aa34aa99b65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hyperlink r:id="rId5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34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d5b6570beb824bd89f1f538d82b472f1"/>
                    <w:lock w:val="sdtLocked"/>
                    <w:richText/>
                  </w:sdtPr>
                  <w:sdtContent>
                    <w:p>
                      <w:pPr>
                        <w:tabs>
                          <w:tab w:val="left" w:pos="567"/>
                          <w:tab w:val="left" w:pos="851"/>
                          <w:tab w:val="left" w:pos="1418"/>
                        </w:tabs>
                        <w:spacing w:line="360" w:lineRule="auto"/>
                        <w:ind w:firstLine="720"/>
                        <w:jc w:val="both"/>
                        <w:rPr>
                          <w:szCs w:val="24"/>
                        </w:rPr>
                      </w:pPr>
                      <w:sdt>
                        <w:sdtPr>
                          <w:alias w:val="Numeris"/>
                          <w:tag w:val="nr_d5b6570beb824bd89f1f538d82b472f1"/>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hyperlink r:id="rId5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e4eceab6e53d44d292325e2ae496b12c"/>
                    <w:lock w:val="sdtLocked"/>
                    <w:richText/>
                  </w:sdtPr>
                  <w:sdtContent>
                    <w:p>
                      <w:pPr>
                        <w:tabs>
                          <w:tab w:val="left" w:pos="567"/>
                          <w:tab w:val="left" w:pos="851"/>
                          <w:tab w:val="left" w:pos="1418"/>
                        </w:tabs>
                        <w:spacing w:line="360" w:lineRule="auto"/>
                        <w:ind w:firstLine="720"/>
                        <w:jc w:val="both"/>
                        <w:rPr>
                          <w:szCs w:val="24"/>
                        </w:rPr>
                      </w:pPr>
                      <w:sdt>
                        <w:sdtPr>
                          <w:alias w:val="Numeris"/>
                          <w:tag w:val="nr_e4eceab6e53d44d292325e2ae496b12c"/>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9114f502037c42879f624619f8212455"/>
                    <w:lock w:val="sdtLocked"/>
                    <w:richText/>
                  </w:sdtPr>
                  <w:sdtContent>
                    <w:p>
                      <w:pPr>
                        <w:tabs>
                          <w:tab w:val="left" w:pos="567"/>
                          <w:tab w:val="left" w:pos="851"/>
                          <w:tab w:val="left" w:pos="1418"/>
                        </w:tabs>
                        <w:spacing w:line="360" w:lineRule="auto"/>
                        <w:ind w:firstLine="720"/>
                        <w:jc w:val="both"/>
                      </w:pPr>
                      <w:sdt>
                        <w:sdtPr>
                          <w:alias w:val="Numeris"/>
                          <w:tag w:val="nr_9114f502037c42879f624619f8212455"/>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hyperlink r:id="rId59" w:tgtFrame="_blank" w:history="1">
                        <w:r>
                          <w:rPr>
                            <w:bCs/>
                            <w:color w:val="0000FF" w:themeColor="hyperlink"/>
                            <w:szCs w:val="24"/>
                            <w:u w:val="single"/>
                            <w:lang w:eastAsia="lt-LT"/>
                          </w:rPr>
                          <w:t>(ES) 2024/3110</w:t>
                        </w:r>
                      </w:hyperlink>
                      <w:r>
                        <w:rPr>
                          <w:bCs/>
                          <w:szCs w:val="24"/>
                          <w:lang w:eastAsia="lt-LT"/>
                        </w:rPr>
                        <w:t xml:space="preserve"> nustatytiems reikalavimams ir (ar) tikrinant statybos produktų aplinkosauginio tvarumo skaičiavimus</w:t>
                      </w:r>
                      <w:r>
                        <w:rPr>
                          <w:szCs w:val="24"/>
                          <w:lang w:eastAsia="lt-LT"/>
                        </w:rPr>
                        <w:t>.</w:t>
                      </w:r>
                      <w:r>
                        <w:t xml:space="preserve"> </w:t>
                      </w:r>
                    </w:p>
                    <w:p>
                      <w:pPr>
                        <w:tabs>
                          <w:tab w:val="left" w:pos="567"/>
                          <w:tab w:val="left" w:pos="851"/>
                          <w:tab w:val="left" w:pos="1418"/>
                        </w:tabs>
                        <w:spacing w:line="360" w:lineRule="auto"/>
                        <w:jc w:val="both"/>
                      </w:pPr>
                    </w:p>
                    <w:p>
                      <w:pPr>
                        <w:tabs>
                          <w:tab w:val="left" w:pos="567"/>
                          <w:tab w:val="left" w:pos="851"/>
                          <w:tab w:val="left" w:pos="1418"/>
                        </w:tabs>
                        <w:spacing w:line="360" w:lineRule="auto"/>
                        <w:jc w:val="both"/>
                        <w:rPr>
                          <w:b/>
                          <w:i/>
                          <w:sz w:val="20"/>
                        </w:rPr>
                      </w:pPr>
                      <w:r>
                        <w:rPr>
                          <w:b/>
                          <w:i/>
                          <w:sz w:val="20"/>
                        </w:rPr>
                        <w:t>TAR pastaba. 2 straipsnio 34 dalies redakcija nuo 2026-12-31:</w:t>
                      </w:r>
                    </w:p>
                    <w:p>
                      <w:pPr>
                        <w:tabs>
                          <w:tab w:val="left" w:pos="567"/>
                          <w:tab w:val="left" w:pos="851"/>
                          <w:tab w:val="left" w:pos="1418"/>
                        </w:tabs>
                        <w:spacing w:line="360" w:lineRule="auto"/>
                        <w:ind w:firstLine="720"/>
                        <w:jc w:val="both"/>
                        <w:rPr>
                          <w:szCs w:val="24"/>
                        </w:rPr>
                      </w:pPr>
                      <w:r>
                        <w:rPr>
                          <w:szCs w:val="24"/>
                        </w:rPr>
                        <w:t xml:space="preserve">34.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hyperlink r:id="rId60" w:tgtFrame="_blank" w:history="1">
                        <w:r>
                          <w:rPr>
                            <w:color w:val="0000FF" w:themeColor="hyperlink"/>
                            <w:szCs w:val="24"/>
                            <w:u w:val="single"/>
                            <w:lang w:eastAsia="lt-LT"/>
                          </w:rPr>
                          <w:t>(ES) 2024/3110</w:t>
                        </w:r>
                      </w:hyperlink>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hyperlink r:id="rId61" w:tgtFrame="_blank" w:history="1">
                        <w:r>
                          <w:rPr>
                            <w:bCs/>
                            <w:color w:val="0000FF" w:themeColor="hyperlink"/>
                            <w:szCs w:val="24"/>
                            <w:u w:val="single"/>
                            <w:lang w:eastAsia="lt-LT"/>
                          </w:rPr>
                          <w:t>(ES) 2020/2184</w:t>
                        </w:r>
                      </w:hyperlink>
                      <w:r>
                        <w:rPr>
                          <w:bCs/>
                          <w:szCs w:val="24"/>
                          <w:lang w:eastAsia="lt-LT"/>
                        </w:rPr>
                        <w:t xml:space="preserve"> dėl žmonėms vartoti skirto vandens kokybės (nauja redakcija) 11 straipsnio 2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f265c768385649e1a309e026b65e083f"/>
                    <w:lock w:val="sdtLocked"/>
                    <w:richText/>
                  </w:sdtPr>
                  <w:sdtContent>
                    <w:p>
                      <w:pPr>
                        <w:spacing w:line="360" w:lineRule="auto"/>
                        <w:ind w:firstLine="720"/>
                        <w:jc w:val="both"/>
                        <w:textAlignment w:val="baseline"/>
                        <w:rPr>
                          <w:szCs w:val="24"/>
                        </w:rPr>
                      </w:pPr>
                      <w:sdt>
                        <w:sdtPr>
                          <w:alias w:val="Numeris"/>
                          <w:tag w:val="nr_f265c768385649e1a309e026b65e083f"/>
                          <w:lock w:val="sdtLocked"/>
                          <w:richText/>
                        </w:sdtPr>
                        <w:sdtContent>
                          <w:r>
                            <w:rPr>
                              <w:rFonts w:eastAsia="Times"/>
                              <w:szCs w:val="24"/>
                              <w:lang w:eastAsia="lt-LT"/>
                            </w:rPr>
                            <w:t>38</w:t>
                          </w:r>
                        </w:sdtContent>
                      </w:sdt>
                      <w:r>
                        <w:rPr>
                          <w:rFonts w:eastAsia="Times"/>
                          <w:szCs w:val="24"/>
                          <w:lang w:eastAsia="lt-LT"/>
                        </w:rPr>
                        <w:t xml:space="preserve">. </w:t>
                      </w:r>
                      <w:r>
                        <w:rPr>
                          <w:rFonts w:eastAsia="Times"/>
                          <w:b/>
                          <w:bCs/>
                          <w:szCs w:val="24"/>
                          <w:lang w:eastAsia="lt-LT"/>
                        </w:rPr>
                        <w:t>Pastato atnaujinimas (modernizavimas)</w:t>
                      </w:r>
                      <w:r>
                        <w:rPr>
                          <w:rFonts w:eastAsia="Times"/>
                          <w:szCs w:val="24"/>
                          <w:lang w:eastAsia="lt-LT"/>
                        </w:rPr>
                        <w:t xml:space="preserve"> – Lietuvos Respublikos valstybės biudžeto lėšomis, įskaitant Europos Sąjungos ir kitos tarptautinės finansinės paramos ir bendrojo finansavimo lėšas, valstybės vardu pasiskolintomis arba valstybės garantuotų paskolų lėšomis, valstybės pinigų fondų lėšomis, savivaldybių biudžetų lėšomis finansuojami pastato projektavimo ir statybos darbai, kurie aplinkos ministro nustatyta tvarka atliekami vienu ar keliais etapais ir kuriais atkuriamos ar pagerinamos pastato ir (ar) jo inžinerinių sistemų fizinės ir energinės savybės, ir (ar) kuriais užtikrinamas iš atsinaujinančių energijos šaltinių gaunamos energijos 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36727ba869284f83bd2bd48199d62d89"/>
                    <w:lock w:val="sdtLocked"/>
                    <w:richText/>
                  </w:sdtPr>
                  <w:sdtContent>
                    <w:p>
                      <w:pPr>
                        <w:tabs>
                          <w:tab w:val="left" w:pos="567"/>
                          <w:tab w:val="left" w:pos="851"/>
                          <w:tab w:val="left" w:pos="1418"/>
                        </w:tabs>
                        <w:spacing w:line="360" w:lineRule="auto"/>
                        <w:ind w:firstLine="720"/>
                        <w:jc w:val="both"/>
                        <w:rPr>
                          <w:szCs w:val="24"/>
                        </w:rPr>
                      </w:pPr>
                      <w:sdt>
                        <w:sdtPr>
                          <w:alias w:val="Numeris"/>
                          <w:tag w:val="nr_36727ba869284f83bd2bd48199d62d89"/>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hyperlink r:id="rId6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4bca711211164cf4be0db7b517c4964b"/>
                    <w:lock w:val="sdtLocked"/>
                    <w:richText/>
                  </w:sdtPr>
                  <w:sdtContent>
                    <w:p>
                      <w:pPr>
                        <w:tabs>
                          <w:tab w:val="left" w:pos="567"/>
                          <w:tab w:val="left" w:pos="851"/>
                          <w:tab w:val="left" w:pos="1418"/>
                        </w:tabs>
                        <w:spacing w:line="360" w:lineRule="auto"/>
                        <w:ind w:firstLine="720"/>
                        <w:jc w:val="both"/>
                        <w:rPr>
                          <w:szCs w:val="24"/>
                        </w:rPr>
                      </w:pPr>
                      <w:sdt>
                        <w:sdtPr>
                          <w:alias w:val="Numeris"/>
                          <w:tag w:val="nr_4bca711211164cf4be0db7b517c4964b"/>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hyperlink r:id="rId6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9d2123888a4f4d358bce495fd69330d7"/>
                    <w:lock w:val="sdtLocked"/>
                    <w:richText/>
                  </w:sdtPr>
                  <w:sdtContent>
                    <w:p>
                      <w:pPr>
                        <w:tabs>
                          <w:tab w:val="left" w:pos="567"/>
                          <w:tab w:val="left" w:pos="851"/>
                          <w:tab w:val="left" w:pos="1418"/>
                        </w:tabs>
                        <w:spacing w:line="360" w:lineRule="auto"/>
                        <w:ind w:firstLine="720"/>
                        <w:jc w:val="both"/>
                        <w:rPr>
                          <w:szCs w:val="24"/>
                        </w:rPr>
                      </w:pPr>
                      <w:sdt>
                        <w:sdtPr>
                          <w:alias w:val="Numeris"/>
                          <w:tag w:val="nr_9d2123888a4f4d358bce495fd69330d7"/>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hyperlink r:id="rId6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8083c9085c904a7eab1c51262a0adc5d"/>
                    <w:lock w:val="sdtLocked"/>
                    <w:richText/>
                  </w:sdtPr>
                  <w:sdtContent>
                    <w:p>
                      <w:pPr>
                        <w:tabs>
                          <w:tab w:val="left" w:pos="567"/>
                          <w:tab w:val="left" w:pos="851"/>
                          <w:tab w:val="left" w:pos="1418"/>
                        </w:tabs>
                        <w:spacing w:line="360" w:lineRule="auto"/>
                        <w:ind w:firstLine="720"/>
                        <w:jc w:val="both"/>
                        <w:rPr>
                          <w:szCs w:val="24"/>
                        </w:rPr>
                      </w:pPr>
                      <w:sdt>
                        <w:sdtPr>
                          <w:alias w:val="Numeris"/>
                          <w:tag w:val="nr_8083c9085c904a7eab1c51262a0adc5d"/>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hyperlink r:id="rId6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96193ed2eb54b9bafcee7eeb70adc83"/>
                    <w:lock w:val="sdtLocked"/>
                    <w:richText/>
                  </w:sdtPr>
                  <w:sdtContent>
                    <w:p>
                      <w:pPr>
                        <w:tabs>
                          <w:tab w:val="left" w:pos="567"/>
                          <w:tab w:val="left" w:pos="851"/>
                          <w:tab w:val="left" w:pos="1418"/>
                        </w:tabs>
                        <w:spacing w:line="360" w:lineRule="auto"/>
                        <w:ind w:firstLine="720"/>
                        <w:jc w:val="both"/>
                        <w:rPr>
                          <w:szCs w:val="24"/>
                        </w:rPr>
                      </w:pPr>
                      <w:sdt>
                        <w:sdtPr>
                          <w:alias w:val="Numeris"/>
                          <w:tag w:val="nr_796193ed2eb54b9bafcee7eeb70adc83"/>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hyperlink r:id="rId6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 per visą statinio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6901ad3230ee4a46b8bf503795f9ec3e"/>
                    <w:lock w:val="sdtLocked"/>
                    <w:richText/>
                  </w:sdtPr>
                  <w:sdtContent>
                    <w:p>
                      <w:pPr>
                        <w:tabs>
                          <w:tab w:val="left" w:pos="567"/>
                          <w:tab w:val="left" w:pos="851"/>
                          <w:tab w:val="left" w:pos="1418"/>
                        </w:tabs>
                        <w:spacing w:line="360" w:lineRule="auto"/>
                        <w:ind w:firstLine="720"/>
                        <w:jc w:val="both"/>
                        <w:rPr>
                          <w:szCs w:val="24"/>
                        </w:rPr>
                      </w:pPr>
                      <w:sdt>
                        <w:sdtPr>
                          <w:alias w:val="Numeris"/>
                          <w:tag w:val="nr_6901ad3230ee4a46b8bf503795f9ec3e"/>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hyperlink r:id="rId6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5 d."/>
                    <w:tag w:val="part_acad14530c6b4a488f5ab3b065119752"/>
                    <w:lock w:val="sdtLocked"/>
                    <w:richText/>
                  </w:sdtPr>
                  <w:sdtContent>
                    <w:p>
                      <w:pPr>
                        <w:tabs>
                          <w:tab w:val="left" w:pos="567"/>
                          <w:tab w:val="left" w:pos="851"/>
                          <w:tab w:val="left" w:pos="1418"/>
                        </w:tabs>
                        <w:spacing w:line="360" w:lineRule="auto"/>
                        <w:ind w:firstLine="720"/>
                        <w:jc w:val="both"/>
                        <w:rPr>
                          <w:szCs w:val="24"/>
                        </w:rPr>
                      </w:pPr>
                      <w:sdt>
                        <w:sdtPr>
                          <w:alias w:val="Numeris"/>
                          <w:tag w:val="nr_acad14530c6b4a488f5ab3b065119752"/>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hyperlink r:id="rId6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5e6412f01f194e719e90e7d07ec1d424"/>
                    <w:lock w:val="sdtLocked"/>
                    <w:richText/>
                  </w:sdtPr>
                  <w:sdtContent>
                    <w:p>
                      <w:pPr>
                        <w:tabs>
                          <w:tab w:val="left" w:pos="567"/>
                          <w:tab w:val="left" w:pos="851"/>
                          <w:tab w:val="left" w:pos="1418"/>
                        </w:tabs>
                        <w:spacing w:line="360" w:lineRule="auto"/>
                        <w:ind w:firstLine="720"/>
                        <w:jc w:val="both"/>
                        <w:rPr>
                          <w:szCs w:val="24"/>
                        </w:rPr>
                      </w:pPr>
                      <w:sdt>
                        <w:sdtPr>
                          <w:alias w:val="Numeris"/>
                          <w:tag w:val="nr_5e6412f01f194e719e90e7d07ec1d424"/>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6b802e959c9a408ea4076f645661aa26"/>
                    <w:lock w:val="sdtLocked"/>
                    <w:richText/>
                  </w:sdtPr>
                  <w:sdtContent>
                    <w:p>
                      <w:pPr>
                        <w:tabs>
                          <w:tab w:val="left" w:pos="567"/>
                          <w:tab w:val="left" w:pos="851"/>
                          <w:tab w:val="left" w:pos="1418"/>
                        </w:tabs>
                        <w:spacing w:line="360" w:lineRule="auto"/>
                        <w:ind w:firstLine="720"/>
                        <w:jc w:val="both"/>
                        <w:rPr>
                          <w:szCs w:val="24"/>
                        </w:rPr>
                      </w:pPr>
                      <w:sdt>
                        <w:sdtPr>
                          <w:alias w:val="Numeris"/>
                          <w:tag w:val="nr_6b802e959c9a408ea4076f645661aa26"/>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hyperlink r:id="rId6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4 punkte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111-1 d."/>
                    <w:tag w:val="part_5c1ac1d9797e4ef6b5e6f6d92f28a8b5"/>
                    <w:lock w:val="sdtLocked"/>
                    <w:richText/>
                  </w:sdtPr>
                  <w:sdtContent>
                    <w:p>
                      <w:pPr>
                        <w:spacing w:line="360" w:lineRule="auto"/>
                        <w:ind w:firstLine="720"/>
                        <w:jc w:val="both"/>
                        <w:textAlignment w:val="baseline"/>
                        <w:rPr>
                          <w:szCs w:val="24"/>
                        </w:rPr>
                      </w:pPr>
                      <w:sdt>
                        <w:sdtPr>
                          <w:alias w:val="Numeris"/>
                          <w:tag w:val="nr_5c1ac1d9797e4ef6b5e6f6d92f28a8b5"/>
                          <w:lock w:val="sdtLocked"/>
                          <w:richText/>
                        </w:sdtPr>
                        <w:sdtContent>
                          <w:r>
                            <w:rPr>
                              <w:szCs w:val="24"/>
                              <w:lang w:eastAsia="lt-LT"/>
                            </w:rPr>
                            <w:t>111</w:t>
                          </w:r>
                          <w:r>
                            <w:rPr>
                              <w:szCs w:val="24"/>
                              <w:vertAlign w:val="superscript"/>
                              <w:lang w:eastAsia="lt-LT"/>
                            </w:rPr>
                            <w:t>1</w:t>
                          </w:r>
                        </w:sdtContent>
                      </w:sdt>
                      <w:r>
                        <w:rPr>
                          <w:szCs w:val="24"/>
                          <w:lang w:eastAsia="lt-LT"/>
                        </w:rPr>
                        <w:t xml:space="preserve">. </w:t>
                      </w:r>
                      <w:r>
                        <w:rPr>
                          <w:b/>
                          <w:bCs/>
                          <w:szCs w:val="24"/>
                          <w:lang w:eastAsia="lt-LT"/>
                        </w:rPr>
                        <w:t>Visai netaršus pastatas</w:t>
                      </w:r>
                      <w:r>
                        <w:rPr>
                          <w:szCs w:val="24"/>
                          <w:lang w:eastAsia="lt-LT"/>
                        </w:rPr>
                        <w:t xml:space="preserve"> – labai didelio energinio naudingumo pastatas, kuriam reikalingas labai mažas energijos kiekis ir kuris visai neišskiria anglies dioksido iš iškastinio kuro, o jį eksploatuojant išmetamas šiltnamio efektą sukeliančių dujų kiekis yra nulinis arba labai mažas pagal aplinkos ministro tvirtinamuose normatyviniuose statybos techniniuose dokumentuose nustatytus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01975fccda1c4525bfd359c705a2be99"/>
                    <w:lock w:val="sdtLocked"/>
                    <w:richText/>
                  </w:sdtPr>
                  <w:sdtContent>
                    <w:p>
                      <w:pPr>
                        <w:spacing w:line="360" w:lineRule="auto"/>
                        <w:ind w:firstLine="720"/>
                        <w:jc w:val="both"/>
                        <w:textAlignment w:val="baseline"/>
                        <w:rPr>
                          <w:szCs w:val="24"/>
                          <w:lang w:eastAsia="lt-LT"/>
                        </w:rPr>
                      </w:pPr>
                      <w:sdt>
                        <w:sdtPr>
                          <w:alias w:val="Numeris"/>
                          <w:tag w:val="nr_01975fccda1c4525bfd359c705a2be99"/>
                          <w:lock w:val="sdtLocked"/>
                          <w:richText/>
                        </w:sdtPr>
                        <w:sdtContent>
                          <w:r>
                            <w:rPr>
                              <w:szCs w:val="24"/>
                              <w:lang w:eastAsia="lt-LT"/>
                            </w:rPr>
                            <w:t>113</w:t>
                          </w:r>
                        </w:sdtContent>
                      </w:sdt>
                      <w:r>
                        <w:rPr>
                          <w:szCs w:val="24"/>
                          <w:lang w:eastAsia="lt-LT"/>
                        </w:rPr>
                        <w:t>. Kitos šiame įstatyme vartojamos sąvokos suprantamos taip, kaip apibrėžiamos Architektūros įstatyme, Lietuvos Respublikos architektų rūmų įstatyme, Lietuvos Respublikos atsinaujinančių išteklių energetikos įstatyme, Lietuvos Respublikos autorių teisių ir gretutinių teisių įstatyme, Lietuvos Respublikos biudžeto sandaros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iždo įstatyme, Lietuvos Respublikos valstybės ir tarnybos paslapčių įstatyme, Lietuvos Respublikos valstybės skolos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aad9ceda957d4d989ffea4f3da39243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aad9ceda957d4d989ffea4f3da39243e"/>
                      <w:lock w:val="sdtLocked"/>
                      <w:richText/>
                    </w:sdtPr>
                    <w:sdtContent>
                      <w:r>
                        <w:rPr>
                          <w:b/>
                          <w:szCs w:val="24"/>
                          <w:lang w:eastAsia="lt-LT"/>
                        </w:rPr>
                        <w:t>4</w:t>
                      </w:r>
                    </w:sdtContent>
                  </w:sdt>
                  <w:r>
                    <w:rPr>
                      <w:b/>
                      <w:szCs w:val="24"/>
                      <w:lang w:eastAsia="lt-LT"/>
                    </w:rPr>
                    <w:t xml:space="preserve"> straipsnis. </w:t>
                  </w:r>
                  <w:sdt>
                    <w:sdtPr>
                      <w:alias w:val="Pavadinimas"/>
                      <w:tag w:val="title_aad9ceda957d4d989ffea4f3da39243e"/>
                      <w:lock w:val="sdtLocked"/>
                      <w:richText/>
                    </w:sdtPr>
                    <w:sdtContent>
                      <w:r>
                        <w:rPr>
                          <w:b/>
                          <w:szCs w:val="24"/>
                          <w:lang w:eastAsia="lt-LT"/>
                        </w:rPr>
                        <w:t>Esminiai statinių reikalavimai</w:t>
                      </w:r>
                    </w:sdtContent>
                  </w:sdt>
                </w:p>
                <w:sdt>
                  <w:sdtPr>
                    <w:alias w:val="4 str. 1 d."/>
                    <w:tag w:val="part_630ac2ed59a344f6b95a08912b4ecee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30ac2ed59a344f6b95a08912b4ecee2"/>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hyperlink r:id="rId8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sdtContent>
                </w:sdt>
                <w:sdt>
                  <w:sdtPr>
                    <w:alias w:val="4 str. 2 d."/>
                    <w:tag w:val="part_d7f7800e298446d78d6861a8ac200f9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7f7800e298446d78d6861a8ac200f9e"/>
                          <w:lock w:val="sdtLocked"/>
                          <w:richText/>
                        </w:sdtPr>
                        <w:sdtContent>
                          <w:r>
                            <w:rPr>
                              <w:szCs w:val="24"/>
                              <w:lang w:eastAsia="lt-LT"/>
                            </w:rPr>
                            <w:t>2</w:t>
                          </w:r>
                        </w:sdtContent>
                      </w:sdt>
                      <w:r>
                        <w:rPr>
                          <w:szCs w:val="24"/>
                          <w:lang w:eastAsia="lt-LT"/>
                        </w:rPr>
                        <w:t xml:space="preserve">. Reglamente </w:t>
                      </w:r>
                      <w:hyperlink r:id="rId8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8e712bd2d734b27abab829d075a2aff"/>
                    <w:lock w:val="sdtLocked"/>
                    <w:richText/>
                  </w:sdtPr>
                  <w:sdtContent>
                    <w:p>
                      <w:pPr>
                        <w:tabs>
                          <w:tab w:val="left" w:pos="567"/>
                          <w:tab w:val="left" w:pos="851"/>
                          <w:tab w:val="left" w:pos="1418"/>
                        </w:tabs>
                        <w:spacing w:line="360" w:lineRule="auto"/>
                        <w:ind w:firstLine="720"/>
                        <w:jc w:val="both"/>
                        <w:rPr>
                          <w:szCs w:val="24"/>
                        </w:rPr>
                      </w:pPr>
                      <w:sdt>
                        <w:sdtPr>
                          <w:alias w:val="Numeris"/>
                          <w:tag w:val="nr_c8e712bd2d734b27abab829d075a2af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a98fe1d4e6d841b482e2f2089c313bba"/>
                        <w:lock w:val="sdtLocked"/>
                        <w:richText/>
                      </w:sdtPr>
                      <w:sdtContent>
                        <w:p>
                          <w:pPr>
                            <w:tabs>
                              <w:tab w:val="left" w:pos="567"/>
                              <w:tab w:val="left" w:pos="851"/>
                              <w:tab w:val="left" w:pos="1418"/>
                            </w:tabs>
                            <w:spacing w:line="360" w:lineRule="auto"/>
                            <w:ind w:firstLine="720"/>
                            <w:jc w:val="both"/>
                            <w:rPr>
                              <w:szCs w:val="24"/>
                            </w:rPr>
                          </w:pPr>
                          <w:sdt>
                            <w:sdtPr>
                              <w:alias w:val="Numeris"/>
                              <w:tag w:val="nr_a98fe1d4e6d841b482e2f2089c313bba"/>
                              <w:lock w:val="sdtLocked"/>
                              <w:richText/>
                            </w:sdtPr>
                            <w:sdtContent>
                              <w:r>
                                <w:rPr>
                                  <w:szCs w:val="24"/>
                                  <w:lang w:eastAsia="lt-LT"/>
                                </w:rPr>
                                <w:t>1</w:t>
                              </w:r>
                            </w:sdtContent>
                          </w:sdt>
                          <w:r>
                            <w:rPr>
                              <w:szCs w:val="24"/>
                              <w:lang w:eastAsia="lt-LT"/>
                            </w:rPr>
                            <w:t xml:space="preserve">) ji neprieštarautų esminiams statinių reikalavimams, nustatytiems Reglamente </w:t>
                          </w:r>
                          <w:hyperlink r:id="rId7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3f9d168daac04f9eaf29a5e5411bda47"/>
                    <w:lock w:val="sdtLocked"/>
                    <w:richText/>
                  </w:sdtPr>
                  <w:sdtContent>
                    <w:p>
                      <w:pPr>
                        <w:tabs>
                          <w:tab w:val="left" w:pos="567"/>
                          <w:tab w:val="left" w:pos="851"/>
                          <w:tab w:val="left" w:pos="1418"/>
                        </w:tabs>
                        <w:spacing w:line="360" w:lineRule="auto"/>
                        <w:ind w:firstLine="720"/>
                        <w:jc w:val="both"/>
                        <w:rPr>
                          <w:szCs w:val="24"/>
                        </w:rPr>
                      </w:pPr>
                      <w:sdt>
                        <w:sdtPr>
                          <w:alias w:val="Numeris"/>
                          <w:tag w:val="nr_3f9d168daac04f9eaf29a5e5411bda47"/>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hyperlink r:id="rId7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3394c32b5dc41ed99613d9241fda9fd"/>
                        <w:lock w:val="sdtLocked"/>
                        <w:richText/>
                      </w:sdtPr>
                      <w:sdtContent>
                        <w:p>
                          <w:pPr>
                            <w:tabs>
                              <w:tab w:val="left" w:pos="567"/>
                              <w:tab w:val="left" w:pos="851"/>
                              <w:tab w:val="left" w:pos="1418"/>
                            </w:tabs>
                            <w:spacing w:line="360" w:lineRule="auto"/>
                            <w:ind w:firstLine="720"/>
                            <w:jc w:val="both"/>
                            <w:rPr>
                              <w:szCs w:val="24"/>
                            </w:rPr>
                          </w:pPr>
                          <w:sdt>
                            <w:sdtPr>
                              <w:alias w:val="Numeris"/>
                              <w:tag w:val="nr_93394c32b5dc41ed99613d9241fda9fd"/>
                              <w:lock w:val="sdtLocked"/>
                              <w:richText/>
                            </w:sdtPr>
                            <w:sdtContent>
                              <w:r>
                                <w:rPr>
                                  <w:szCs w:val="24"/>
                                  <w:lang w:eastAsia="lt-LT"/>
                                </w:rPr>
                                <w:t>4</w:t>
                              </w:r>
                            </w:sdtContent>
                          </w:sdt>
                          <w:r>
                            <w:rPr>
                              <w:szCs w:val="24"/>
                              <w:lang w:eastAsia="lt-LT"/>
                            </w:rPr>
                            <w:t xml:space="preserve">) techniniai įvertinimai – Reglamente </w:t>
                          </w:r>
                          <w:hyperlink r:id="rId7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3a6ef1130fc74348a6112b7e45d7af90"/>
                    <w:lock w:val="sdtLocked"/>
                    <w:richText/>
                  </w:sdtPr>
                  <w:sdtContent>
                    <w:p>
                      <w:pPr>
                        <w:tabs>
                          <w:tab w:val="left" w:pos="567"/>
                          <w:tab w:val="left" w:pos="851"/>
                          <w:tab w:val="left" w:pos="1418"/>
                        </w:tabs>
                        <w:spacing w:line="360" w:lineRule="auto"/>
                        <w:ind w:firstLine="720"/>
                        <w:jc w:val="both"/>
                        <w:rPr>
                          <w:szCs w:val="24"/>
                        </w:rPr>
                      </w:pPr>
                      <w:sdt>
                        <w:sdtPr>
                          <w:alias w:val="Numeris"/>
                          <w:tag w:val="nr_3a6ef1130fc74348a6112b7e45d7af90"/>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hyperlink r:id="rId7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43faa15b34824196aeb13d91567f7dc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3faa15b34824196aeb13d91567f7dc9"/>
                      <w:lock w:val="sdtLocked"/>
                      <w:richText/>
                    </w:sdtPr>
                    <w:sdtContent>
                      <w:r>
                        <w:rPr>
                          <w:b/>
                          <w:szCs w:val="24"/>
                          <w:lang w:eastAsia="lt-LT"/>
                        </w:rPr>
                        <w:t>10</w:t>
                      </w:r>
                    </w:sdtContent>
                  </w:sdt>
                  <w:r>
                    <w:rPr>
                      <w:b/>
                      <w:szCs w:val="24"/>
                      <w:lang w:eastAsia="lt-LT"/>
                    </w:rPr>
                    <w:t xml:space="preserve"> straipsnis. </w:t>
                  </w:r>
                  <w:sdt>
                    <w:sdtPr>
                      <w:alias w:val="Pavadinimas"/>
                      <w:tag w:val="title_43faa15b34824196aeb13d91567f7dc9"/>
                      <w:lock w:val="sdtLocked"/>
                      <w:richText/>
                    </w:sdtPr>
                    <w:sdtContent>
                      <w:r>
                        <w:rPr>
                          <w:b/>
                          <w:szCs w:val="24"/>
                          <w:lang w:eastAsia="lt-LT"/>
                        </w:rPr>
                        <w:t>Statybos srities gaminių kontaktinis centras</w:t>
                      </w:r>
                    </w:sdtContent>
                  </w:sdt>
                </w:p>
                <w:sdt>
                  <w:sdtPr>
                    <w:alias w:val="10 str. 1 d."/>
                    <w:tag w:val="part_d8512152f6d94c049a74ffef8dabab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8512152f6d94c049a74ffef8dabab30"/>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hyperlink r:id="rId85" w:tgtFrame="_blank" w:history="1">
                        <w:r>
                          <w:rPr>
                            <w:bCs/>
                            <w:color w:val="0000FF" w:themeColor="hyperlink"/>
                            <w:szCs w:val="24"/>
                            <w:u w:val="single"/>
                            <w:lang w:eastAsia="lt-LT"/>
                          </w:rPr>
                          <w:t>(ES) 2024/3110</w:t>
                        </w:r>
                      </w:hyperlink>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c6dd2af591a84e39b66ac17c97f361f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c6dd2af591a84e39b66ac17c97f361f4"/>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be1c4abb34614f2d9a394744583f5fa5"/>
                    <w:lock w:val="sdtLocked"/>
                    <w:richText/>
                  </w:sdtPr>
                  <w:sdtContent>
                    <w:p>
                      <w:pPr>
                        <w:tabs>
                          <w:tab w:val="left" w:pos="567"/>
                          <w:tab w:val="left" w:pos="851"/>
                          <w:tab w:val="left" w:pos="1418"/>
                        </w:tabs>
                        <w:spacing w:line="360" w:lineRule="auto"/>
                        <w:ind w:firstLine="720"/>
                        <w:jc w:val="both"/>
                        <w:rPr>
                          <w:szCs w:val="24"/>
                        </w:rPr>
                      </w:pPr>
                      <w:sdt>
                        <w:sdtPr>
                          <w:alias w:val="Numeris"/>
                          <w:tag w:val="nr_be1c4abb34614f2d9a394744583f5fa5"/>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hyperlink r:id="rId86" w:tgtFrame="_blank" w:history="1">
                        <w:r>
                          <w:rPr>
                            <w:bCs/>
                            <w:color w:val="0000FF" w:themeColor="hyperlink"/>
                            <w:szCs w:val="24"/>
                            <w:u w:val="single"/>
                            <w:lang w:eastAsia="lt-LT"/>
                          </w:rPr>
                          <w:t>(ES) 2018/1724</w:t>
                        </w:r>
                      </w:hyperlink>
                      <w:r>
                        <w:rPr>
                          <w:bCs/>
                          <w:szCs w:val="24"/>
                          <w:lang w:eastAsia="lt-LT"/>
                        </w:rPr>
                        <w:t xml:space="preserve">, kuriuo sukuriami bendrieji skaitmeniniai vartai, skirti suteikti prieigą prie informacijos, procedūrų ir pagalbos bei problemų sprendimo paslaugų, ir kuriuo iš dalies keičiamas Reglamentas </w:t>
                      </w:r>
                      <w:hyperlink r:id="rId87" w:tgtFrame="_blank" w:history="1">
                        <w:r>
                          <w:rPr>
                            <w:bCs/>
                            <w:color w:val="0000FF" w:themeColor="hyperlink"/>
                            <w:szCs w:val="24"/>
                            <w:u w:val="single"/>
                            <w:lang w:eastAsia="lt-LT"/>
                          </w:rPr>
                          <w:t>(ES) Nr. 1024/2012</w:t>
                        </w:r>
                      </w:hyperlink>
                      <w:r>
                        <w:rPr>
                          <w:bCs/>
                          <w:szCs w:val="24"/>
                          <w:lang w:eastAsia="lt-LT"/>
                        </w:rPr>
                        <w:t>, su visais pakeitimais.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 str."/>
                <w:tag w:val="part_fd47e6b5091d49ea87dcf318b39cfb3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fd47e6b5091d49ea87dcf318b39cfb31"/>
                      <w:lock w:val="sdtLocked"/>
                      <w:richText/>
                    </w:sdtPr>
                    <w:sdtContent>
                      <w:r>
                        <w:rPr>
                          <w:b/>
                          <w:szCs w:val="24"/>
                          <w:lang w:eastAsia="lt-LT"/>
                        </w:rPr>
                        <w:t>11</w:t>
                      </w:r>
                    </w:sdtContent>
                  </w:sdt>
                  <w:r>
                    <w:rPr>
                      <w:b/>
                      <w:szCs w:val="24"/>
                      <w:lang w:eastAsia="lt-LT"/>
                    </w:rPr>
                    <w:t xml:space="preserve"> straipsnis. </w:t>
                  </w:r>
                  <w:sdt>
                    <w:sdtPr>
                      <w:alias w:val="Pavadinimas"/>
                      <w:tag w:val="title_fd47e6b5091d49ea87dcf318b39cfb31"/>
                      <w:lock w:val="sdtLocked"/>
                      <w:richText/>
                    </w:sdtPr>
                    <w:sdtContent>
                      <w:r>
                        <w:rPr>
                          <w:b/>
                          <w:szCs w:val="24"/>
                          <w:lang w:eastAsia="lt-LT"/>
                        </w:rPr>
                        <w:t>Kontaktinio centro ir valstybės institucijų bendradarbiavimas</w:t>
                      </w:r>
                    </w:sdtContent>
                  </w:sdt>
                </w:p>
                <w:sdt>
                  <w:sdtPr>
                    <w:alias w:val="11 str. 1 d."/>
                    <w:tag w:val="part_e3753126ba9449ef8bff1864d13af2f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3753126ba9449ef8bff1864d13af2f9"/>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2e88df6d311c4ac1bf42f5de7a5c781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e88df6d311c4ac1bf42f5de7a5c781b"/>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hyperlink r:id="rId8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60b8b885d911475d8147da39116c67b5"/>
                    <w:lock w:val="sdtLocked"/>
                    <w:richText/>
                  </w:sdtPr>
                  <w:sdtContent>
                    <w:p>
                      <w:pPr>
                        <w:tabs>
                          <w:tab w:val="left" w:pos="567"/>
                          <w:tab w:val="left" w:pos="851"/>
                          <w:tab w:val="left" w:pos="1418"/>
                        </w:tabs>
                        <w:spacing w:line="360" w:lineRule="auto"/>
                        <w:ind w:firstLine="720"/>
                        <w:jc w:val="both"/>
                      </w:pPr>
                      <w:sdt>
                        <w:sdtPr>
                          <w:alias w:val="Numeris"/>
                          <w:tag w:val="nr_60b8b885d911475d8147da39116c67b5"/>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hyperlink r:id="rId8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72 straipsnio 2 dalyje</w:t>
                      </w:r>
                      <w:r>
                        <w:rPr>
                          <w:szCs w:val="24"/>
                          <w:lang w:eastAsia="lt-LT"/>
                        </w:rPr>
                        <w:t xml:space="preserve"> nustatytą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12 p."/>
                        <w:tag w:val="part_e7cb8b9bb4c347c48245c6f4e4472000"/>
                        <w:lock w:val="sdtLocked"/>
                        <w:richText/>
                      </w:sdtPr>
                      <w:sdtContent>
                        <w:p>
                          <w:pPr>
                            <w:spacing w:line="360" w:lineRule="auto"/>
                            <w:ind w:firstLine="720"/>
                            <w:jc w:val="both"/>
                            <w:rPr>
                              <w:bCs/>
                              <w:szCs w:val="24"/>
                              <w:lang w:eastAsia="lt-LT"/>
                            </w:rPr>
                          </w:pPr>
                          <w:sdt>
                            <w:sdtPr>
                              <w:alias w:val="Numeris"/>
                              <w:tag w:val="nr_e7cb8b9bb4c347c48245c6f4e4472000"/>
                              <w:lock w:val="sdtLocked"/>
                              <w:richText/>
                            </w:sdtPr>
                            <w:sdtContent>
                              <w:r>
                                <w:rPr>
                                  <w:szCs w:val="24"/>
                                </w:rPr>
                                <w:t>12</w:t>
                              </w:r>
                            </w:sdtContent>
                          </w:sdt>
                          <w:r>
                            <w:rPr>
                              <w:szCs w:val="24"/>
                            </w:rPr>
                            <w:t>) organizuoja su pastatų energiniu naudingumu susijusių duomenų tvarkymą, jų analizę ir viešą prieinamumą;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d. 13 p."/>
                        <w:tag w:val="part_f52c1468adcb417baec2b265608c2f2a"/>
                        <w:lock w:val="sdtLocked"/>
                        <w:richText/>
                      </w:sdtPr>
                      <w:sdtContent>
                        <w:p>
                          <w:pPr>
                            <w:spacing w:line="360" w:lineRule="auto"/>
                            <w:ind w:firstLine="709"/>
                            <w:jc w:val="both"/>
                            <w:textAlignment w:val="baseline"/>
                          </w:pPr>
                          <w:sdt>
                            <w:sdtPr>
                              <w:alias w:val="Numeris"/>
                              <w:tag w:val="nr_f52c1468adcb417baec2b265608c2f2a"/>
                              <w:lock w:val="sdtLocked"/>
                              <w:richText/>
                            </w:sdtPr>
                            <w:sdtContent>
                              <w:r>
                                <w:rPr>
                                  <w:bCs/>
                                  <w:szCs w:val="24"/>
                                  <w:lang w:eastAsia="lt-LT"/>
                                </w:rPr>
                                <w:t>13</w:t>
                              </w:r>
                            </w:sdtContent>
                          </w:sdt>
                          <w:r>
                            <w:rPr>
                              <w:bCs/>
                              <w:szCs w:val="24"/>
                              <w:lang w:eastAsia="lt-LT"/>
                            </w:rPr>
                            <w:t>) atlieka šiame ir kituose įstatymuose jai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fbe56c1682f40d8a724e8e8474db2ff"/>
                    <w:lock w:val="sdtLocked"/>
                    <w:richText/>
                  </w:sdtPr>
                  <w:sdtContent>
                    <w:p>
                      <w:pPr>
                        <w:spacing w:line="360" w:lineRule="auto"/>
                        <w:ind w:firstLine="720"/>
                        <w:jc w:val="both"/>
                        <w:rPr>
                          <w:szCs w:val="24"/>
                        </w:rPr>
                      </w:pPr>
                      <w:sdt>
                        <w:sdtPr>
                          <w:alias w:val="Numeris"/>
                          <w:tag w:val="nr_efbe56c1682f40d8a724e8e8474db2ff"/>
                          <w:lock w:val="sdtLocked"/>
                          <w:richText/>
                        </w:sdtPr>
                        <w:sdtContent>
                          <w:r>
                            <w:rPr>
                              <w:szCs w:val="24"/>
                            </w:rPr>
                            <w:t>1</w:t>
                          </w:r>
                        </w:sdtContent>
                      </w:sdt>
                      <w:r>
                        <w:rPr>
                          <w:szCs w:val="24"/>
                        </w:rPr>
                        <w:t>. Vyriausybės ar jos įgaliotos institucijos nustatytais atvejais ir tvarka statinio gyvavimo ciklą apibūdinantys duomenys kuriami, tvarkomi, valdomi ir viešinami skaitmenine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a56e78e21e324ce49d29122c65b2a0fb"/>
                        <w:lock w:val="sdtLocked"/>
                        <w:richText/>
                      </w:sdtPr>
                      <w:sdtContent>
                        <w:p>
                          <w:pPr>
                            <w:spacing w:line="360" w:lineRule="auto"/>
                            <w:ind w:firstLine="720"/>
                            <w:jc w:val="both"/>
                            <w:rPr>
                              <w:rFonts w:eastAsia="Calibri"/>
                              <w:szCs w:val="24"/>
                            </w:rPr>
                          </w:pPr>
                          <w:sdt>
                            <w:sdtPr>
                              <w:alias w:val="Numeris"/>
                              <w:tag w:val="nr_a56e78e21e324ce49d29122c65b2a0fb"/>
                              <w:lock w:val="sdtLocked"/>
                              <w:richText/>
                            </w:sdtPr>
                            <w:sdtContent>
                              <w:r>
                                <w:rPr>
                                  <w:rFonts w:eastAsia="Calibri"/>
                                  <w:szCs w:val="24"/>
                                </w:rPr>
                                <w:t>9</w:t>
                              </w:r>
                            </w:sdtContent>
                          </w:sdt>
                          <w:r>
                            <w:rPr>
                              <w:rFonts w:eastAsia="Calibri"/>
                              <w:szCs w:val="24"/>
                            </w:rPr>
                            <w:t>) turėti Darbuotojų saugos ir sveikatos įstatyme nustatyta tvarka ir sąlygomis išduodamą leidimą vykdyti statybos darbus veikiant asbestui, jeigu rangovo darbuotojai (šiame punkte darbuotojas suprantamas taip, kaip apibrėžiamas Darbuotojų saugos ir sveikatos įstatyme) vykdo statybos darbus, kuriuos atliekant ardomos ar pertvarkomos statinio konstrukcijos, kuriose yra asbesto ar asbesto turinčių medžiagų, ir (ar) pašalinamas asbestas ar asbesto turinčios medžiagos.</w:t>
                          </w:r>
                        </w:p>
                        <w:p>
                          <w:pPr>
                            <w:spacing w:line="360" w:lineRule="auto"/>
                            <w:jc w:val="both"/>
                            <w:rPr>
                              <w:rFonts w:eastAsia="Calibri"/>
                              <w:sz w:val="20"/>
                            </w:rPr>
                          </w:pPr>
                          <w:r>
                            <w:rPr>
                              <w:rFonts w:eastAsia="Calibri"/>
                              <w:b/>
                              <w:bCs/>
                              <w:i/>
                              <w:iCs/>
                              <w:szCs w:val="24"/>
                            </w:rPr>
                            <w:t xml:space="preserve">TAR pastaba: </w:t>
                          </w:r>
                          <w:r>
                            <w:rPr>
                              <w:rFonts w:eastAsia="Calibri"/>
                              <w:i/>
                              <w:iCs/>
                              <w:sz w:val="20"/>
                            </w:rPr>
                            <w:t>Vykdant statybos darbus, kuriuos atliekant ardomos ar pertvarkomos statinio konstrukcijos, kuriose yra asbesto ar asbesto turinčių medžiagų, ir (ar) pašalinamas asbestas ar asbesto turinčios medžiagos ir kurie 43 pradėti iki 2026 m. rugsėjo 30 d., reikalavimas turėti leidimą vykdyti statybos darbus veikiant asbestui nėra taikomas</w:t>
                          </w:r>
                          <w:r>
                            <w:rPr>
                              <w:rFonts w:eastAsia="Calibr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0db62648811f1b53dfa020e517810">
                            <w:r w:rsidRPr="00532B9F">
                              <w:rPr>
                                <w:rFonts w:ascii="Times New Roman" w:eastAsia="MS Mincho" w:hAnsi="Times New Roman"/>
                                <w:sz w:val="20"/>
                                <w:i/>
                                <w:iCs/>
                                <w:color w:val="0000FF" w:themeColor="hyperlink"/>
                                <w:u w:val="single"/>
                              </w:rPr>
                              <w:t>XV-983</w:t>
                            </w:r>
                          </w:fldSimple>
                          <w:r>
                            <w:rPr>
                              <w:rFonts w:ascii="Times New Roman" w:eastAsia="MS Mincho" w:hAnsi="Times New Roman"/>
                              <w:sz w:val="20"/>
                              <w:i/>
                              <w:iCs/>
                            </w:rPr>
                            <w:t>,
2026-06-02,
paskelbta TAR 2026-06-10, i. k. 2026-10158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22dfbfc0e0e6492cbd79cf9378cccfea"/>
                    <w:lock w:val="sdtLocked"/>
                    <w:richText/>
                  </w:sdtPr>
                  <w:sdtContent>
                    <w:p>
                      <w:pPr>
                        <w:tabs>
                          <w:tab w:val="left" w:pos="567"/>
                          <w:tab w:val="left" w:pos="851"/>
                          <w:tab w:val="left" w:pos="1418"/>
                        </w:tabs>
                        <w:spacing w:line="360" w:lineRule="auto"/>
                        <w:ind w:firstLine="720"/>
                        <w:jc w:val="both"/>
                        <w:rPr>
                          <w:szCs w:val="24"/>
                        </w:rPr>
                      </w:pPr>
                      <w:sdt>
                        <w:sdtPr>
                          <w:alias w:val="Numeris"/>
                          <w:tag w:val="nr_22dfbfc0e0e6492cbd79cf9378cccfea"/>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hyperlink r:id="rId7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hyperlink r:id="rId75" w:tgtFrame="_blank" w:history="1">
                        <w:r>
                          <w:rPr>
                            <w:bCs/>
                            <w:color w:val="0000FF" w:themeColor="hyperlink"/>
                            <w:szCs w:val="24"/>
                            <w:u w:val="single"/>
                            <w:lang w:eastAsia="lt-LT"/>
                          </w:rPr>
                          <w:t>(ES) 2024/3110</w:t>
                        </w:r>
                      </w:hyperlink>
                      <w:r>
                        <w:rPr>
                          <w:bCs/>
                          <w:szCs w:val="24"/>
                          <w:lang w:eastAsia="lt-LT"/>
                        </w:rPr>
                        <w:t xml:space="preserve"> 37 straipsnį, pateikiami į Lietuvos Respublikos rinką ar tiekiami jai Reglamente </w:t>
                      </w:r>
                      <w:hyperlink r:id="rId76" w:tgtFrame="_blank" w:history="1">
                        <w:r>
                          <w:rPr>
                            <w:bCs/>
                            <w:color w:val="0000FF" w:themeColor="hyperlink"/>
                            <w:szCs w:val="24"/>
                            <w:u w:val="single"/>
                            <w:lang w:eastAsia="lt-LT"/>
                          </w:rPr>
                          <w:t>(ES) 2024/3110</w:t>
                        </w:r>
                      </w:hyperlink>
                      <w:r>
                        <w:rPr>
                          <w:bCs/>
                          <w:szCs w:val="24"/>
                          <w:lang w:eastAsia="lt-LT"/>
                        </w:rPr>
                        <w:t xml:space="preserve"> nustatyta tvarka arba laikantis šio straipsnio 2–15 dalyse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8de471ef15fc41498be03338a25d810f"/>
                    <w:lock w:val="sdtLocked"/>
                    <w:richText/>
                  </w:sdtPr>
                  <w:sdtContent>
                    <w:p>
                      <w:pPr>
                        <w:tabs>
                          <w:tab w:val="left" w:pos="567"/>
                          <w:tab w:val="left" w:pos="851"/>
                          <w:tab w:val="left" w:pos="1418"/>
                        </w:tabs>
                        <w:spacing w:line="360" w:lineRule="auto"/>
                        <w:ind w:firstLine="720"/>
                        <w:jc w:val="both"/>
                        <w:rPr>
                          <w:szCs w:val="24"/>
                        </w:rPr>
                      </w:pPr>
                      <w:sdt>
                        <w:sdtPr>
                          <w:alias w:val="Numeris"/>
                          <w:tag w:val="nr_8de471ef15fc41498be03338a25d810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ed795098c20f42e2ab7ce78b6179cd37"/>
                    <w:lock w:val="sdtLocked"/>
                    <w:richText/>
                  </w:sdtPr>
                  <w:sdtContent>
                    <w:p>
                      <w:pPr>
                        <w:tabs>
                          <w:tab w:val="left" w:pos="567"/>
                          <w:tab w:val="left" w:pos="851"/>
                          <w:tab w:val="left" w:pos="1418"/>
                        </w:tabs>
                        <w:spacing w:line="360" w:lineRule="auto"/>
                        <w:ind w:firstLine="720"/>
                        <w:jc w:val="both"/>
                        <w:rPr>
                          <w:szCs w:val="24"/>
                        </w:rPr>
                      </w:pPr>
                      <w:sdt>
                        <w:sdtPr>
                          <w:alias w:val="Numeris"/>
                          <w:tag w:val="nr_ed795098c20f42e2ab7ce78b6179cd37"/>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hyperlink r:id="rId7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nurodytas rinkos priežiūros institucijos ir bendros ryšių palaikymo tarnybos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a2d2120f7f0446548edb0d97b4e3c58e"/>
                        <w:lock w:val="sdtLocked"/>
                        <w:richText/>
                      </w:sdtPr>
                      <w:sdtContent>
                        <w:p>
                          <w:pPr>
                            <w:spacing w:line="360" w:lineRule="auto"/>
                            <w:ind w:firstLine="720"/>
                            <w:jc w:val="both"/>
                            <w:rPr>
                              <w:szCs w:val="24"/>
                            </w:rPr>
                          </w:pPr>
                          <w:sdt>
                            <w:sdtPr>
                              <w:alias w:val="Numeris"/>
                              <w:tag w:val="nr_a2d2120f7f0446548edb0d97b4e3c58e"/>
                              <w:lock w:val="sdtLocked"/>
                              <w:richText/>
                            </w:sdtPr>
                            <w:sdtContent>
                              <w:r>
                                <w:rPr>
                                  <w:szCs w:val="24"/>
                                  <w:lang w:eastAsia="lt-LT"/>
                                </w:rPr>
                                <w:t>5</w:t>
                              </w:r>
                            </w:sdtContent>
                          </w:sdt>
                          <w:r>
                            <w:rPr>
                              <w:szCs w:val="24"/>
                              <w:lang w:eastAsia="lt-LT"/>
                            </w:rPr>
                            <w:t>) paprastojo remonto projektas – branduolinės energetikos objekto statinių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bfd92f14605453dbeb67cd8e63a8a82"/>
                    <w:lock w:val="sdtLocked"/>
                    <w:richText/>
                  </w:sdtPr>
                  <w:sdtContent>
                    <w:p>
                      <w:pPr>
                        <w:spacing w:line="360" w:lineRule="auto"/>
                        <w:ind w:firstLine="720"/>
                        <w:jc w:val="both"/>
                        <w:rPr>
                          <w:szCs w:val="24"/>
                        </w:rPr>
                      </w:pPr>
                      <w:sdt>
                        <w:sdtPr>
                          <w:alias w:val="Numeris"/>
                          <w:tag w:val="nr_ebfd92f14605453dbeb67cd8e63a8a82"/>
                          <w:lock w:val="sdtLocked"/>
                          <w:richText/>
                        </w:sdtPr>
                        <w:sdtContent>
                          <w:r>
                            <w:t>2</w:t>
                          </w:r>
                        </w:sdtContent>
                      </w:sdt>
                      <w:r>
                        <w:t xml:space="preserve">. Jeigu numatoma atlikti statybos darbus, priskiriamus skirtingoms statybos rūšims, arba numatoma atlikti kultūros paveldo </w:t>
                      </w:r>
                      <w:r>
                        <w:rPr>
                          <w:bCs/>
                        </w:rPr>
                        <w:t>statybos ir</w:t>
                      </w:r>
                      <w:r>
                        <w:t xml:space="preserve"> </w:t>
                      </w:r>
                      <w:r>
                        <w:rPr>
                          <w:bCs/>
                        </w:rPr>
                        <w:t>tvarkybos</w:t>
                      </w:r>
                      <w:r>
                        <w:t xml:space="preserve"> darbus, rengiamas vienas skirtingas statybos </w:t>
                      </w:r>
                      <w:r>
                        <w:rPr>
                          <w:bCs/>
                        </w:rPr>
                        <w:t>ir (ar) tvarkybos</w:t>
                      </w:r>
                      <w:r>
                        <w:t xml:space="preserve"> rūšis jungiantis statinio projektas, statinio projekto pavadinime nurodant atliekamų darbų rūšis.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2194690e53d04f7f8f787ffccb839459"/>
                    <w:lock w:val="sdtLocked"/>
                    <w:richText/>
                  </w:sdtPr>
                  <w:sdtContent>
                    <w:p>
                      <w:pPr>
                        <w:spacing w:line="360" w:lineRule="auto"/>
                        <w:ind w:firstLine="720"/>
                        <w:jc w:val="both"/>
                        <w:textAlignment w:val="baseline"/>
                        <w:rPr>
                          <w:szCs w:val="24"/>
                        </w:rPr>
                      </w:pPr>
                      <w:sdt>
                        <w:sdtPr>
                          <w:alias w:val="Numeris"/>
                          <w:tag w:val="nr_2194690e53d04f7f8f787ffccb839459"/>
                          <w:lock w:val="sdtLocked"/>
                          <w:richText/>
                        </w:sdtPr>
                        <w:sdtContent>
                          <w:r>
                            <w:rPr>
                              <w:szCs w:val="24"/>
                              <w:lang w:eastAsia="lt-LT"/>
                            </w:rPr>
                            <w:t>6</w:t>
                          </w:r>
                        </w:sdtContent>
                      </w:sdt>
                      <w:r>
                        <w:rPr>
                          <w:szCs w:val="24"/>
                          <w:lang w:eastAsia="lt-LT"/>
                        </w:rPr>
                        <w:t xml:space="preserve">. </w:t>
                      </w:r>
                      <w:r>
                        <w:rPr>
                          <w:szCs w:val="24"/>
                        </w:rPr>
                        <w:t>Savivaldybės administracija, gavusi šio straipsnio 4 dalyje nurodytus duomenis, per 3 darbo dienas pateikia aplinkos ministro patvirtintos formos paraiškas:</w:t>
                      </w:r>
                    </w:p>
                    <w:sdt>
                      <w:sdtPr>
                        <w:alias w:val="24 str. 6 d. 1 p."/>
                        <w:tag w:val="part_17d3d96a508e4bac8a9dd000dce17741"/>
                        <w:lock w:val="sdtLocked"/>
                        <w:richText/>
                      </w:sdtPr>
                      <w:sdtContent>
                        <w:p>
                          <w:pPr>
                            <w:spacing w:line="360" w:lineRule="auto"/>
                            <w:ind w:firstLine="720"/>
                            <w:jc w:val="both"/>
                            <w:rPr>
                              <w:szCs w:val="24"/>
                              <w:lang w:eastAsia="lt-LT"/>
                            </w:rPr>
                          </w:pPr>
                          <w:sdt>
                            <w:sdtPr>
                              <w:alias w:val="Numeris"/>
                              <w:tag w:val="nr_17d3d96a508e4bac8a9dd000dce17741"/>
                              <w:lock w:val="sdtLocked"/>
                              <w:richText/>
                            </w:sdtPr>
                            <w:sdtContent>
                              <w:r>
                                <w:rPr>
                                  <w:szCs w:val="24"/>
                                </w:rPr>
                                <w:t>1</w:t>
                              </w:r>
                            </w:sdtContent>
                          </w:sdt>
                          <w:r>
                            <w:rPr>
                              <w:szCs w:val="24"/>
                            </w:rPr>
                            <w:t xml:space="preserve">) Kultūros paveldo departamentui prie Kultūros ministerijos (jo teritoriniam padaliniui) – specialiesiems paveldosaugos reikalavimams, </w:t>
                          </w:r>
                          <w:r>
                            <w:rPr>
                              <w:bCs/>
                              <w:szCs w:val="24"/>
                            </w:rPr>
                            <w:t xml:space="preserve">taikomiems </w:t>
                          </w:r>
                          <w:r>
                            <w:rPr>
                              <w:bCs/>
                              <w:szCs w:val="24"/>
                              <w:lang w:eastAsia="lt-LT"/>
                            </w:rPr>
                            <w:t>regioninio ir nacionalinio reikšmingumo</w:t>
                          </w:r>
                          <w:r>
                            <w:rPr>
                              <w:bCs/>
                              <w:szCs w:val="24"/>
                            </w:rPr>
                            <w:t xml:space="preserve"> lygmens kultūros paveldo objektui ar jo teritorijai, tokio kultūros paveldo objekto teritorijoje esančiam statiniui, </w:t>
                          </w:r>
                          <w:r>
                            <w:rPr>
                              <w:bCs/>
                              <w:szCs w:val="24"/>
                              <w:lang w:eastAsia="lt-LT"/>
                            </w:rPr>
                            <w:t xml:space="preserve">regioninio, nacionalinio reikšmingumo lygmens ir (ar) valstybės saugomoje </w:t>
                          </w:r>
                          <w:r>
                            <w:rPr>
                              <w:bCs/>
                              <w:szCs w:val="24"/>
                            </w:rPr>
                            <w:t xml:space="preserve">kultūros paveldo vietovėje ar jų apsaugos zonose </w:t>
                          </w:r>
                          <w:r>
                            <w:rPr>
                              <w:bCs/>
                              <w:lang w:eastAsia="lt-LT"/>
                            </w:rPr>
                            <w:t>esančiam statiniui</w:t>
                          </w:r>
                          <w:r>
                            <w:rPr>
                              <w:bCs/>
                              <w:szCs w:val="24"/>
                            </w:rPr>
                            <w:t>, parengti</w:t>
                          </w:r>
                          <w:r>
                            <w:rPr>
                              <w:szCs w:val="24"/>
                            </w:rPr>
                            <w:t>;</w:t>
                          </w:r>
                          <w:r>
                            <w:rPr>
                              <w:szCs w:val="24"/>
                              <w:lang w:eastAsia="lt-LT"/>
                            </w:rPr>
                            <w:t xml:space="preserve"> </w:t>
                          </w:r>
                        </w:p>
                      </w:sdtContent>
                    </w:sdt>
                    <w:sdt>
                      <w:sdtPr>
                        <w:alias w:val="24 str. 6 d. 2 p."/>
                        <w:tag w:val="part_da152ae3b0de405584f37a0b85170eda"/>
                        <w:lock w:val="sdtLocked"/>
                        <w:richText/>
                      </w:sdtPr>
                      <w:sdtContent>
                        <w:p>
                          <w:pPr>
                            <w:spacing w:line="360" w:lineRule="auto"/>
                            <w:ind w:firstLine="720"/>
                            <w:jc w:val="both"/>
                          </w:pPr>
                          <w:sdt>
                            <w:sdtPr>
                              <w:alias w:val="Numeris"/>
                              <w:tag w:val="nr_da152ae3b0de405584f37a0b85170eda"/>
                              <w:lock w:val="sdtLocked"/>
                              <w:richText/>
                            </w:sdtPr>
                            <w:sdtContent>
                              <w:r>
                                <w:rPr>
                                  <w:lang w:eastAsia="lt-LT"/>
                                </w:rPr>
                                <w:t>2</w:t>
                              </w:r>
                            </w:sdtContent>
                          </w:sdt>
                          <w:r>
                            <w:rPr>
                              <w:lang w:eastAsia="lt-LT"/>
                            </w:rPr>
                            <w:t xml:space="preserve">) </w:t>
                          </w:r>
                          <w:r>
                            <w:rPr>
                              <w:bCs/>
                              <w:lang w:eastAsia="lt-LT"/>
                            </w:rPr>
                            <w:t>savivaldybės administracijos padaliniui ar valstybės tarnautojui, atsakingam už nekilnojamojo kultūros paveldo apsaugą, – specialiesiems paveldosaugos reikalavimams, taikomiems vietinio reikšmingumo lygmens ar savivaldybės saugomam kultūros paveldo objektui ar jo teritorijai, tokio kultūros paveldo objekto teritorijoje esančiam statiniui, vietinio reikšmingumo lygmens arba savivaldybės saugomoje kultūros paveldo vietovėje ar jų apsaugos zonose esančiam statiniui, parengti</w:t>
                          </w:r>
                          <w:r>
                            <w:rPr>
                              <w:lang w:eastAsia="lt-LT"/>
                            </w:rPr>
                            <w:t>;</w:t>
                          </w:r>
                        </w:p>
                      </w:sdtContent>
                    </w:sdt>
                    <w:sdt>
                      <w:sdtPr>
                        <w:alias w:val="24 str. 6 d. 3 p."/>
                        <w:tag w:val="part_4e5ca3a846f9453482cddbc71b71c988"/>
                        <w:lock w:val="sdtLocked"/>
                        <w:richText/>
                      </w:sdtPr>
                      <w:sdtContent>
                        <w:p>
                          <w:pPr>
                            <w:spacing w:line="360" w:lineRule="auto"/>
                            <w:ind w:firstLine="720"/>
                            <w:jc w:val="both"/>
                          </w:pPr>
                          <w:sdt>
                            <w:sdtPr>
                              <w:alias w:val="Numeris"/>
                              <w:tag w:val="nr_4e5ca3a846f9453482cddbc71b71c988"/>
                              <w:lock w:val="sdtLocked"/>
                              <w:richText/>
                            </w:sdtPr>
                            <w:sdtContent>
                              <w:r>
                                <w:rPr>
                                  <w:bCs/>
                                </w:rPr>
                                <w:t>3</w:t>
                              </w:r>
                            </w:sdtContent>
                          </w:sdt>
                          <w:r>
                            <w:rPr>
                              <w:bCs/>
                            </w:rPr>
                            <w:t>)</w:t>
                          </w:r>
                          <w:r>
                            <w:t xml:space="preserve">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732b824fcf274854832588c4ef2a3073"/>
                        <w:lock w:val="sdtLocked"/>
                        <w:richText/>
                      </w:sdtPr>
                      <w:sdtContent>
                        <w:p>
                          <w:pPr>
                            <w:spacing w:line="360" w:lineRule="auto"/>
                            <w:ind w:firstLine="720"/>
                            <w:jc w:val="both"/>
                            <w:rPr>
                              <w:kern w:val="2"/>
                              <w:szCs w:val="24"/>
                              <w:lang w:eastAsia="lt-LT"/>
                            </w:rPr>
                          </w:pPr>
                          <w:sdt>
                            <w:sdtPr>
                              <w:alias w:val="Numeris"/>
                              <w:tag w:val="nr_732b824fcf274854832588c4ef2a3073"/>
                              <w:lock w:val="sdtLocked"/>
                              <w:richText/>
                            </w:sdtPr>
                            <w:sdtContent>
                              <w:r>
                                <w:rPr>
                                  <w:szCs w:val="24"/>
                                </w:rPr>
                                <w:t>3</w:t>
                              </w:r>
                            </w:sdtContent>
                          </w:sdt>
                          <w:r>
                            <w:rPr>
                              <w:szCs w:val="24"/>
                            </w:rPr>
                            <w:t>) leidimas atnaujinti (modernizuoti) ypatingąjį ar neypatingąjį statinį, kai atliekamas esminis statinio išvaizdos keitimas</w:t>
                          </w:r>
                          <w:r>
                            <w:rPr>
                              <w:bCs/>
                              <w:szCs w:val="24"/>
                            </w:rPr>
                            <w:t xml:space="preserve"> (esminiu statinio išvaizdos keitimu laikomi pakeitimai, kurie pagal aplinkos ministro nustatytus kriterijus reikšmingai paveikia statinio architektūrinę išraišką)</w:t>
                          </w:r>
                          <w:r>
                            <w:rPr>
                              <w:szCs w:val="24"/>
                            </w:rPr>
                            <w:t>, išskyrus vienbučius ir dvibučius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e3a6744b91d34dd896931de8a43eac5c"/>
                            <w:lock w:val="sdtLocked"/>
                            <w:richText/>
                          </w:sdtPr>
                          <w:sdtContent>
                            <w:p>
                              <w:pPr>
                                <w:pStyle w:val="PlainText"/>
                                <w:ind w:firstLine="567"/>
                                <w:jc w:val="both"/>
                                <w:rPr>
                                  <w:rFonts w:ascii="Times New Roman" w:hAnsi="Times New Roman"/>
                                  <w:b/>
                                  <w:bCs/>
                                  <w:sz w:val="22"/>
                                </w:rPr>
                              </w:pPr>
                              <w:r>
                                <w:rPr>
                                  <w:rFonts w:ascii="Times New Roman" w:hAnsi="Times New Roman"/>
                                  <w:sz w:val="22"/>
                                </w:rPr>
                                <w:t>b</w:t>
                              </w:r>
                              <w:r>
                                <w:rPr>
                                  <w:rFonts w:ascii="Times New Roman" w:hAnsi="Times New Roman"/>
                                  <w:sz w:val="22"/>
                                </w:rPr>
                                <w:t>)</w:t>
                              </w:r>
                              <w:r>
                                <w:rPr>
                                  <w:rFonts w:ascii="Times New Roman" w:eastAsia="MS Mincho" w:hAnsi="Times New Roman"/>
                                  <w:sz w:val="20"/>
                                  <w:i/>
                                  <w:iCs/>
                                </w:rPr>
                                <w:t xml:space="preserve"> Neteko galios nuo 2026-11-01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ce584d32e931401285a4c256887847b6"/>
                        <w:lock w:val="sdtLocked"/>
                        <w:richText/>
                      </w:sdtPr>
                      <w:sdtContent>
                        <w:p>
                          <w:pPr>
                            <w:spacing w:line="360" w:lineRule="auto"/>
                            <w:ind w:firstLine="720"/>
                            <w:jc w:val="both"/>
                            <w:rPr>
                              <w:kern w:val="2"/>
                              <w:szCs w:val="24"/>
                              <w:lang w:eastAsia="en-GB"/>
                            </w:rPr>
                          </w:pPr>
                          <w:sdt>
                            <w:sdtPr>
                              <w:alias w:val="Numeris"/>
                              <w:tag w:val="nr_ce584d32e931401285a4c256887847b6"/>
                              <w:lock w:val="sdtLocked"/>
                              <w:richText/>
                            </w:sdtPr>
                            <w:sdtContent>
                              <w:r>
                                <w:rPr>
                                  <w:szCs w:val="24"/>
                                  <w:lang w:eastAsia="lt-LT"/>
                                </w:rPr>
                                <w:t>6</w:t>
                              </w:r>
                            </w:sdtContent>
                          </w:sdt>
                          <w:r>
                            <w:rPr>
                              <w:szCs w:val="24"/>
                              <w:lang w:eastAsia="lt-LT"/>
                            </w:rPr>
                            <w:t xml:space="preserve">) leidimas pakeisti statinio arba jo dalies paskirtį, kai dėl to keičiasi statinio ar jo dalies priskyrimas atitinkamai statinių </w:t>
                          </w:r>
                          <w:r>
                            <w:rPr>
                              <w:bCs/>
                              <w:szCs w:val="24"/>
                              <w:lang w:eastAsia="lt-LT"/>
                            </w:rPr>
                            <w:t xml:space="preserve">ar patalpų </w:t>
                          </w:r>
                          <w:r>
                            <w:rPr>
                              <w:szCs w:val="24"/>
                              <w:lang w:eastAsia="lt-LT"/>
                            </w:rPr>
                            <w:t>paskirties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9 p."/>
                        <w:tag w:val="part_efe08105723e4372aa159d3eda75963c"/>
                        <w:lock w:val="sdtLocked"/>
                        <w:richText/>
                      </w:sdtPr>
                      <w:sdtContent>
                        <w:p>
                          <w:pPr>
                            <w:spacing w:line="360" w:lineRule="auto"/>
                            <w:ind w:firstLine="720"/>
                            <w:jc w:val="both"/>
                            <w:rPr>
                              <w:szCs w:val="24"/>
                            </w:rPr>
                          </w:pPr>
                          <w:sdt>
                            <w:sdtPr>
                              <w:alias w:val="Numeris"/>
                              <w:tag w:val="nr_efe08105723e4372aa159d3eda75963c"/>
                              <w:lock w:val="sdtLocked"/>
                              <w:richText/>
                            </w:sdtPr>
                            <w:sdtContent>
                              <w:r>
                                <w:rPr>
                                  <w:szCs w:val="24"/>
                                </w:rPr>
                                <w:t>9</w:t>
                              </w:r>
                            </w:sdtContent>
                          </w:sdt>
                          <w:r>
                            <w:rPr>
                              <w:szCs w:val="24"/>
                            </w:rPr>
                            <w:t>) atnaujinant (modernizuojant) ypatingąjį ar neypatingąjį statinį, išskyrus šio straipsnio 1 dalies 3 punkte nurodytus atvejus (kai privalomas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705fce427428480a894722c892a5bc36"/>
                    <w:lock w:val="sdtLocked"/>
                    <w:richText/>
                  </w:sdtPr>
                  <w:sdtContent>
                    <w:p>
                      <w:pPr>
                        <w:spacing w:line="360" w:lineRule="auto"/>
                        <w:ind w:firstLine="720"/>
                        <w:jc w:val="both"/>
                      </w:pPr>
                      <w:sdt>
                        <w:sdtPr>
                          <w:alias w:val="Numeris"/>
                          <w:tag w:val="nr_705fce427428480a894722c892a5bc36"/>
                          <w:lock w:val="sdtLocked"/>
                          <w:richText/>
                        </w:sdtPr>
                        <w:sdtContent>
                          <w:r>
                            <w:t>10</w:t>
                          </w:r>
                        </w:sdtContent>
                      </w:sdt>
                      <w:r>
                        <w:t xml:space="preserve">. Savivaldybių administracijos paveldosaugos padaliniai tikrina statinio projektų atitiktį nekilnojamojo kultūros paveldo apsaugą ir tvarkybą reglamentuojantiems teisės aktams, kai </w:t>
                      </w:r>
                      <w:r>
                        <w:rPr>
                          <w:bCs/>
                        </w:rPr>
                        <w:t>statybos ir (ar)</w:t>
                      </w:r>
                      <w:r>
                        <w:t xml:space="preserve"> tvarkomieji statybos darbai projektuojami </w:t>
                      </w:r>
                      <w:r>
                        <w:rPr>
                          <w:bCs/>
                        </w:rPr>
                        <w:t>vietinio reikšmingumo lygmens ar</w:t>
                      </w:r>
                      <w:r>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įgaliota institucija ar įstaiga tikrina statinio projektų atitiktį nekilnojamojo kultūros paveldo apsaugą ir tvarkybą reglamentuojantiems teisės aktams, kai </w:t>
                      </w:r>
                      <w:r>
                        <w:rPr>
                          <w:bCs/>
                        </w:rPr>
                        <w:t xml:space="preserve">statybos ir (ar) </w:t>
                      </w:r>
                      <w:r>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Pr>
                          <w:bCs/>
                        </w:rPr>
                        <w:t>vietinio reikšmingumo lygmens ar</w:t>
                      </w:r>
                      <w:r>
                        <w:t xml:space="preserve"> savivaldybės tarybos saugomais paskelbtus kultūros paveldo objektus), regioninio ir nacionalinio reikšmingumo lygmens kultūros paveldo vietovėse ir jų apsaugos zonose (išskyrus ten esančius </w:t>
                      </w:r>
                      <w:r>
                        <w:rPr>
                          <w:bCs/>
                        </w:rPr>
                        <w:t>vietinio reikšmingumo lygmens ar</w:t>
                      </w:r>
                      <w:r>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Pr>
                          <w:bCs/>
                        </w:rPr>
                        <w:t>vietinio reikšmingumo lygmens ar</w:t>
                      </w:r>
                      <w:r>
                        <w:t xml:space="preserve"> savivaldybės tarybos saugomais paskelbtus kultūros paveldo objektus).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fcbef224d02e4035a8849258f97753a3"/>
                    <w:lock w:val="sdtLocked"/>
                    <w:richText/>
                  </w:sdtPr>
                  <w:sdtContent>
                    <w:p>
                      <w:pPr>
                        <w:spacing w:line="360" w:lineRule="auto"/>
                        <w:ind w:firstLine="720"/>
                        <w:jc w:val="both"/>
                        <w:rPr>
                          <w:szCs w:val="24"/>
                        </w:rPr>
                      </w:pPr>
                      <w:sdt>
                        <w:sdtPr>
                          <w:alias w:val="Numeris"/>
                          <w:tag w:val="nr_fcbef224d02e4035a8849258f97753a3"/>
                          <w:lock w:val="sdtLocked"/>
                          <w:richText/>
                        </w:sdtPr>
                        <w:sdtContent>
                          <w:r>
                            <w:rPr>
                              <w:szCs w:val="24"/>
                            </w:rPr>
                            <w:t>30</w:t>
                          </w:r>
                        </w:sdtContent>
                      </w:sdt>
                      <w:r>
                        <w:rPr>
                          <w:szCs w:val="24"/>
                        </w:rPr>
                        <w:t>. Statybą leidžiantis dokumentas kultūros paveldo statinio statybos darbams atlikti išduodamas šio įstatymo ir Nekilnojamojo kultūros paveldo apsaugos įstatymo nustatyta tvarka, atsižvelgiant į statybos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2c380e8c256f4e9591fcc87b4fde495c"/>
                        <w:lock w:val="sdtLocked"/>
                        <w:richText/>
                      </w:sdtPr>
                      <w:sdtContent>
                        <w:p>
                          <w:pPr>
                            <w:spacing w:line="360" w:lineRule="auto"/>
                            <w:ind w:firstLine="720"/>
                            <w:jc w:val="both"/>
                            <w:rPr>
                              <w:kern w:val="2"/>
                              <w:szCs w:val="24"/>
                              <w:lang w:eastAsia="lt-LT"/>
                            </w:rPr>
                          </w:pPr>
                          <w:sdt>
                            <w:sdtPr>
                              <w:alias w:val="Numeris"/>
                              <w:tag w:val="nr_2c380e8c256f4e9591fcc87b4fde495c"/>
                              <w:lock w:val="sdtLocked"/>
                              <w:richText/>
                            </w:sdtPr>
                            <w:sdtContent>
                              <w:r>
                                <w:rPr>
                                  <w:lang w:eastAsia="lt-LT"/>
                                </w:rPr>
                                <w:t>17</w:t>
                              </w:r>
                            </w:sdtContent>
                          </w:sdt>
                          <w:r>
                            <w:rPr>
                              <w:lang w:eastAsia="lt-LT"/>
                            </w:rPr>
                            <w:t xml:space="preserve">) kaip </w:t>
                          </w:r>
                          <w:r>
                            <w:rPr>
                              <w:bCs/>
                              <w:lang w:eastAsia="lt-LT"/>
                            </w:rPr>
                            <w:t>vietinio reikšmingumo lygmens ar</w:t>
                          </w:r>
                          <w:r>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d328eb9c3dd149e1863371b5d0c22f96"/>
                    <w:lock w:val="sdtLocked"/>
                    <w:richText/>
                  </w:sdtPr>
                  <w:sdtContent>
                    <w:p>
                      <w:pPr>
                        <w:spacing w:line="360" w:lineRule="auto"/>
                        <w:ind w:firstLine="720"/>
                        <w:jc w:val="both"/>
                        <w:rPr>
                          <w:lang w:eastAsia="lt-LT"/>
                        </w:rPr>
                      </w:pPr>
                      <w:sdt>
                        <w:sdtPr>
                          <w:alias w:val="Numeris"/>
                          <w:tag w:val="nr_d328eb9c3dd149e1863371b5d0c22f96"/>
                          <w:lock w:val="sdtLocked"/>
                          <w:richText/>
                        </w:sdtPr>
                        <w:sdtContent>
                          <w:r>
                            <w:rPr>
                              <w:lang w:eastAsia="lt-LT"/>
                            </w:rPr>
                            <w:t>3</w:t>
                          </w:r>
                        </w:sdtContent>
                      </w:sdt>
                      <w:r>
                        <w:rPr>
                          <w:lang w:eastAsia="lt-LT"/>
                        </w:rPr>
                        <w:t xml:space="preserve">.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w:t>
                      </w:r>
                      <w:r>
                        <w:rPr>
                          <w:bCs/>
                          <w:lang w:eastAsia="lt-LT"/>
                        </w:rPr>
                        <w:t>17 </w:t>
                      </w:r>
                      <w:r>
                        <w:rPr>
                          <w:lang w:eastAsia="lt-LT"/>
                        </w:rPr>
                        <w:t>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b37da1ef7440f1a92dcbe34ca694d0"/>
                        <w:lock w:val="sdtLocked"/>
                        <w:richText/>
                      </w:sdtPr>
                      <w:sdtContent>
                        <w:p>
                          <w:pPr>
                            <w:tabs>
                              <w:tab w:val="left" w:pos="567"/>
                              <w:tab w:val="left" w:pos="851"/>
                              <w:tab w:val="left" w:pos="1418"/>
                            </w:tabs>
                            <w:spacing w:line="360" w:lineRule="auto"/>
                            <w:ind w:firstLine="720"/>
                            <w:jc w:val="both"/>
                            <w:rPr>
                              <w:bCs/>
                              <w:szCs w:val="24"/>
                              <w:lang w:eastAsia="en-GB"/>
                            </w:rPr>
                          </w:pPr>
                          <w:sdt>
                            <w:sdtPr>
                              <w:alias w:val="Numeris"/>
                              <w:tag w:val="nr_6ab37da1ef7440f1a92dcbe34ca694d0"/>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hyperlink r:id="rId8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124603313f344b14a43e8df54e0de58e"/>
                        <w:lock w:val="sdtLocked"/>
                        <w:richText/>
                      </w:sdtPr>
                      <w:sdtContent>
                        <w:p>
                          <w:pPr>
                            <w:tabs>
                              <w:tab w:val="left" w:pos="567"/>
                              <w:tab w:val="left" w:pos="851"/>
                              <w:tab w:val="left" w:pos="1418"/>
                            </w:tabs>
                            <w:spacing w:line="360" w:lineRule="auto"/>
                            <w:ind w:firstLine="720"/>
                            <w:jc w:val="both"/>
                            <w:rPr>
                              <w:szCs w:val="24"/>
                            </w:rPr>
                          </w:pPr>
                          <w:sdt>
                            <w:sdtPr>
                              <w:alias w:val="Numeris"/>
                              <w:tag w:val="nr_124603313f344b14a43e8df54e0de58e"/>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hyperlink r:id="rId7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7ccd757f08004e598cb6629d613e2e87"/>
                    <w:lock w:val="sdtLocked"/>
                    <w:richText/>
                  </w:sdtPr>
                  <w:sdtContent>
                    <w:p>
                      <w:pPr>
                        <w:tabs>
                          <w:tab w:val="left" w:pos="567"/>
                          <w:tab w:val="left" w:pos="851"/>
                          <w:tab w:val="left" w:pos="1418"/>
                        </w:tabs>
                        <w:spacing w:line="360" w:lineRule="auto"/>
                        <w:ind w:firstLine="720"/>
                        <w:jc w:val="both"/>
                        <w:rPr>
                          <w:szCs w:val="24"/>
                        </w:rPr>
                      </w:pPr>
                      <w:sdt>
                        <w:sdtPr>
                          <w:alias w:val="Numeris"/>
                          <w:tag w:val="nr_7ccd757f08004e598cb6629d613e2e87"/>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hyperlink r:id="rId7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per ekonomiškai pagrįstą statinio naudojimo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
                      <w:sdtPr>
                        <w:alias w:val="9 p."/>
                        <w:tag w:val="part_4df4bb75b24e4f07be38171d07140448"/>
                        <w:lock w:val="sdtLocked"/>
                        <w:richText/>
                      </w:sdtPr>
                      <w:sdtContent>
                        <w:p>
                          <w:pPr>
                            <w:spacing w:line="360" w:lineRule="auto"/>
                            <w:ind w:firstLine="720"/>
                            <w:jc w:val="both"/>
                            <w:rPr>
                              <w:szCs w:val="24"/>
                            </w:rPr>
                          </w:pPr>
                          <w:sdt>
                            <w:sdtPr>
                              <w:alias w:val="Numeris"/>
                              <w:tag w:val="nr_4df4bb75b24e4f07be38171d07140448"/>
                              <w:lock w:val="sdtLocked"/>
                              <w:richText/>
                            </w:sdtPr>
                            <w:sdtContent>
                              <w:r>
                                <w:rPr>
                                  <w:szCs w:val="24"/>
                                </w:rPr>
                                <w:t>9</w:t>
                              </w:r>
                            </w:sdtContent>
                          </w:sdt>
                          <w:r>
                            <w:rPr>
                              <w:szCs w:val="24"/>
                            </w:rPr>
                            <w:t>) krašto apsaugos tikslams skirtiems pastatams, išskyrus pastatus, kuriuose įrengtos gyvenamosios ir administracinės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6589eacda4a24924adb98a32821f5555"/>
                        <w:lock w:val="sdtLocked"/>
                        <w:richText/>
                      </w:sdtPr>
                      <w:sdtContent>
                        <w:p>
                          <w:pPr>
                            <w:spacing w:line="360" w:lineRule="auto"/>
                            <w:ind w:firstLine="720"/>
                            <w:jc w:val="both"/>
                            <w:rPr>
                              <w:szCs w:val="24"/>
                            </w:rPr>
                          </w:pPr>
                          <w:sdt>
                            <w:sdtPr>
                              <w:alias w:val="Numeris"/>
                              <w:tag w:val="nr_6589eacda4a24924adb98a32821f5555"/>
                              <w:lock w:val="sdtLocked"/>
                              <w:richText/>
                            </w:sdtPr>
                            <w:sdtContent>
                              <w:r>
                                <w:rPr>
                                  <w:bCs/>
                                  <w:szCs w:val="24"/>
                                  <w:lang w:eastAsia="lt-LT"/>
                                </w:rPr>
                                <w:t>3</w:t>
                              </w:r>
                            </w:sdtContent>
                          </w:sdt>
                          <w:r>
                            <w:rPr>
                              <w:bCs/>
                              <w:szCs w:val="24"/>
                              <w:lang w:eastAsia="lt-LT"/>
                            </w:rPr>
                            <w:t xml:space="preserve">)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w:t>
                          </w:r>
                          <w:r>
                            <w:rPr>
                              <w:szCs w:val="24"/>
                            </w:rPr>
                            <w:t>daugiabučių ir įvairių socialinių grupių paskirties pastatų gyvenamųjų patalpų energinio naudingumo sertifikatas – tokios pačios gyvenamosios patalpos tame pačiame pastate energinio naudingumo sertifikatu arba tipiniu Vyriausybės įgaliotos institucijos parengtu ir paskelbtu energinio naudingumo sertifikatu</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3 d. 4 p."/>
                        <w:tag w:val="part_6e21253edba14e19a4ea32b126c9c739"/>
                        <w:lock w:val="sdtLocked"/>
                        <w:richText/>
                      </w:sdtPr>
                      <w:sdtContent>
                        <w:p>
                          <w:pPr>
                            <w:spacing w:line="360" w:lineRule="auto"/>
                            <w:ind w:firstLine="720"/>
                            <w:jc w:val="both"/>
                            <w:rPr>
                              <w:szCs w:val="24"/>
                            </w:rPr>
                          </w:pPr>
                          <w:sdt>
                            <w:sdtPr>
                              <w:alias w:val="Numeris"/>
                              <w:tag w:val="nr_6e21253edba14e19a4ea32b126c9c739"/>
                              <w:lock w:val="sdtLocked"/>
                              <w:richText/>
                            </w:sdtPr>
                            <w:sdtContent>
                              <w:r>
                                <w:rPr>
                                  <w:szCs w:val="24"/>
                                </w:rPr>
                                <w:t>4</w:t>
                              </w:r>
                            </w:sdtContent>
                          </w:sdt>
                          <w:r>
                            <w:rPr>
                              <w:szCs w:val="24"/>
                            </w:rPr>
                            <w:t>) didesniems kaip 500 kvadratinių metrų (nuo 2015 m. liepos 9 d. – didesniems kaip 250 kvadratinių metrų) naudingojo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patalpų ploto dalį sudaro viešbučių, administracinės, prekybos, paslaugų, maitinimo, transporto, kultūros, mokslo, sporto, gydymo ir poilsio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 p."/>
                        <w:tag w:val="part_f204b5f5f57c47e999ef79e97a89ec59"/>
                        <w:lock w:val="sdtLocked"/>
                        <w:richText/>
                      </w:sdtPr>
                      <w:sdtContent>
                        <w:p>
                          <w:pPr>
                            <w:spacing w:line="360" w:lineRule="auto"/>
                            <w:ind w:firstLine="720"/>
                            <w:jc w:val="both"/>
                            <w:rPr>
                              <w:szCs w:val="24"/>
                            </w:rPr>
                          </w:pPr>
                          <w:sdt>
                            <w:sdtPr>
                              <w:alias w:val="Numeris"/>
                              <w:tag w:val="nr_f204b5f5f57c47e999ef79e97a89ec59"/>
                              <w:lock w:val="sdtLocked"/>
                              <w:richText/>
                            </w:sdtPr>
                            <w:sdtContent>
                              <w:r>
                                <w:rPr>
                                  <w:szCs w:val="24"/>
                                </w:rPr>
                                <w:t>5</w:t>
                              </w:r>
                            </w:sdtContent>
                          </w:sdt>
                          <w:r>
                            <w:rPr>
                              <w:szCs w:val="24"/>
                            </w:rPr>
                            <w:t>) didesniems kaip 3 000 kvadratinių metrų naudingojo patalpų ploto gyvenamosios paskirties pastatams, nuo 2030 m. liepos 9 d. – didesniems kaip 1 500 kvadratinių metrų, nuo 2035 m. liepos 9 d. – didesniems kaip 1 000 kvadratinių metrų naudingojo patalpų ploto gyvenamosios paskirties pastatams.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fc1c7d1827ba401d89eaae3ba28df8c0"/>
                    <w:lock w:val="sdtLocked"/>
                    <w:richText/>
                  </w:sdtPr>
                  <w:sdtContent>
                    <w:p>
                      <w:pPr>
                        <w:spacing w:line="360" w:lineRule="auto"/>
                        <w:ind w:firstLine="720"/>
                        <w:jc w:val="both"/>
                        <w:rPr>
                          <w:b/>
                          <w:bCs/>
                          <w:szCs w:val="24"/>
                          <w:lang w:eastAsia="lt-LT"/>
                        </w:rPr>
                      </w:pPr>
                      <w:sdt>
                        <w:sdtPr>
                          <w:alias w:val="Numeris"/>
                          <w:tag w:val="nr_fc1c7d1827ba401d89eaae3ba28df8c0"/>
                          <w:lock w:val="sdtLocked"/>
                          <w:richText/>
                        </w:sdtPr>
                        <w:sdtContent>
                          <w:r>
                            <w:rPr>
                              <w:bCs/>
                              <w:szCs w:val="24"/>
                              <w:lang w:eastAsia="lt-LT"/>
                            </w:rPr>
                            <w:t>5</w:t>
                          </w:r>
                        </w:sdtContent>
                      </w:sdt>
                      <w:r>
                        <w:rPr>
                          <w:bCs/>
                          <w:szCs w:val="24"/>
                          <w:lang w:eastAsia="lt-LT"/>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w:t>
                      </w:r>
                      <w:r>
                        <w:rPr>
                          <w:szCs w:val="24"/>
                          <w:lang w:eastAsia="lt-LT"/>
                        </w:rPr>
                        <w:t>Valstybės ir savivaldybių institucijų, įstaigų ir įmonių statomi nauji pastatai nuo 2028 m. sausio 1 d. turi būti visai netaršūs pastatai, o nuo 2030 m. sausio 1 d. šis reikalavimas taikomas visiems statomiems naujiems pastatams. Reikalavimus energijos beveik nevartojantiems ir visai netaršiems</w:t>
                      </w:r>
                      <w:r>
                        <w:rPr>
                          <w:bCs/>
                          <w:szCs w:val="24"/>
                          <w:lang w:eastAsia="lt-LT"/>
                        </w:rPr>
                        <w:t xml:space="preserve"> pastatams nustato Vyriausybė arba jos įgaliotos institucijos. Pastatų energinio naudingumo sertifikatai registruojami ir sertifikavimo priežiūra atliekama naudojantis Pastatų energinio naudingumo sertifikatų ir pastatų energinio naudingumo sertifikavimo ekspertų informacine sistema. Pastatų energinio naudingumo sertifikavimo ekspertas turi sumokėti pastatų energinio naudingumo sertifikavimą prižiūrinčiai institucijai jos nustatytą įmoką, suderintą su Aplinkos ministerija,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Nustatytas įmokos dydis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institucija ar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1-1 str."/>
                <w:tag w:val="part_0817d9f671514df2aac5718fc6f5fe20"/>
                <w:lock w:val="sdtLocked"/>
                <w:richText/>
              </w:sdtPr>
              <w:sdtContent>
                <w:p>
                  <w:pPr>
                    <w:spacing w:line="360" w:lineRule="auto"/>
                    <w:ind w:firstLine="720"/>
                    <w:jc w:val="both"/>
                    <w:textAlignment w:val="baseline"/>
                    <w:rPr>
                      <w:szCs w:val="24"/>
                      <w:lang w:eastAsia="lt-LT"/>
                    </w:rPr>
                  </w:pPr>
                  <w:sdt>
                    <w:sdtPr>
                      <w:alias w:val="Numeris"/>
                      <w:tag w:val="nr_0817d9f671514df2aac5718fc6f5fe20"/>
                      <w:lock w:val="sdtLocked"/>
                      <w:richText/>
                    </w:sdt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0817d9f671514df2aac5718fc6f5fe20"/>
                      <w:lock w:val="sdtLocked"/>
                      <w:richText/>
                    </w:sdtPr>
                    <w:sdtContent>
                      <w:r>
                        <w:rPr>
                          <w:b/>
                          <w:bCs/>
                          <w:szCs w:val="24"/>
                          <w:lang w:eastAsia="lt-LT"/>
                        </w:rPr>
                        <w:t>Konsultaciniai centrai</w:t>
                      </w:r>
                    </w:sdtContent>
                  </w:sdt>
                </w:p>
                <w:sdt>
                  <w:sdtPr>
                    <w:alias w:val="51-1 str. 1 d."/>
                    <w:tag w:val="part_822fc1b634054f1981ad39a190065625"/>
                    <w:lock w:val="sdtLocked"/>
                    <w:richText/>
                  </w:sdtPr>
                  <w:sdtContent>
                    <w:p>
                      <w:pPr>
                        <w:spacing w:line="360" w:lineRule="auto"/>
                        <w:ind w:firstLine="720"/>
                        <w:jc w:val="both"/>
                        <w:textAlignment w:val="baseline"/>
                        <w:rPr>
                          <w:szCs w:val="24"/>
                          <w:lang w:eastAsia="lt-LT"/>
                        </w:rPr>
                      </w:pPr>
                      <w:sdt>
                        <w:sdtPr>
                          <w:alias w:val="Numeris"/>
                          <w:tag w:val="nr_822fc1b634054f1981ad39a190065625"/>
                          <w:lock w:val="sdtLocked"/>
                          <w:richText/>
                        </w:sdtPr>
                        <w:sdtContent>
                          <w:r>
                            <w:rPr>
                              <w:szCs w:val="24"/>
                              <w:lang w:eastAsia="lt-LT"/>
                            </w:rPr>
                            <w:t>1</w:t>
                          </w:r>
                        </w:sdtContent>
                      </w:sdt>
                      <w:r>
                        <w:rPr>
                          <w:szCs w:val="24"/>
                          <w:lang w:eastAsia="lt-LT"/>
                        </w:rPr>
                        <w:t>. Aplinkos ministro įgaliota institucija ar įstaiga steigia vieno langelio principu veikiančius centrus, kurie konsultuoja, teikia metodinę pagalbą</w:t>
                      </w:r>
                      <w:r>
                        <w:rPr>
                          <w:szCs w:val="24"/>
                        </w:rPr>
                        <w:t xml:space="preserve"> </w:t>
                      </w:r>
                      <w:r>
                        <w:rPr>
                          <w:szCs w:val="24"/>
                          <w:lang w:eastAsia="lt-LT"/>
                        </w:rPr>
                        <w:t xml:space="preserve">visiems pastatų atnaujinimo (modernizavimo) procese dalyvaujantiems subjektams pastatų energinio naudingumo gerinimo klausimais, taip pat atlieka kitas aplinkos ministro nustatytas ir Direktyvos </w:t>
                      </w:r>
                      <w:hyperlink r:id="rId90" w:tgtFrame="_blank" w:history="1">
                        <w:r>
                          <w:rPr>
                            <w:color w:val="0000FF" w:themeColor="hyperlink"/>
                            <w:szCs w:val="24"/>
                            <w:u w:val="single"/>
                            <w:lang w:eastAsia="lt-LT"/>
                          </w:rPr>
                          <w:t>(ES) 2024/1275</w:t>
                        </w:r>
                      </w:hyperlink>
                      <w:r>
                        <w:rPr>
                          <w:szCs w:val="24"/>
                          <w:lang w:eastAsia="lt-LT"/>
                        </w:rPr>
                        <w:t xml:space="preserve"> 18 straipsnyje nurodytas funkcijas.</w:t>
                      </w:r>
                    </w:p>
                  </w:sdtContent>
                </w:sdt>
                <w:sdt>
                  <w:sdtPr>
                    <w:alias w:val="51-1 str. 2 d."/>
                    <w:tag w:val="part_da4915811bdc46a1b1ce32bb3af89bae"/>
                    <w:lock w:val="sdtLocked"/>
                    <w:richText/>
                  </w:sdtPr>
                  <w:sdtContent>
                    <w:p>
                      <w:pPr>
                        <w:spacing w:line="360" w:lineRule="auto"/>
                        <w:ind w:firstLine="720"/>
                        <w:jc w:val="both"/>
                        <w:textAlignment w:val="baseline"/>
                        <w:rPr>
                          <w:szCs w:val="24"/>
                          <w:lang w:eastAsia="lt-LT"/>
                        </w:rPr>
                      </w:pPr>
                      <w:sdt>
                        <w:sdtPr>
                          <w:alias w:val="Numeris"/>
                          <w:tag w:val="nr_da4915811bdc46a1b1ce32bb3af89bae"/>
                          <w:lock w:val="sdtLocked"/>
                          <w:richText/>
                        </w:sdtPr>
                        <w:sdtContent>
                          <w:r>
                            <w:rPr>
                              <w:szCs w:val="24"/>
                              <w:lang w:eastAsia="lt-LT"/>
                            </w:rPr>
                            <w:t>2</w:t>
                          </w:r>
                        </w:sdtContent>
                      </w:sdt>
                      <w:r>
                        <w:rPr>
                          <w:szCs w:val="24"/>
                          <w:lang w:eastAsia="lt-LT"/>
                        </w:rPr>
                        <w:t>. Šio straipsnio 1 dalyje nurodytų centrų teikiamų paslaugų sąrašą, veiklos organizavimo tvarką ir veiklos teritoriją nustato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2-1 d."/>
                    <w:tag w:val="part_8df703532b5a4aeeae9b9bf0ce466aa4"/>
                    <w:lock w:val="sdtLocked"/>
                    <w:richText/>
                  </w:sdtPr>
                  <w:sdtContent>
                    <w:p>
                      <w:pPr>
                        <w:spacing w:line="360" w:lineRule="auto"/>
                        <w:ind w:firstLine="720"/>
                        <w:jc w:val="both"/>
                        <w:rPr>
                          <w:szCs w:val="24"/>
                          <w:lang w:eastAsia="lt-LT"/>
                        </w:rPr>
                      </w:pPr>
                      <w:sdt>
                        <w:sdtPr>
                          <w:alias w:val="Numeris"/>
                          <w:tag w:val="nr_8df703532b5a4aeeae9b9bf0ce466aa4"/>
                          <w:lock w:val="sdtLocked"/>
                          <w:richText/>
                        </w:sdtPr>
                        <w:sdtContent>
                          <w:r>
                            <w:rPr>
                              <w:szCs w:val="24"/>
                              <w:lang w:eastAsia="lt-LT"/>
                            </w:rPr>
                            <w:t>2</w:t>
                          </w:r>
                          <w:r>
                            <w:rPr>
                              <w:szCs w:val="24"/>
                              <w:vertAlign w:val="superscript"/>
                              <w:lang w:eastAsia="lt-LT"/>
                            </w:rPr>
                            <w:t>1</w:t>
                          </w:r>
                        </w:sdtContent>
                      </w:sdt>
                      <w:r>
                        <w:rPr>
                          <w:szCs w:val="24"/>
                          <w:lang w:eastAsia="lt-LT"/>
                        </w:rPr>
                        <w:t>.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(Civilinio kodekso 4.84 straipsnyje nustatyta tvarka paskirti daugiabučių namų bendrojo naudojimo objektų administratoriai, daugiabučių namų bendrojo naudojimo objektams valdyti įsteigtų bendrijų pirmininkai ar daugiabučių namų butų ir kitų patalpų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pastatų techniniai prižiūrėtojai, pastatų inžinerinių sistemų techninės priežiūros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arba fizinio asmens vardas, pavardė,</w:t>
                      </w:r>
                      <w:r>
                        <w:rPr>
                          <w:szCs w:val="24"/>
                          <w:shd w:val="clear" w:color="auto" w:fill="FFFFFF"/>
                        </w:rPr>
                        <w:t xml:space="preserve"> </w:t>
                      </w:r>
                      <w:r>
                        <w:rPr>
                          <w:szCs w:val="24"/>
                          <w:lang w:eastAsia="lt-LT"/>
                        </w:rPr>
                        <w:t>telefono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0924c1b3a417417a9e899e1dc3f3fc16"/>
        <w:lock w:val="sdtLocked"/>
        <w:richText/>
      </w:sdtPr>
      <w:sdtContent>
        <w:p>
          <w:pPr>
            <w:tabs>
              <w:tab w:val="left" w:pos="1418"/>
            </w:tabs>
            <w:suppressAutoHyphens/>
            <w:ind w:firstLine="6804"/>
            <w:jc w:val="both"/>
            <w:textAlignment w:val="baseline"/>
            <w:rPr>
              <w:szCs w:val="24"/>
            </w:rPr>
          </w:pPr>
          <w:r>
            <w:rPr>
              <w:szCs w:val="24"/>
            </w:rPr>
            <w:t>Lietuvos Respublikos</w:t>
          </w:r>
        </w:p>
        <w:p>
          <w:pPr>
            <w:tabs>
              <w:tab w:val="left" w:pos="1418"/>
            </w:tabs>
            <w:suppressAutoHyphens/>
            <w:ind w:firstLine="6804"/>
            <w:jc w:val="both"/>
            <w:textAlignment w:val="baseline"/>
            <w:rPr>
              <w:szCs w:val="24"/>
            </w:rPr>
          </w:pPr>
          <w:r>
            <w:rPr>
              <w:szCs w:val="24"/>
            </w:rPr>
            <w:t>statybos įstatymo</w:t>
          </w:r>
        </w:p>
        <w:p>
          <w:pPr>
            <w:tabs>
              <w:tab w:val="left" w:pos="1418"/>
            </w:tabs>
            <w:suppressAutoHyphens/>
            <w:ind w:firstLine="6804"/>
            <w:jc w:val="both"/>
            <w:textAlignment w:val="baseline"/>
            <w:rPr>
              <w:szCs w:val="24"/>
            </w:rPr>
          </w:pPr>
          <w:sdt>
            <w:sdtPr>
              <w:alias w:val="Numeris"/>
              <w:tag w:val="nr_0924c1b3a417417a9e899e1dc3f3fc16"/>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szCs w:val="24"/>
            </w:rPr>
          </w:pPr>
          <w:sdt>
            <w:sdtPr>
              <w:alias w:val="Pavadinimas"/>
              <w:tag w:val="title_0924c1b3a417417a9e899e1dc3f3fc16"/>
              <w:lock w:val="sdtLocked"/>
              <w:richText/>
            </w:sdtPr>
            <w:sdtContent>
              <w:r>
                <w:rPr>
                  <w:b/>
                  <w:szCs w:val="24"/>
                </w:rPr>
                <w:t>ĮGYVENDINAMI EUROPOS SĄJUNGOS TEISĖS AKTAI</w:t>
              </w:r>
            </w:sdtContent>
          </w:sdt>
        </w:p>
        <w:p>
          <w:pPr>
            <w:spacing w:line="360" w:lineRule="auto"/>
            <w:ind w:firstLine="720"/>
            <w:jc w:val="center"/>
            <w:rPr>
              <w:szCs w:val="24"/>
            </w:rPr>
          </w:pPr>
        </w:p>
        <w:sdt>
          <w:sdtPr>
            <w:alias w:val="2 pr. 1 p."/>
            <w:tag w:val="part_8acd9d64d350453bbea4e2882ef6a3c1"/>
            <w:lock w:val="sdtLocked"/>
            <w:richText/>
          </w:sdtPr>
          <w:sdtContent>
            <w:p>
              <w:pPr>
                <w:spacing w:line="360" w:lineRule="auto"/>
                <w:ind w:firstLine="720"/>
                <w:jc w:val="both"/>
                <w:textAlignment w:val="baseline"/>
                <w:rPr>
                  <w:szCs w:val="24"/>
                </w:rPr>
              </w:pPr>
              <w:sdt>
                <w:sdtPr>
                  <w:alias w:val="Numeris"/>
                  <w:tag w:val="nr_8acd9d64d350453bbea4e2882ef6a3c1"/>
                  <w:lock w:val="sdtLocked"/>
                  <w:richText/>
                </w:sdtPr>
                <w:sdtContent>
                  <w:r>
                    <w:rPr>
                      <w:szCs w:val="24"/>
                    </w:rPr>
                    <w:t>1</w:t>
                  </w:r>
                </w:sdtContent>
              </w:sdt>
              <w:r>
                <w:rPr>
                  <w:szCs w:val="24"/>
                </w:rPr>
                <w:t xml:space="preserve">. 1992 m. birželio 24 d. Tarybos direktyva </w:t>
              </w:r>
              <w:hyperlink r:id="rId91" w:tgtFrame="_blank" w:history="1">
                <w:r>
                  <w:rPr>
                    <w:color w:val="0000FF" w:themeColor="hyperlink"/>
                    <w:szCs w:val="24"/>
                    <w:u w:val="single"/>
                  </w:rPr>
                  <w:t>92/57/EEB</w:t>
                </w:r>
              </w:hyperlink>
              <w:r>
                <w:rPr>
                  <w:szCs w:val="24"/>
                </w:rPr>
                <w:t xml:space="preserve"> dėl būtiniausių saugos ir sveikatos reikalavimų laikinosiose arba kilnojamosiose statybvietėse įgyvendinimo (aštuntoji atskira direktyva, kaip numatyta Direktyvos </w:t>
              </w:r>
              <w:hyperlink r:id="rId92" w:tgtFrame="_blank" w:history="1">
                <w:r>
                  <w:rPr>
                    <w:color w:val="0000FF" w:themeColor="hyperlink"/>
                    <w:szCs w:val="24"/>
                    <w:u w:val="single"/>
                  </w:rPr>
                  <w:t>89/391/EEB</w:t>
                </w:r>
              </w:hyperlink>
              <w:r>
                <w:rPr>
                  <w:szCs w:val="24"/>
                </w:rPr>
                <w:t xml:space="preserve"> 16 straipsnio 1 dalyje).</w:t>
              </w:r>
            </w:p>
          </w:sdtContent>
        </w:sdt>
        <w:sdt>
          <w:sdtPr>
            <w:alias w:val="2 pr. 2 p."/>
            <w:tag w:val="part_9266f6183503414abf0b7b9e6af07712"/>
            <w:lock w:val="sdtLocked"/>
            <w:richText/>
          </w:sdtPr>
          <w:sdtContent>
            <w:p>
              <w:pPr>
                <w:spacing w:line="360" w:lineRule="auto"/>
                <w:ind w:firstLine="720"/>
                <w:jc w:val="both"/>
                <w:textAlignment w:val="baseline"/>
                <w:rPr>
                  <w:szCs w:val="24"/>
                </w:rPr>
              </w:pPr>
              <w:sdt>
                <w:sdtPr>
                  <w:alias w:val="Numeris"/>
                  <w:tag w:val="nr_9266f6183503414abf0b7b9e6af07712"/>
                  <w:lock w:val="sdtLocked"/>
                  <w:richText/>
                </w:sdtPr>
                <w:sdtContent>
                  <w:r>
                    <w:rPr>
                      <w:szCs w:val="24"/>
                    </w:rPr>
                    <w:t>2</w:t>
                  </w:r>
                </w:sdtContent>
              </w:sdt>
              <w:r>
                <w:rPr>
                  <w:szCs w:val="24"/>
                </w:rPr>
                <w:t xml:space="preserve">. 2008 m. liepos 9 d. Europos Parlamento ir Tarybos reglamentas </w:t>
              </w:r>
              <w:hyperlink r:id="rId93" w:tgtFrame="_blank" w:history="1">
                <w:r>
                  <w:rPr>
                    <w:color w:val="0000FF" w:themeColor="hyperlink"/>
                    <w:szCs w:val="24"/>
                    <w:u w:val="single"/>
                  </w:rPr>
                  <w:t>(EB) Nr. 765/2008</w:t>
                </w:r>
              </w:hyperlink>
              <w:r>
                <w:rPr>
                  <w:szCs w:val="24"/>
                </w:rPr>
                <w:t xml:space="preserve">, nustatantis su gaminių prekyba susijusius akreditavimo ir rinkos priežiūros reikalavimus ir panaikinantis Reglamentą </w:t>
              </w:r>
              <w:hyperlink r:id="rId94" w:tgtFrame="_blank" w:history="1">
                <w:r>
                  <w:rPr>
                    <w:color w:val="0000FF" w:themeColor="hyperlink"/>
                    <w:szCs w:val="24"/>
                    <w:u w:val="single"/>
                  </w:rPr>
                  <w:t>(EEB) Nr. 339/93</w:t>
                </w:r>
              </w:hyperlink>
              <w:r>
                <w:rPr>
                  <w:szCs w:val="24"/>
                </w:rPr>
                <w:t>.</w:t>
              </w:r>
            </w:p>
          </w:sdtContent>
        </w:sdt>
        <w:sdt>
          <w:sdtPr>
            <w:alias w:val="2 pr. 3 p."/>
            <w:tag w:val="part_62f404ae9c934a87a10a21f1c8e91a5e"/>
            <w:lock w:val="sdtLocked"/>
            <w:richText/>
          </w:sdtPr>
          <w:sdtContent>
            <w:p>
              <w:pPr>
                <w:spacing w:line="360" w:lineRule="auto"/>
                <w:ind w:firstLine="720"/>
                <w:jc w:val="both"/>
                <w:textAlignment w:val="baseline"/>
                <w:rPr>
                  <w:szCs w:val="24"/>
                </w:rPr>
              </w:pPr>
              <w:sdt>
                <w:sdtPr>
                  <w:alias w:val="Numeris"/>
                  <w:tag w:val="nr_62f404ae9c934a87a10a21f1c8e91a5e"/>
                  <w:lock w:val="sdtLocked"/>
                  <w:richText/>
                </w:sdtPr>
                <w:sdtContent>
                  <w:r>
                    <w:rPr>
                      <w:szCs w:val="24"/>
                    </w:rPr>
                    <w:t>3</w:t>
                  </w:r>
                </w:sdtContent>
              </w:sdt>
              <w:r>
                <w:rPr>
                  <w:szCs w:val="24"/>
                </w:rPr>
                <w:t xml:space="preserve">. 2011 m. gruodžio 13 d. Europos Parlamento ir Tarybos direktyva </w:t>
              </w:r>
              <w:hyperlink r:id="rId95" w:tgtFrame="_blank" w:history="1">
                <w:r>
                  <w:rPr>
                    <w:color w:val="0000FF" w:themeColor="hyperlink"/>
                    <w:szCs w:val="24"/>
                    <w:u w:val="single"/>
                  </w:rPr>
                  <w:t>2011/92/ES</w:t>
                </w:r>
              </w:hyperlink>
              <w:r>
                <w:rPr>
                  <w:szCs w:val="24"/>
                </w:rPr>
                <w:t xml:space="preserve"> dėl tam tikrų valstybės ir privačių projektų poveikio aplinkai vertinimo su paskutiniais pakeitimais, padarytais 2014 m. balandžio 16 d. Europos Parlamento ir Tarybos direktyva </w:t>
              </w:r>
              <w:hyperlink r:id="rId96" w:tgtFrame="_blank" w:history="1">
                <w:r>
                  <w:rPr>
                    <w:color w:val="0000FF" w:themeColor="hyperlink"/>
                    <w:szCs w:val="24"/>
                    <w:u w:val="single"/>
                  </w:rPr>
                  <w:t>2014/52/ES</w:t>
                </w:r>
              </w:hyperlink>
              <w:r>
                <w:rPr>
                  <w:szCs w:val="24"/>
                </w:rPr>
                <w:t>.</w:t>
              </w:r>
            </w:p>
          </w:sdtContent>
        </w:sdt>
        <w:sdt>
          <w:sdtPr>
            <w:alias w:val="2 pr. 4 p."/>
            <w:tag w:val="part_f5fd24ee1f3a4ec9983d3e01e4382135"/>
            <w:lock w:val="sdtLocked"/>
            <w:richText/>
          </w:sdtPr>
          <w:sdtContent>
            <w:p>
              <w:pPr>
                <w:spacing w:line="360" w:lineRule="auto"/>
                <w:ind w:firstLine="720"/>
                <w:jc w:val="both"/>
                <w:textAlignment w:val="baseline"/>
                <w:rPr>
                  <w:szCs w:val="24"/>
                </w:rPr>
              </w:pPr>
              <w:sdt>
                <w:sdtPr>
                  <w:alias w:val="Numeris"/>
                  <w:tag w:val="nr_f5fd24ee1f3a4ec9983d3e01e4382135"/>
                  <w:lock w:val="sdtLocked"/>
                  <w:richText/>
                </w:sdtPr>
                <w:sdtContent>
                  <w:r>
                    <w:rPr>
                      <w:szCs w:val="24"/>
                    </w:rPr>
                    <w:t>4</w:t>
                  </w:r>
                </w:sdtContent>
              </w:sdt>
              <w:r>
                <w:rPr>
                  <w:szCs w:val="24"/>
                </w:rPr>
                <w:t xml:space="preserve">. 2014 m. gegužės 15 d. Europos Parlamento ir Tarybos direktyva </w:t>
              </w:r>
              <w:hyperlink r:id="rId97" w:tgtFrame="_blank" w:history="1">
                <w:r>
                  <w:rPr>
                    <w:color w:val="0000FF" w:themeColor="hyperlink"/>
                    <w:szCs w:val="24"/>
                    <w:u w:val="single"/>
                  </w:rPr>
                  <w:t>2014/61/ES</w:t>
                </w:r>
              </w:hyperlink>
              <w:r>
                <w:rPr>
                  <w:szCs w:val="24"/>
                </w:rPr>
                <w:t xml:space="preserve"> dėl priemonių sparčiojo elektroninių ryšių tinklų diegimo sąnaudoms mažinti.</w:t>
              </w:r>
            </w:p>
          </w:sdtContent>
        </w:sdt>
        <w:sdt>
          <w:sdtPr>
            <w:alias w:val="2 pr. 5 p."/>
            <w:tag w:val="part_60166c2191aa427ba159d80b99467b3d"/>
            <w:lock w:val="sdtLocked"/>
            <w:richText/>
          </w:sdtPr>
          <w:sdtContent>
            <w:p>
              <w:pPr>
                <w:spacing w:line="360" w:lineRule="auto"/>
                <w:ind w:firstLine="720"/>
                <w:jc w:val="both"/>
                <w:textAlignment w:val="baseline"/>
                <w:rPr>
                  <w:szCs w:val="24"/>
                </w:rPr>
              </w:pPr>
              <w:sdt>
                <w:sdtPr>
                  <w:alias w:val="Numeris"/>
                  <w:tag w:val="nr_60166c2191aa427ba159d80b99467b3d"/>
                  <w:lock w:val="sdtLocked"/>
                  <w:richText/>
                </w:sdtPr>
                <w:sdtContent>
                  <w:r>
                    <w:rPr>
                      <w:szCs w:val="24"/>
                    </w:rPr>
                    <w:t>5</w:t>
                  </w:r>
                </w:sdtContent>
              </w:sdt>
              <w:r>
                <w:rPr>
                  <w:szCs w:val="24"/>
                </w:rPr>
                <w:t xml:space="preserve">. 2024 m. sausio 23 d. Komisijos deleguotasis reglamentas </w:t>
              </w:r>
              <w:hyperlink r:id="rId98" w:tgtFrame="_blank" w:history="1">
                <w:r>
                  <w:rPr>
                    <w:color w:val="0000FF" w:themeColor="hyperlink"/>
                    <w:szCs w:val="24"/>
                    <w:u w:val="single"/>
                  </w:rPr>
                  <w:t>(ES) 2024/370</w:t>
                </w:r>
              </w:hyperlink>
              <w:r>
                <w:rPr>
                  <w:szCs w:val="24"/>
                </w:rPr>
                <w:t xml:space="preserve">, kuriuo Europos Parlamento ir Tarybos direktyva </w:t>
              </w:r>
              <w:hyperlink r:id="rId99" w:tgtFrame="_blank" w:history="1">
                <w:r>
                  <w:rPr>
                    <w:color w:val="0000FF" w:themeColor="hyperlink"/>
                    <w:szCs w:val="24"/>
                    <w:u w:val="single"/>
                  </w:rPr>
                  <w:t>(ES) 2020/2184</w:t>
                </w:r>
              </w:hyperlink>
              <w:r>
                <w:rPr>
                  <w:szCs w:val="24"/>
                </w:rPr>
                <w:t xml:space="preserve"> papildoma nustatant gaminių, kurie liečiasi su žmonėms vartoti skirtu vandeniu, atitikties vertinimo procedūras ir tas procedūras atliekančių atitikties vertinimo įstaigų skyrimo taisykles.</w:t>
              </w:r>
            </w:p>
          </w:sdtContent>
        </w:sdt>
        <w:sdt>
          <w:sdtPr>
            <w:alias w:val="2 pr. 6 p."/>
            <w:tag w:val="part_295192e46e754bb0ab45186af4827c1e"/>
            <w:lock w:val="sdtLocked"/>
            <w:richText/>
          </w:sdtPr>
          <w:sdtContent>
            <w:p>
              <w:pPr>
                <w:spacing w:line="360" w:lineRule="auto"/>
                <w:ind w:firstLine="720"/>
                <w:jc w:val="both"/>
                <w:textAlignment w:val="baseline"/>
                <w:rPr>
                  <w:szCs w:val="24"/>
                </w:rPr>
              </w:pPr>
              <w:sdt>
                <w:sdtPr>
                  <w:alias w:val="Numeris"/>
                  <w:tag w:val="nr_295192e46e754bb0ab45186af4827c1e"/>
                  <w:lock w:val="sdtLocked"/>
                  <w:richText/>
                </w:sdtPr>
                <w:sdtContent>
                  <w:r>
                    <w:rPr>
                      <w:szCs w:val="24"/>
                    </w:rPr>
                    <w:t>6</w:t>
                  </w:r>
                </w:sdtContent>
              </w:sdt>
              <w:r>
                <w:rPr>
                  <w:szCs w:val="24"/>
                </w:rPr>
                <w:t xml:space="preserve">. 2024 m. balandžio 24 d. Europos Parlamento ir Tarybos direktyva </w:t>
              </w:r>
              <w:hyperlink r:id="rId100" w:tgtFrame="_blank" w:history="1">
                <w:r>
                  <w:rPr>
                    <w:color w:val="0000FF" w:themeColor="hyperlink"/>
                    <w:szCs w:val="24"/>
                    <w:u w:val="single"/>
                  </w:rPr>
                  <w:t>(ES) 2024/1275</w:t>
                </w:r>
              </w:hyperlink>
              <w:r>
                <w:rPr>
                  <w:szCs w:val="24"/>
                </w:rPr>
                <w:t xml:space="preserve"> dėl pastatų energinio naudingumo.</w:t>
              </w:r>
            </w:p>
          </w:sdtContent>
        </w:sdt>
        <w:sdt>
          <w:sdtPr>
            <w:alias w:val="2 pr. 7 p."/>
            <w:tag w:val="part_2bb81d70a27d4768aa89a94f7ec28b91"/>
            <w:lock w:val="sdtLocked"/>
            <w:richText/>
          </w:sdtPr>
          <w:sdtContent>
            <w:p>
              <w:pPr>
                <w:spacing w:line="360" w:lineRule="auto"/>
                <w:ind w:firstLine="720"/>
                <w:jc w:val="both"/>
                <w:textAlignment w:val="baseline"/>
              </w:pPr>
              <w:sdt>
                <w:sdtPr>
                  <w:alias w:val="Numeris"/>
                  <w:tag w:val="nr_2bb81d70a27d4768aa89a94f7ec28b91"/>
                  <w:lock w:val="sdtLocked"/>
                  <w:richText/>
                </w:sdtPr>
                <w:sdtContent>
                  <w:r>
                    <w:rPr>
                      <w:szCs w:val="24"/>
                    </w:rPr>
                    <w:t>7</w:t>
                  </w:r>
                </w:sdtContent>
              </w:sdt>
              <w:r>
                <w:rPr>
                  <w:szCs w:val="24"/>
                </w:rPr>
                <w:t xml:space="preserve">. 2024 m. lapkričio 27 d. Europos Parlamento ir Tarybos reglamentas </w:t>
              </w:r>
              <w:hyperlink r:id="rId101" w:tgtFrame="_blank" w:history="1">
                <w:r>
                  <w:rPr>
                    <w:color w:val="0000FF" w:themeColor="hyperlink"/>
                    <w:szCs w:val="24"/>
                    <w:u w:val="single"/>
                  </w:rPr>
                  <w:t>(ES) 2024/3110</w:t>
                </w:r>
              </w:hyperlink>
              <w:r>
                <w:rPr>
                  <w:szCs w:val="24"/>
                </w:rPr>
                <w:t xml:space="preserve">, kuriuo nustatomos suderintos statybos produktų rinkodaros taisyklės ir panaikinamas Reglamentas </w:t>
              </w:r>
              <w:hyperlink r:id="rId102" w:tgtFrame="_blank" w:history="1">
                <w:r>
                  <w:rPr>
                    <w:color w:val="0000FF" w:themeColor="hyperlink"/>
                    <w:szCs w:val="24"/>
                    <w:u w:val="single"/>
                  </w:rPr>
                  <w:t>(ES) 305/2011</w:t>
                </w:r>
              </w:hyperlink>
            </w:p>
            <w:p>
              <w:pPr>
                <w:spacing w:line="360" w:lineRule="auto"/>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priedas"/>
        <w:tag w:val="part_2d4745e99a2e4b0788e206b40aafaaa8"/>
        <w:lock w:val="sdtLocked"/>
        <w:richText/>
      </w:sdtPr>
      <w:sdtContent>
        <w:sdt>
          <w:sdtPr>
            <w:alias w:val="Pavadinimas"/>
            <w:tag w:val="title_2d4745e99a2e4b0788e206b40aafaaa8"/>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value" w:val="2010"/>
                  <w:attr w:name="metric_text" w:val="m"/>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text" w:val="m"/>
                  <w:attr w:name="metric_value" w:val="2010"/>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a2f42afd011f092fda1fd0c194cc5">
            <w:r w:rsidRPr="00532B9F">
              <w:rPr>
                <w:rFonts w:ascii="Times New Roman" w:eastAsia="MS Mincho" w:hAnsi="Times New Roman"/>
                <w:sz w:val="20"/>
                <w:iCs/>
                <w:color w:val="0000FF" w:themeColor="hyperlink"/>
                <w:u w:val="single"/>
              </w:rPr>
              <w:t>XV-489</w:t>
            </w:r>
          </w:fldSimple>
          <w:r>
            <w:rPr>
              <w:rFonts w:ascii="Times New Roman" w:eastAsia="MS Mincho" w:hAnsi="Times New Roman"/>
              <w:sz w:val="20"/>
              <w:iCs/>
            </w:rPr>
            <w:t>,
2025-10-16,
paskelbta TAR 2025-10-23, i. k. 2025-17646                </w:t>
          </w:r>
        </w:p>
        <w:p>
          <w:pPr>
            <w:jc w:val="both"/>
            <w:rPr>
              <w:rFonts w:ascii="Times New Roman" w:hAnsi="Times New Roman"/>
            </w:rPr>
          </w:pPr>
          <w:r>
            <w:rPr>
              <w:rFonts w:ascii="Times New Roman" w:hAnsi="Times New Roman"/>
              <w:sz w:val="20"/>
            </w:rPr>
            <w:t>Lietuvos Respublikos statybos įstatymo Nr. I-1240 1, 2, 4, 5, 6, 8, 10, 11, 21, 34, 47, 48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41b2715c11f1b53dfa020e517810">
            <w:r w:rsidRPr="00532B9F">
              <w:rPr>
                <w:rFonts w:ascii="Times New Roman" w:eastAsia="MS Mincho" w:hAnsi="Times New Roman"/>
                <w:sz w:val="20"/>
                <w:iCs/>
                <w:color w:val="0000FF" w:themeColor="hyperlink"/>
                <w:u w:val="single"/>
              </w:rPr>
              <w:t>XV-1034</w:t>
            </w:r>
          </w:fldSimple>
          <w:r>
            <w:rPr>
              <w:rFonts w:ascii="Times New Roman" w:eastAsia="MS Mincho" w:hAnsi="Times New Roman"/>
              <w:sz w:val="20"/>
              <w:iCs/>
            </w:rPr>
            <w:t>,
2026-06-11,
paskelbta TAR 2026-06-26, i. k. 2026-11111                </w:t>
          </w:r>
        </w:p>
        <w:p>
          <w:pPr>
            <w:jc w:val="both"/>
            <w:rPr>
              <w:rFonts w:ascii="Times New Roman" w:hAnsi="Times New Roman"/>
            </w:rPr>
          </w:pPr>
          <w:r>
            <w:rPr>
              <w:rFonts w:ascii="Times New Roman" w:hAnsi="Times New Roman"/>
              <w:sz w:val="20"/>
            </w:rPr>
            <w:t>Lietuvos Respublikos statybos įstatymo Nr. I-1240 2, 11-1, 11-2, 27, 51, 53 straipsnių, 2 priedo pakeitimo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0db62648811f1b53dfa020e517810">
            <w:r w:rsidRPr="00532B9F">
              <w:rPr>
                <w:rFonts w:ascii="Times New Roman" w:eastAsia="MS Mincho" w:hAnsi="Times New Roman"/>
                <w:sz w:val="20"/>
                <w:iCs/>
                <w:color w:val="0000FF" w:themeColor="hyperlink"/>
                <w:u w:val="single"/>
              </w:rPr>
              <w:t>XV-983</w:t>
            </w:r>
          </w:fldSimple>
          <w:r>
            <w:rPr>
              <w:rFonts w:ascii="Times New Roman" w:eastAsia="MS Mincho" w:hAnsi="Times New Roman"/>
              <w:sz w:val="20"/>
              <w:iCs/>
            </w:rPr>
            <w:t>,
2026-06-02,
paskelbta TAR 2026-06-10, i. k. 2026-10158                </w:t>
          </w:r>
        </w:p>
        <w:p>
          <w:pPr>
            <w:jc w:val="both"/>
            <w:rPr>
              <w:rFonts w:ascii="Times New Roman" w:hAnsi="Times New Roman"/>
            </w:rPr>
          </w:pPr>
          <w:r>
            <w:rPr>
              <w:rFonts w:ascii="Times New Roman" w:hAnsi="Times New Roman"/>
              <w:sz w:val="20"/>
            </w:rPr>
            <w:t>Lietuvos Respublikos statybos įstatymo Nr. I-1240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8358e0cf8a11f08918e1adc7c5b1ec">
            <w:r w:rsidRPr="00532B9F">
              <w:rPr>
                <w:rFonts w:ascii="Times New Roman" w:eastAsia="MS Mincho" w:hAnsi="Times New Roman"/>
                <w:sz w:val="20"/>
                <w:iCs/>
                <w:color w:val="0000FF" w:themeColor="hyperlink"/>
                <w:u w:val="single"/>
              </w:rPr>
              <w:t>XV-547</w:t>
            </w:r>
          </w:fldSimple>
          <w:r>
            <w:rPr>
              <w:rFonts w:ascii="Times New Roman" w:eastAsia="MS Mincho" w:hAnsi="Times New Roman"/>
              <w:sz w:val="20"/>
              <w:iCs/>
            </w:rPr>
            <w:t>,
2025-11-18,
paskelbta TAR 2025-12-02, i. k. 2025-20531                </w:t>
          </w:r>
        </w:p>
        <w:p>
          <w:pPr>
            <w:jc w:val="both"/>
            <w:rPr>
              <w:rFonts w:ascii="Times New Roman" w:hAnsi="Times New Roman"/>
            </w:rPr>
          </w:pPr>
          <w:r>
            <w:rPr>
              <w:rFonts w:ascii="Times New Roman" w:hAnsi="Times New Roman"/>
              <w:sz w:val="20"/>
            </w:rPr>
            <w:t>Lietuvos Respublikos statybos įstatymo Nr. I-1240 24, 27 ir 27-1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Times">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Andale Sans UI">
    <w:altName w:val="Times New Roman"/>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2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037938A"/>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9.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24L1275&amp;locale=lt"/>
  <Relationship Id="rId101" Type="http://schemas.openxmlformats.org/officeDocument/2006/relationships/hyperlink" TargetMode="External" Target="http://eur-lex.europa.eu/legal-content/LIT/TXT/?uri=CELEX:32024R3110&amp;locale=lt"/>
  <Relationship Id="rId102" Type="http://schemas.openxmlformats.org/officeDocument/2006/relationships/hyperlink" TargetMode="External" Target="http://eur-lex.europa.eu/legal-content/LIT/TXT/?uri=CELEX:32305R2011&amp;locale=lt"/>
  <Relationship Id="rId103" Type="http://schemas.openxmlformats.org/officeDocument/2006/relationships/customXml" Target="../customXml/item2.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40.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39.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40.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41.xml"/>
  <Relationship Id="rId50" Type="http://schemas.openxmlformats.org/officeDocument/2006/relationships/hyperlink" TargetMode="External" Target="http://www3.lrs.lt/cgi-bin/preps2?a=453050&amp;b="/>
  <Relationship Id="rId51" Type="http://schemas.openxmlformats.org/officeDocument/2006/relationships/hyperlink" TargetMode="External" Target="http://eur-lex.europa.eu/legal-content/LIT/TXT/?uri=CELEX:32024R3110&amp;locale=lt"/>
  <Relationship Id="rId52" Type="http://schemas.openxmlformats.org/officeDocument/2006/relationships/hyperlink" TargetMode="External" Target="http://eur-lex.europa.eu/legal-content/LIT/TXT/?uri=CELEX:32024R3110&amp;locale=lt"/>
  <Relationship Id="rId53" Type="http://schemas.openxmlformats.org/officeDocument/2006/relationships/hyperlink" TargetMode="External" Target="http://eur-lex.europa.eu/legal-content/LIT/TXT/?uri=CELEX:32024R3110&amp;locale=lt"/>
  <Relationship Id="rId54" Type="http://schemas.openxmlformats.org/officeDocument/2006/relationships/hyperlink" TargetMode="External" Target="http://eur-lex.europa.eu/legal-content/LIT/TXT/?uri=CELEX:32024R3110&amp;locale=lt"/>
  <Relationship Id="rId55" Type="http://schemas.openxmlformats.org/officeDocument/2006/relationships/hyperlink" TargetMode="External" Target="http://eur-lex.europa.eu/legal-content/LIT/TXT/?uri=CELEX:32024R3110&amp;locale=lt"/>
  <Relationship Id="rId56" Type="http://schemas.openxmlformats.org/officeDocument/2006/relationships/hyperlink" TargetMode="External" Target="http://eur-lex.europa.eu/legal-content/LIT/TXT/?uri=CELEX:32024R3110&amp;locale=lt"/>
  <Relationship Id="rId57" Type="http://schemas.openxmlformats.org/officeDocument/2006/relationships/hyperlink" TargetMode="External" Target="http://eur-lex.europa.eu/legal-content/LIT/TXT/?uri=CELEX:32024R3110&amp;locale=lt"/>
  <Relationship Id="rId58" Type="http://schemas.openxmlformats.org/officeDocument/2006/relationships/hyperlink" TargetMode="External" Target="http://eur-lex.europa.eu/legal-content/LIT/TXT/?uri=CELEX:32024R3110&amp;locale=lt"/>
  <Relationship Id="rId59" Type="http://schemas.openxmlformats.org/officeDocument/2006/relationships/hyperlink" TargetMode="External" Target="http://eur-lex.europa.eu/legal-content/LIT/TXT/?uri=CELEX:32024R3110&amp;locale=lt"/>
  <Relationship Id="rId6" Type="http://schemas.openxmlformats.org/officeDocument/2006/relationships/footer" Target="footer141.xml"/>
  <Relationship Id="rId60" Type="http://schemas.openxmlformats.org/officeDocument/2006/relationships/hyperlink" TargetMode="External" Target="http://eur-lex.europa.eu/legal-content/LIT/TXT/?uri=CELEX:32024R3110&amp;locale=lt"/>
  <Relationship Id="rId61" Type="http://schemas.openxmlformats.org/officeDocument/2006/relationships/hyperlink" TargetMode="External" Target="http://eur-lex.europa.eu/legal-content/LIT/TXT/?uri=CELEX:32020L2184&amp;locale=lt"/>
  <Relationship Id="rId62" Type="http://schemas.openxmlformats.org/officeDocument/2006/relationships/hyperlink" TargetMode="External" Target="http://eur-lex.europa.eu/legal-content/LIT/TXT/?uri=CELEX:32024R3110&amp;locale=lt"/>
  <Relationship Id="rId63" Type="http://schemas.openxmlformats.org/officeDocument/2006/relationships/hyperlink" TargetMode="External" Target="http://eur-lex.europa.eu/legal-content/LIT/TXT/?uri=CELEX:32024R3110&amp;locale=lt"/>
  <Relationship Id="rId64" Type="http://schemas.openxmlformats.org/officeDocument/2006/relationships/hyperlink" TargetMode="External" Target="http://eur-lex.europa.eu/legal-content/LIT/TXT/?uri=CELEX:32024R3110&amp;locale=lt"/>
  <Relationship Id="rId65" Type="http://schemas.openxmlformats.org/officeDocument/2006/relationships/hyperlink" TargetMode="External" Target="http://eur-lex.europa.eu/legal-content/LIT/TXT/?uri=CELEX:32024R3110&amp;locale=lt"/>
  <Relationship Id="rId66" Type="http://schemas.openxmlformats.org/officeDocument/2006/relationships/hyperlink" TargetMode="External" Target="http://eur-lex.europa.eu/legal-content/LIT/TXT/?uri=CELEX:32024R3110&amp;locale=lt"/>
  <Relationship Id="rId67" Type="http://schemas.openxmlformats.org/officeDocument/2006/relationships/hyperlink" TargetMode="External" Target="http://eur-lex.europa.eu/legal-content/LIT/TXT/?uri=CELEX:32024R3110&amp;locale=lt"/>
  <Relationship Id="rId68" Type="http://schemas.openxmlformats.org/officeDocument/2006/relationships/hyperlink" TargetMode="External" Target="http://eur-lex.europa.eu/legal-content/LIT/TXT/?uri=CELEX:32024R3110&amp;locale=lt"/>
  <Relationship Id="rId69" Type="http://schemas.openxmlformats.org/officeDocument/2006/relationships/hyperlink" TargetMode="External" Target="http://eur-lex.europa.eu/legal-content/LIT/TXT/?uri=CELEX:32024R311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24R3110&amp;locale=lt"/>
  <Relationship Id="rId71" Type="http://schemas.openxmlformats.org/officeDocument/2006/relationships/hyperlink" TargetMode="External" Target="http://eur-lex.europa.eu/legal-content/LIT/TXT/?uri=CELEX:32024R3110&amp;locale=lt"/>
  <Relationship Id="rId72" Type="http://schemas.openxmlformats.org/officeDocument/2006/relationships/hyperlink" TargetMode="External" Target="http://eur-lex.europa.eu/legal-content/LIT/TXT/?uri=CELEX:32024R3110&amp;locale=lt"/>
  <Relationship Id="rId73" Type="http://schemas.openxmlformats.org/officeDocument/2006/relationships/hyperlink" TargetMode="External" Target="http://eur-lex.europa.eu/legal-content/LIT/TXT/?uri=CELEX:32024R3110&amp;locale=lt"/>
  <Relationship Id="rId74" Type="http://schemas.openxmlformats.org/officeDocument/2006/relationships/hyperlink" TargetMode="External" Target="http://eur-lex.europa.eu/legal-content/LIT/TXT/?uri=CELEX:32024R3110&amp;locale=lt"/>
  <Relationship Id="rId75" Type="http://schemas.openxmlformats.org/officeDocument/2006/relationships/hyperlink" TargetMode="External" Target="http://eur-lex.europa.eu/legal-content/LIT/TXT/?uri=CELEX:32024R3110&amp;locale=lt"/>
  <Relationship Id="rId76" Type="http://schemas.openxmlformats.org/officeDocument/2006/relationships/hyperlink" TargetMode="External" Target="http://eur-lex.europa.eu/legal-content/LIT/TXT/?uri=CELEX:32024R3110&amp;locale=lt"/>
  <Relationship Id="rId77" Type="http://schemas.openxmlformats.org/officeDocument/2006/relationships/hyperlink" TargetMode="External" Target="http://eur-lex.europa.eu/legal-content/LIT/TXT/?uri=CELEX:32024R3110&amp;locale=lt"/>
  <Relationship Id="rId78" Type="http://schemas.openxmlformats.org/officeDocument/2006/relationships/hyperlink" TargetMode="External" Target="http://eur-lex.europa.eu/legal-content/LIT/TXT/?uri=CELEX:32024R3110&amp;locale=lt"/>
  <Relationship Id="rId79" Type="http://schemas.openxmlformats.org/officeDocument/2006/relationships/hyperlink" TargetMode="External" Target="http://eur-lex.europa.eu/legal-content/LIT/TXT/?uri=CELEX:32024R3110&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3110&amp;locale=lt"/>
  <Relationship Id="rId81" Type="http://schemas.openxmlformats.org/officeDocument/2006/relationships/hyperlink" TargetMode="External" Target="http://eur-lex.europa.eu/legal-content/LIT/TXT/?uri=CELEX:32024R3110&amp;locale=lt"/>
  <Relationship Id="rId82" Type="http://schemas.openxmlformats.org/officeDocument/2006/relationships/hyperlink" TargetMode="External" Target="http://eur-lex.europa.eu/legal-content/LIT/TXT/?uri=CELEX:32024R3110&amp;locale=lt"/>
  <Relationship Id="rId83" Type="http://schemas.openxmlformats.org/officeDocument/2006/relationships/hyperlink" TargetMode="External" Target="http://eur-lex.europa.eu/legal-content/LIT/TXT/?uri=CELEX:32024R3110&amp;locale=lt"/>
  <Relationship Id="rId84" Type="http://schemas.openxmlformats.org/officeDocument/2006/relationships/hyperlink" TargetMode="External" Target="http://eur-lex.europa.eu/legal-content/LIT/TXT/?uri=CELEX:32024R3110&amp;locale=lt"/>
  <Relationship Id="rId85" Type="http://schemas.openxmlformats.org/officeDocument/2006/relationships/hyperlink" TargetMode="External" Target="http://eur-lex.europa.eu/legal-content/LIT/TXT/?uri=CELEX:32024R3110&amp;locale=lt"/>
  <Relationship Id="rId86" Type="http://schemas.openxmlformats.org/officeDocument/2006/relationships/hyperlink" TargetMode="External" Target="http://eur-lex.europa.eu/legal-content/LIT/TXT/?uri=CELEX:32018R1724&amp;locale=lt"/>
  <Relationship Id="rId87" Type="http://schemas.openxmlformats.org/officeDocument/2006/relationships/hyperlink" TargetMode="External" Target="http://eur-lex.europa.eu/legal-content/LIT/TXT/?uri=CELEX:32012R1024&amp;locale=lt"/>
  <Relationship Id="rId88" Type="http://schemas.openxmlformats.org/officeDocument/2006/relationships/hyperlink" TargetMode="External" Target="http://eur-lex.europa.eu/legal-content/LIT/TXT/?uri=CELEX:32024R3110&amp;locale=lt"/>
  <Relationship Id="rId89" Type="http://schemas.openxmlformats.org/officeDocument/2006/relationships/hyperlink" TargetMode="External" Target="http://eur-lex.europa.eu/legal-content/LIT/TXT/?uri=CELEX:32024R3110&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4L1275&amp;locale=lt"/>
  <Relationship Id="rId91" Type="http://schemas.openxmlformats.org/officeDocument/2006/relationships/hyperlink" TargetMode="External" Target="http://eur-lex.europa.eu/legal-content/LIT/TXT/?uri=CELEX:31992L0057&amp;locale=lt"/>
  <Relationship Id="rId92" Type="http://schemas.openxmlformats.org/officeDocument/2006/relationships/hyperlink" TargetMode="External" Target="http://eur-lex.europa.eu/legal-content/LIT/TXT/?uri=CELEX:31989L0391&amp;locale=lt"/>
  <Relationship Id="rId93" Type="http://schemas.openxmlformats.org/officeDocument/2006/relationships/hyperlink" TargetMode="External" Target="http://eur-lex.europa.eu/legal-content/LIT/TXT/?uri=CELEX:32008R0765&amp;locale=lt"/>
  <Relationship Id="rId94" Type="http://schemas.openxmlformats.org/officeDocument/2006/relationships/hyperlink" TargetMode="External" Target="http://eur-lex.europa.eu/legal-content/LIT/TXT/?uri=CELEX:31993R0339&amp;locale=lt"/>
  <Relationship Id="rId95" Type="http://schemas.openxmlformats.org/officeDocument/2006/relationships/hyperlink" TargetMode="External" Target="http://eur-lex.europa.eu/legal-content/LIT/TXT/?uri=CELEX:32011L0092&amp;locale=lt"/>
  <Relationship Id="rId96" Type="http://schemas.openxmlformats.org/officeDocument/2006/relationships/hyperlink" TargetMode="External" Target="http://eur-lex.europa.eu/legal-content/LIT/TXT/?uri=CELEX:32014L0052&amp;locale=lt"/>
  <Relationship Id="rId97" Type="http://schemas.openxmlformats.org/officeDocument/2006/relationships/hyperlink" TargetMode="External" Target="http://eur-lex.europa.eu/legal-content/LIT/TXT/?uri=CELEX:32014L0061&amp;locale=lt"/>
  <Relationship Id="rId98" Type="http://schemas.openxmlformats.org/officeDocument/2006/relationships/hyperlink" TargetMode="External" Target="http://eur-lex.europa.eu/legal-content/LIT/TXT/?uri=CELEX:32024R0370&amp;locale=lt"/>
  <Relationship Id="rId99" Type="http://schemas.openxmlformats.org/officeDocument/2006/relationships/hyperlink" TargetMode="External" Target="http://eur-lex.europa.eu/legal-content/LIT/TXT/?uri=CELEX:32020L2184&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7fb9c83db88a45bb95ced0dc2e894de5">
          <Part Type="strPunktas" Nr="1" Abbr="1 str. 2 d. 1 p." DocPartId="8092ab8bfac9453db8921e39bbe584ef" PartId="ba3f9d0f8e744045a3a61c5f7aec32f3"/>
          <Part Type="strPunktas" Nr="2" Abbr="1 str. 2 d. 2 p." DocPartId="3874271b7e8145368cf88e5579f5c45f" PartId="b966b833cdb041ceac04dc7f151efa30"/>
          <Part Type="strPunktas" Nr="3" Abbr="1 str. 2 d. 3 p." DocPartId="a5b64b82cf7648779532b38b2f93cfc0" PartId="5f048ea006c9491fa65a1f8c80d2687c"/>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d48d5997ceb143f1b6f35042ce38b812"/>
        <Part Type="strDalis" Nr="7" Abbr="2 str. 7 d." DocPartId="61cfe0028326449d928900b6f7c36168" PartId="3d929c95add44e8587d1f8c6fe6034d7"/>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8a0165781052497f910b4eb9e572af64"/>
        <Part Type="strDalis" Nr="11" Abbr="2 str. 11 d." DocPartId="5fc61d46e8444438b5dca4a96f02ee88" PartId="6dc40dcd6e064c00a3ae6cf24516ce92"/>
        <Part Type="strDalis" Nr="12" Abbr="2 str. 12 d." DocPartId="a2822f26b1184bfda9fca7b9a6ba5570" PartId="f22c9dfdd02b474ebd9760c4cc1fc4b9"/>
        <Part Type="strDalis" Nr="13" Abbr="2 str. 13 d." DocPartId="3d7f02c8468444cbbe21852e9d3d7114" PartId="dde82758aa264986ae733072526ae4d0"/>
        <Part Type="strDalis" Nr="14" Abbr="2 str. 14 d." DocPartId="6081ffcaa150418885751a76b909bd1f" PartId="a9b339c5d20e42729b4f0041c9f9a6ef"/>
        <Part Type="strDalis" Nr="15" Abbr="2 str. 15 d." DocPartId="7a833e8cf9af47579648155cfbb341fd" PartId="b201d0d29dd8400bb2a8aa34aa99b659"/>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d5b6570beb824bd89f1f538d82b472f1"/>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e4eceab6e53d44d292325e2ae496b12c"/>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9114f502037c42879f624619f8212455"/>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f265c768385649e1a309e026b65e083f"/>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36727ba869284f83bd2bd48199d62d89"/>
        <Part Type="strDalis" Nr="42-1" Abbr="2 str. 42-1 d." DocPartId="a3068d3740ca42c48caeba95a5f0e478" PartId="a89b43595c4042b1a1c2f6b80c989d1d"/>
        <Part Type="strDalis" Nr="43" Abbr="2 str. 43 d." DocPartId="e88852974ee84c2e935aeafca2eef794" PartId="4bca711211164cf4be0db7b517c4964b"/>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9d2123888a4f4d358bce495fd69330d7"/>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8083c9085c904a7eab1c51262a0adc5d"/>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96193ed2eb54b9bafcee7eeb70adc83"/>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6901ad3230ee4a46b8bf503795f9ec3e"/>
        <Part Type="strDalis" Nr="95" Abbr="2 str. 95 d." DocPartId="59ae4c4897174367ac7494e8fb0bace9" PartId="acad14530c6b4a488f5ab3b065119752"/>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5e6412f01f194e719e90e7d07ec1d424"/>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6b802e959c9a408ea4076f645661aa26"/>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1-1" Abbr="111-1 d." DocPartId="c3d64b8da2fc4b9785dd3872481721a5" PartId="5c1ac1d9797e4ef6b5e6f6d92f28a8b5"/>
        <Part Type="strDalis" Nr="112" Abbr="2 str. 112 d." DocPartId="e741f6970770471bbe9b4963de5279f6" PartId="26fcb2d596c94c5a9bc7d94e75d1cb70"/>
        <Part Type="strDalis" Nr="113" Abbr="2 str. 113 d." DocPartId="c9d05753841d48d6a4dc22c59ff8a0ac" PartId="01975fccda1c4525bfd359c705a2be99"/>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aad9ceda957d4d989ffea4f3da39243e">
        <Part Type="strDalis" Nr="1" Abbr="4 str. 1 d." DocPartId="5854b064f9054f6cab4511dae89ddc34" PartId="630ac2ed59a344f6b95a08912b4ecee2"/>
        <Part Type="strDalis" Nr="2" Abbr="4 str. 2 d." DocPartId="f70bfba3bcf140f285454cb4592276d2" PartId="d7f7800e298446d78d6861a8ac200f9e"/>
        <Part Type="strDalis" Nr="3" Abbr="4 str. 3 d." DocPartId="edcbc6882b734ee39971ce8f5df6011a" PartId="c8e712bd2d734b27abab829d075a2af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a98fe1d4e6d841b482e2f2089c313bba"/>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3f9d168daac04f9eaf29a5e5411bda47"/>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93394c32b5dc41ed99613d9241fda9fd"/>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3a6ef1130fc74348a6112b7e45d7af90"/>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43faa15b34824196aeb13d91567f7dc9">
        <Part Type="strDalis" Nr="1" Abbr="10 str. 1 d." DocPartId="2552b8c2490a4f66a7ae7789a9f8d316" PartId="d8512152f6d94c049a74ffef8dabab30"/>
        <Part Type="strDalis" Nr="2" Abbr="10 str. 2 d." DocPartId="b6042f6b33bb4c0e97e808dcbd9dd8c2" PartId="c6dd2af591a84e39b66ac17c97f361f4"/>
        <Part Type="strDalis" Nr="3" Abbr="10 str. 3 d." DocPartId="005be3dd3bab4ae4b51c2f6b231f373b" PartId="be1c4abb34614f2d9a394744583f5fa5"/>
      </Part>
      <Part Type="straipsnis" Nr="11" Abbr="11 str." Title="Kontaktinio centro ir valstybės institucijų bendradarbiavimas" DocPartId="9b42f99522f84e6e85b2be12c7d03237" PartId="fd47e6b5091d49ea87dcf318b39cfb31">
        <Part Type="strDalis" Nr="1" Abbr="11 str. 1 d." DocPartId="043a34f19a8e443498357c9f3ca0b35f" PartId="e3753126ba9449ef8bff1864d13af2f9"/>
        <Part Type="strDalis" Nr="2" Abbr="11 str. 2 d." DocPartId="c69be80aa5f849a5aebe75a2a9622adb" PartId="2e88df6d311c4ac1bf42f5de7a5c781b"/>
        <Part Type="strDalis" Nr="3" Abbr="11 str. 3 d." DocPartId="b6e7ec93ee7e4096bca8817b7f277257" PartId="60b8b885d911475d8147da39116c67b5"/>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12 p." DocPartId="4c442ecd26f0461fa570e4b944e42711" PartId="e7cb8b9bb4c347c48245c6f4e4472000"/>
          <Part Type="strPunktas" Nr="13" Abbr="2 d. 13 p." DocPartId="e0ca01870bf04834bc170ddd76c10819" PartId="f52c1468adcb417baec2b265608c2f2a"/>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fbe56c1682f40d8a724e8e8474db2ff"/>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Type="strPunktas" Nr="9" Abbr="9 p." DocPartId="9bd8b4dcbe2245c189d232a2253db7b8" PartId="a56e78e21e324ce49d29122c65b2a0f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22dfbfc0e0e6492cbd79cf9378cccfea"/>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8de471ef15fc41498be03338a25d810f"/>
        <Part Type="strDalis" Nr="17" Abbr="21 str. 17 d." DocPartId="f7d67d31b01c415e901785d72280f274" PartId="e95e10aa7d8048d485818a010c2a110f"/>
        <Part Type="strDalis" Nr="18" Abbr="21 str. 18 d." DocPartId="8fbd9cc1b5cb472d909cf9f147e1ed0f" PartId="ed795098c20f42e2ab7ce78b6179cd37"/>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a2d2120f7f0446548edb0d97b4e3c58e"/>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bfd92f14605453dbeb67cd8e63a8a82"/>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2194690e53d04f7f8f787ffccb839459">
          <Part Type="strPunktas" Nr="1" Abbr="24 str. 6 d. 1 p." DocPartId="0cd70f04a5874998847c709cdcc8ff59" PartId="17d3d96a508e4bac8a9dd000dce17741"/>
          <Part Type="strPunktas" Nr="2" Abbr="24 str. 6 d. 2 p." DocPartId="e12d3e1c76ea4467a7cfe090611c9be2" PartId="da152ae3b0de405584f37a0b85170eda"/>
          <Part Type="strPunktas" Nr="3" Abbr="24 str. 6 d. 3 p." DocPartId="b9edbd2b5c2c4c6c93f57aceb91f0379" PartId="4e5ca3a846f9453482cddbc71b71c988"/>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732b824fcf274854832588c4ef2a3073"/>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e3a6744b91d34dd896931de8a43eac5c"/>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ce584d32e931401285a4c256887847b6"/>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Type="strPunktas" Nr="9" Abbr="9 p." DocPartId="1e7870ca958c4e4e8b06607f0a9c711e" PartId="efe08105723e4372aa159d3eda75963c"/>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705fce427428480a894722c892a5bc36"/>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fcbef224d02e4035a8849258f97753a3"/>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2c380e8c256f4e9591fcc87b4fde495c"/>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d328eb9c3dd149e1863371b5d0c22f96"/>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6ab37da1ef7440f1a92dcbe34ca694d0"/>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124603313f344b14a43e8df54e0de58e"/>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7ccd757f08004e598cb6629d613e2e87"/>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Type="strPunktas" Nr="9" Abbr="9 p." DocPartId="39b8da0dec4c4b2c9db81afab7b0d75d" PartId="4df4bb75b24e4f07be38171d07140448"/>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6589eacda4a24924adb98a32821f5555"/>
          <Part Type="strPunktas" Nr="4" Abbr="51 str. 3 d. 4 p." DocPartId="4b0796dbc9f545d8a15f79a551717f02" PartId="6e21253edba14e19a4ea32b126c9c739"/>
          <Part Type="strPunktas" Nr="5" Abbr="5 p." DocPartId="589811281b5242ab9a07ef76a1c1b84b" PartId="f204b5f5f57c47e999ef79e97a89ec59"/>
        </Part>
        <Part Type="strDalis" Nr="4" Abbr="51 str. 4 d." DocPartId="5f2894442b984d7e98106284cb669858" PartId="03cee61584a04b94849813468598828b"/>
        <Part Type="strDalis" Nr="5" Abbr="51 str. 5 d." DocPartId="a5c3b15db2124d01bf52ed80a17871e3" PartId="fc1c7d1827ba401d89eaae3ba28df8c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Type="straipsnis" Nr="51-1" Abbr="51-1 str." Title="Konsultaciniai centrai" DocPartId="3c075c20cef24ad1b476beba324a68ce" PartId="0817d9f671514df2aac5718fc6f5fe20">
        <Part Type="strDalis" Nr="1" Abbr="51-1 str. 1 d." DocPartId="f7b656719a1c4c2b9d56a82bcf8b591c" PartId="822fc1b634054f1981ad39a190065625"/>
        <Part Type="strDalis" Nr="2" Abbr="51-1 str. 2 d." DocPartId="bdf50dec33eb4e89a037fb86791bc496" PartId="da4915811bdc46a1b1ce32bb3af89ba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53 str. 2-1 d." DocPartId="8d59babdb6db4f3899f455fa23ac5815" PartId="8df703532b5a4aeeae9b9bf0ce466aa4"/>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0924c1b3a417417a9e899e1dc3f3fc16">
    <Part Type="punktas" Nr="1" Abbr="2 pr. 1 p." DocPartId="eed642d489aa449d98d91872bdbcd2d3" PartId="8acd9d64d350453bbea4e2882ef6a3c1"/>
    <Part Type="punktas" Nr="2" Abbr="2 pr. 2 p." DocPartId="58caa9bf935e493cb56b00d40ea7709b" PartId="9266f6183503414abf0b7b9e6af07712"/>
    <Part Type="punktas" Nr="3" Abbr="2 pr. 3 p." DocPartId="56574cac834548dc839dbc86c0248802" PartId="62f404ae9c934a87a10a21f1c8e91a5e"/>
    <Part Type="punktas" Nr="4" Abbr="2 pr. 4 p." DocPartId="bddf2c024c1e4fffa364e89eca509e1e" PartId="f5fd24ee1f3a4ec9983d3e01e4382135"/>
    <Part Type="punktas" Nr="5" Abbr="2 pr. 5 p." DocPartId="8c972cfd1cc64703a84efe32f3477939" PartId="60166c2191aa427ba159d80b99467b3d"/>
    <Part Type="punktas" Nr="6" Abbr="2 pr. 6 p." DocPartId="36f461d7da0549f8bde59360023872f7" PartId="295192e46e754bb0ab45186af4827c1e"/>
    <Part Type="punktas" Nr="7" Abbr="2 pr. 7 p." DocPartId="3a9970b08e134ab9aa0b2d90256b3019" PartId="2bb81d70a27d4768aa89a94f7ec28b91"/>
  </Part>
  <Part Type="priedas" Title="Pakeitimai" DocPartId="9fa3149b2c194f698f0bb3bcd7bf02af" PartId="2d4745e99a2e4b0788e206b40aafaaa8"/>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customXml/itemProps2.xml><?xml version="1.0" encoding="utf-8"?>
<ds:datastoreItem xmlns:ds="http://schemas.openxmlformats.org/officeDocument/2006/customXml" ds:itemID="{8EEECC5D-BD92-4468-8222-2FE2A3041528}">
  <ds:schemaRefs>
    <ds:schemaRef ds:uri="http://lrs.lt/TAIS/DocParts"/>
  </ds:schemaRefs>
</ds:datastoreItem>
</file>

<file path=customXml/itemProps3.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446</TotalTime>
  <Pages>137</Pages>
  <Words>246371</Words>
  <Characters>140433</Characters>
  <Application>Microsoft Office Word</Application>
  <DocSecurity>0</DocSecurity>
  <Lines>1170</Lines>
  <Paragraphs>772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386032</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DINDIENĖ Laura</lastModifiedBy>
  <dcterms:modified xsi:type="dcterms:W3CDTF">2026-06-30T08:27:00Z</dcterms:modified>
  <revision>84</revision>
  <dc:title>Redagavo: Ramunė Lūžaitė (1997</dc:title>
</coreProperties>
</file>