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2023-02-01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713506e69ae4e40bb6f5e93a26722e8"/>
                <w:lock w:val="sdtLocked"/>
                <w:richText/>
              </w:sdtPr>
              <w:sdtContent>
                <w:p>
                  <w:pPr>
                    <w:spacing w:line="360" w:lineRule="auto"/>
                    <w:ind w:firstLine="709"/>
                    <w:jc w:val="both"/>
                    <w:textAlignment w:val="baseline"/>
                    <w:rPr>
                      <w:szCs w:val="24"/>
                      <w:lang w:eastAsia="lt-LT"/>
                    </w:rPr>
                  </w:pPr>
                  <w:sdt>
                    <w:sdtPr>
                      <w:alias w:val="Numeris"/>
                      <w:tag w:val="nr_2713506e69ae4e40bb6f5e93a26722e8"/>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713506e69ae4e40bb6f5e93a26722e8"/>
                      <w:lock w:val="sdtLocked"/>
                      <w:richText/>
                    </w:sdtPr>
                    <w:sdtContent>
                      <w:r>
                        <w:rPr>
                          <w:b/>
                          <w:bCs/>
                          <w:szCs w:val="24"/>
                          <w:lang w:eastAsia="lt-LT"/>
                        </w:rPr>
                        <w:t>Statybos sektoriaus pažangos ir plėtros politiką įgyvendinanti įstaiga</w:t>
                      </w:r>
                    </w:sdtContent>
                  </w:sdt>
                </w:p>
                <w:sdt>
                  <w:sdtPr>
                    <w:alias w:val="1 d."/>
                    <w:tag w:val="part_ef011fbf171e458fbd9bddc562f7f31e"/>
                    <w:lock w:val="sdtLocked"/>
                    <w:richText/>
                  </w:sdtPr>
                  <w:sdtContent>
                    <w:p>
                      <w:pPr>
                        <w:spacing w:line="360" w:lineRule="auto"/>
                        <w:ind w:firstLine="709"/>
                        <w:jc w:val="both"/>
                        <w:textAlignment w:val="baseline"/>
                        <w:rPr>
                          <w:bCs/>
                          <w:szCs w:val="24"/>
                          <w:lang w:eastAsia="lt-LT"/>
                        </w:rPr>
                      </w:pPr>
                      <w:sdt>
                        <w:sdtPr>
                          <w:alias w:val="Numeris"/>
                          <w:tag w:val="nr_ef011fbf171e458fbd9bddc562f7f31e"/>
                          <w:lock w:val="sdtLocked"/>
                          <w:richText/>
                        </w:sdtPr>
                        <w:sdtContent>
                          <w:r>
                            <w:rPr>
                              <w:bCs/>
                              <w:szCs w:val="24"/>
                              <w:lang w:eastAsia="lt-LT"/>
                            </w:rPr>
                            <w:t>1</w:t>
                          </w:r>
                        </w:sdtContent>
                      </w:sdt>
                      <w:r>
                        <w:rPr>
                          <w:bCs/>
                          <w:szCs w:val="24"/>
                          <w:lang w:eastAsia="lt-LT"/>
                        </w:rPr>
                        <w:t>. Statybos sektoriaus pažangos ir plėtros politiką pagal šiame įstatyme nustatytą kompetenciją įgyvendina Vyriausybės įgaliota įstaiga.</w:t>
                      </w:r>
                    </w:p>
                    <w:p>
                      <w:pPr>
                        <w:spacing w:line="360" w:lineRule="auto"/>
                        <w:jc w:val="both"/>
                        <w:textAlignment w:val="baseline"/>
                        <w:rPr>
                          <w:sz w:val="20"/>
                          <w:lang w:eastAsia="lt-LT"/>
                        </w:rPr>
                      </w:pPr>
                      <w:r>
                        <w:rPr>
                          <w:b/>
                          <w:i/>
                          <w:sz w:val="20"/>
                          <w:lang w:eastAsia="lt-LT"/>
                        </w:rPr>
                        <w:t>TAR pastaba</w:t>
                      </w:r>
                      <w:r>
                        <w:rPr>
                          <w:i/>
                          <w:sz w:val="20"/>
                          <w:lang w:eastAsia="lt-LT"/>
                        </w:rPr>
                        <w:t xml:space="preserve">. 11-1 straipsnio 1 dalis įsigalioja </w:t>
                      </w:r>
                      <w:r>
                        <w:rPr>
                          <w:i/>
                          <w:sz w:val="20"/>
                          <w:lang w:val="en-US" w:eastAsia="lt-LT"/>
                        </w:rPr>
                        <w:t>2023-05-01.</w:t>
                      </w:r>
                    </w:p>
                  </w:sdtContent>
                </w:sdt>
                <w:sdt>
                  <w:sdtPr>
                    <w:alias w:val="2 d."/>
                    <w:tag w:val="part_92bc5271e3574f8a9bc08eea4acfd3f0"/>
                    <w:lock w:val="sdtLocked"/>
                    <w:richText/>
                  </w:sdtPr>
                  <w:sdtContent>
                    <w:p>
                      <w:pPr>
                        <w:spacing w:line="360" w:lineRule="auto"/>
                        <w:ind w:firstLine="709"/>
                        <w:jc w:val="both"/>
                        <w:textAlignment w:val="baseline"/>
                        <w:rPr>
                          <w:szCs w:val="24"/>
                          <w:lang w:eastAsia="lt-LT"/>
                        </w:rPr>
                      </w:pPr>
                      <w:sdt>
                        <w:sdtPr>
                          <w:alias w:val="Numeris"/>
                          <w:tag w:val="nr_92bc5271e3574f8a9bc08eea4acfd3f0"/>
                          <w:lock w:val="sdtLocked"/>
                          <w:richText/>
                        </w:sdtPr>
                        <w:sdtContent>
                          <w:r>
                            <w:rPr>
                              <w:bCs/>
                              <w:szCs w:val="24"/>
                              <w:lang w:eastAsia="lt-LT"/>
                            </w:rPr>
                            <w:t>2</w:t>
                          </w:r>
                        </w:sdtContent>
                      </w:sdt>
                      <w:r>
                        <w:rPr>
                          <w:bCs/>
                          <w:szCs w:val="24"/>
                          <w:lang w:eastAsia="lt-LT"/>
                        </w:rPr>
                        <w:t>.  Vyriausybės įgaliota įstaiga atlieka šias funkcijas:</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c4d83eea58704164833c970b6fd70a36"/>
                        <w:lock w:val="sdtLocked"/>
                        <w:richText/>
                      </w:sdtPr>
                      <w:sdtContent>
                        <w:p>
                          <w:pPr>
                            <w:spacing w:line="360" w:lineRule="auto"/>
                            <w:ind w:firstLine="709"/>
                            <w:jc w:val="both"/>
                            <w:textAlignment w:val="baseline"/>
                            <w:rPr>
                              <w:bCs/>
                              <w:szCs w:val="24"/>
                              <w:lang w:eastAsia="lt-LT"/>
                            </w:rPr>
                          </w:pPr>
                          <w:sdt>
                            <w:sdtPr>
                              <w:alias w:val="Numeris"/>
                              <w:tag w:val="nr_c4d83eea58704164833c970b6fd70a36"/>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w:t>
                          </w:r>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9ff023d4091742b28e4d4ccb80a0b806"/>
                        <w:lock w:val="sdtLocked"/>
                        <w:richText/>
                      </w:sdtPr>
                      <w:sdtContent>
                        <w:p>
                          <w:pPr>
                            <w:spacing w:line="360" w:lineRule="auto"/>
                            <w:ind w:firstLine="709"/>
                            <w:jc w:val="both"/>
                            <w:textAlignment w:val="baseline"/>
                            <w:rPr>
                              <w:bCs/>
                              <w:szCs w:val="24"/>
                              <w:lang w:eastAsia="lt-LT"/>
                            </w:rPr>
                          </w:pPr>
                          <w:sdt>
                            <w:sdtPr>
                              <w:alias w:val="Numeris"/>
                              <w:tag w:val="nr_9ff023d4091742b28e4d4ccb80a0b806"/>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p>
                          <w:pPr>
                            <w:spacing w:line="360" w:lineRule="auto"/>
                            <w:jc w:val="both"/>
                            <w:textAlignment w:val="baseline"/>
                            <w:rPr>
                              <w:sz w:val="20"/>
                              <w:lang w:eastAsia="lt-LT"/>
                            </w:rPr>
                          </w:pPr>
                          <w:r>
                            <w:rPr>
                              <w:b/>
                              <w:bCs/>
                              <w:i/>
                              <w:sz w:val="20"/>
                              <w:lang w:eastAsia="lt-LT"/>
                            </w:rPr>
                            <w:t>TAR pastaba.</w:t>
                          </w:r>
                          <w:r>
                            <w:rPr>
                              <w:bCs/>
                              <w:sz w:val="20"/>
                              <w:lang w:eastAsia="lt-LT"/>
                            </w:rPr>
                            <w:t xml:space="preserve"> </w:t>
                          </w:r>
                          <w:r>
                            <w:rPr>
                              <w:bCs/>
                              <w:i/>
                              <w:sz w:val="20"/>
                              <w:lang w:eastAsia="lt-LT"/>
                            </w:rPr>
                            <w:t>11-1 straipsnio 2 dalies 5 punktas įsigalioja 2023-05-01.</w:t>
                          </w:r>
                        </w:p>
                      </w:sdtContent>
                    </w:sdt>
                    <w:sdt>
                      <w:sdtPr>
                        <w:alias w:val="2 d. 6 p."/>
                        <w:tag w:val="part_c530a2f95103475c85d8ca6add20c792"/>
                        <w:lock w:val="sdtLocked"/>
                        <w:richText/>
                      </w:sdtPr>
                      <w:sdtContent>
                        <w:p>
                          <w:pPr>
                            <w:spacing w:line="360" w:lineRule="auto"/>
                            <w:ind w:firstLine="709"/>
                            <w:jc w:val="both"/>
                            <w:textAlignment w:val="baseline"/>
                            <w:rPr>
                              <w:bCs/>
                              <w:szCs w:val="24"/>
                              <w:lang w:eastAsia="lt-LT"/>
                            </w:rPr>
                          </w:pPr>
                          <w:sdt>
                            <w:sdtPr>
                              <w:alias w:val="Numeris"/>
                              <w:tag w:val="nr_c530a2f95103475c85d8ca6add20c792"/>
                              <w:lock w:val="sdtLocked"/>
                              <w:richText/>
                            </w:sdtPr>
                            <w:sdtContent>
                              <w:r>
                                <w:rPr>
                                  <w:bCs/>
                                  <w:szCs w:val="24"/>
                                  <w:lang w:eastAsia="lt-LT"/>
                                </w:rPr>
                                <w:t>6</w:t>
                              </w:r>
                            </w:sdtContent>
                          </w:sdt>
                          <w:r>
                            <w:rPr>
                              <w:bCs/>
                              <w:szCs w:val="24"/>
                              <w:lang w:eastAsia="lt-LT"/>
                            </w:rPr>
                            <w:t xml:space="preserve">) </w:t>
                          </w:r>
                          <w:r>
                            <w:rPr>
                              <w:bCs/>
                              <w:szCs w:val="24"/>
                            </w:rPr>
                            <w:t>kuria, tvarko, plėtoja priemones ir (ar) paslaugas, reikalingas statybos sektoriui skaitmeninti, statinio informacinio modeliavimo metodų taikymo plėtrai, jų naudai vertinti ir stebėti</w:t>
                          </w:r>
                          <w:r>
                            <w:rPr>
                              <w:bCs/>
                              <w:szCs w:val="24"/>
                              <w:lang w:eastAsia="lt-LT"/>
                            </w:rPr>
                            <w:t>;</w:t>
                          </w:r>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e9ebc77d5a99460c8cc38f5dea4c7ec1"/>
                        <w:lock w:val="sdtLocked"/>
                        <w:richText/>
                      </w:sdtPr>
                      <w:sdtContent>
                        <w:p>
                          <w:pPr>
                            <w:spacing w:line="360" w:lineRule="auto"/>
                            <w:ind w:firstLine="709"/>
                            <w:jc w:val="both"/>
                            <w:rPr>
                              <w:bCs/>
                              <w:szCs w:val="24"/>
                            </w:rPr>
                          </w:pPr>
                          <w:sdt>
                            <w:sdtPr>
                              <w:alias w:val="Numeris"/>
                              <w:tag w:val="nr_e9ebc77d5a99460c8cc38f5dea4c7ec1"/>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p>
                          <w:pPr>
                            <w:spacing w:line="360" w:lineRule="auto"/>
                            <w:jc w:val="both"/>
                            <w:rPr>
                              <w:bCs/>
                              <w:szCs w:val="24"/>
                            </w:rPr>
                          </w:pPr>
                          <w:r>
                            <w:rPr>
                              <w:b/>
                              <w:bCs/>
                              <w:i/>
                              <w:sz w:val="20"/>
                            </w:rPr>
                            <w:t>TAR pastaba.</w:t>
                          </w:r>
                          <w:r>
                            <w:rPr>
                              <w:bCs/>
                              <w:sz w:val="20"/>
                            </w:rPr>
                            <w:t xml:space="preserve"> </w:t>
                          </w:r>
                          <w:r>
                            <w:rPr>
                              <w:bCs/>
                              <w:i/>
                              <w:sz w:val="20"/>
                            </w:rPr>
                            <w:t>11-1 straipsnio 2 dalies 10 punktas įsigalioja 2023-05-01</w:t>
                          </w:r>
                          <w:r>
                            <w:rPr>
                              <w:bCs/>
                              <w:i/>
                              <w:szCs w:val="24"/>
                            </w:rPr>
                            <w:t>.</w:t>
                          </w:r>
                        </w:p>
                      </w:sdtContent>
                    </w:sdt>
                    <w:sdt>
                      <w:sdtPr>
                        <w:alias w:val="2 d. 11 p."/>
                        <w:tag w:val="part_a6b4825c1b384a438632a53c6983de71"/>
                        <w:lock w:val="sdtLocked"/>
                        <w:richText/>
                      </w:sdtPr>
                      <w:sdtContent>
                        <w:p>
                          <w:pPr>
                            <w:spacing w:line="360" w:lineRule="auto"/>
                            <w:ind w:firstLine="709"/>
                            <w:jc w:val="both"/>
                            <w:textAlignment w:val="baseline"/>
                            <w:rPr>
                              <w:bCs/>
                              <w:szCs w:val="24"/>
                              <w:lang w:eastAsia="lt-LT"/>
                            </w:rPr>
                          </w:pPr>
                          <w:sdt>
                            <w:sdtPr>
                              <w:alias w:val="Numeris"/>
                              <w:tag w:val="nr_a6b4825c1b384a438632a53c6983de71"/>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p>
                          <w:pPr>
                            <w:spacing w:line="360" w:lineRule="auto"/>
                            <w:jc w:val="both"/>
                            <w:textAlignment w:val="baseline"/>
                            <w:rPr>
                              <w:bCs/>
                              <w:sz w:val="20"/>
                              <w:lang w:eastAsia="lt-LT"/>
                            </w:rPr>
                          </w:pPr>
                          <w:r>
                            <w:rPr>
                              <w:b/>
                              <w:bCs/>
                              <w:i/>
                              <w:sz w:val="20"/>
                              <w:lang w:eastAsia="lt-LT"/>
                            </w:rPr>
                            <w:t>TAR pastaba.</w:t>
                          </w:r>
                          <w:r>
                            <w:rPr>
                              <w:bCs/>
                              <w:sz w:val="20"/>
                              <w:lang w:eastAsia="lt-LT"/>
                            </w:rPr>
                            <w:t xml:space="preserve"> </w:t>
                          </w:r>
                          <w:r>
                            <w:rPr>
                              <w:bCs/>
                              <w:i/>
                              <w:sz w:val="20"/>
                              <w:lang w:eastAsia="lt-LT"/>
                            </w:rPr>
                            <w:t>11-1 straipsnio 2 dalies 11 punktas įsigalioja 2023-05-01.</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3 d."/>
                    <w:tag w:val="part_ded8fe447748454e9e786c3811ff3349"/>
                    <w:lock w:val="sdtLocked"/>
                    <w:richText/>
                  </w:sdtPr>
                  <w:sdtContent>
                    <w:p>
                      <w:pPr>
                        <w:spacing w:line="360" w:lineRule="auto"/>
                        <w:ind w:firstLine="709"/>
                        <w:jc w:val="both"/>
                        <w:textAlignment w:val="baseline"/>
                        <w:rPr>
                          <w:b/>
                        </w:rPr>
                      </w:pPr>
                      <w:sdt>
                        <w:sdtPr>
                          <w:alias w:val="Numeris"/>
                          <w:tag w:val="nr_ded8fe447748454e9e786c3811ff3349"/>
                          <w:lock w:val="sdtLocked"/>
                          <w:richText/>
                        </w:sdtPr>
                        <w:sdtContent>
                          <w:r>
                            <w:rPr>
                              <w:bCs/>
                              <w:szCs w:val="24"/>
                              <w:lang w:eastAsia="lt-LT"/>
                            </w:rPr>
                            <w:t>3</w:t>
                          </w:r>
                        </w:sdtContent>
                      </w:sdt>
                      <w:r>
                        <w:rPr>
                          <w:bCs/>
                          <w:szCs w:val="24"/>
                          <w:lang w:eastAsia="lt-LT"/>
                        </w:rPr>
                        <w:t>.  Vyriausybės įgaliotos įstaigos funkcijos, nurodytos šio straipsnio 2 dalyje, finansuojamos valstybės biudžeto lėšomis, pajamomis, gautomis iš įstaigos vykdomos veiklos, fizinių ar juridinių asmenų teikiamos paramos, kitomis teisėtai gautomis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c5a0d018dfbc4ffc86317a80457cc698"/>
                    <w:lock w:val="sdtLocked"/>
                    <w:richText/>
                  </w:sdtPr>
                  <w:sdtContent>
                    <w:p>
                      <w:pPr>
                        <w:spacing w:line="360" w:lineRule="auto"/>
                        <w:ind w:firstLine="720"/>
                        <w:jc w:val="both"/>
                        <w:rPr>
                          <w:szCs w:val="24"/>
                        </w:rPr>
                      </w:pPr>
                      <w:sdt>
                        <w:sdtPr>
                          <w:alias w:val="Numeris"/>
                          <w:tag w:val="nr_c5a0d018dfbc4ffc86317a80457cc698"/>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 xml:space="preserve">galiojimo panaikinimo tvarką nustato aplinkos ministras, vadovaudamasis šio straipsnio 10, 11, 12, 13, 14, 15, 16 ir 18 dalyse ir Lietuvos Respublikos viešojo administravimo įstatyme nustatytais reikalavimais. Atestavimą, išskyrus architektų atestavimą, atlieka </w:t>
                      </w:r>
                      <w:r>
                        <w:rPr>
                          <w:bCs/>
                          <w:szCs w:val="24"/>
                          <w:lang w:eastAsia="lt-LT"/>
                        </w:rPr>
                        <w:t>Vyriausybės įgaliota įstaiga</w:t>
                      </w:r>
                      <w:r>
                        <w:rPr>
                          <w:szCs w:val="24"/>
                        </w:rPr>
                        <w:t>. Architektų atestavimą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7642a9d481f746bbbe16ac22c85aebc8"/>
                    <w:lock w:val="sdtLocked"/>
                    <w:richText/>
                  </w:sdtPr>
                  <w:sdtContent>
                    <w:p>
                      <w:pPr>
                        <w:tabs>
                          <w:tab w:val="left" w:pos="851"/>
                          <w:tab w:val="left" w:pos="1418"/>
                        </w:tabs>
                        <w:suppressAutoHyphens/>
                        <w:spacing w:line="360" w:lineRule="auto"/>
                        <w:ind w:firstLine="720"/>
                        <w:jc w:val="both"/>
                        <w:textAlignment w:val="baseline"/>
                        <w:rPr>
                          <w:bCs/>
                          <w:szCs w:val="24"/>
                        </w:rPr>
                      </w:pPr>
                      <w:sdt>
                        <w:sdtPr>
                          <w:alias w:val="Numeris"/>
                          <w:tag w:val="nr_7642a9d481f746bbbe16ac22c85aebc8"/>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w:t>
                      </w:r>
                      <w:r>
                        <w:rPr>
                          <w:bCs/>
                          <w:szCs w:val="24"/>
                          <w:lang w:eastAsia="lt-LT"/>
                        </w:rPr>
                        <w:t>Vyriausybės įgaliota įstaiga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24 d."/>
                    <w:tag w:val="part_ce32309bffef47ff890a798efab07d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e32309bffef47ff890a798efab07df4"/>
                          <w:lock w:val="sdtLocked"/>
                          <w:richText/>
                        </w:sdtPr>
                        <w:sdtContent>
                          <w:r>
                            <w:rPr>
                              <w:szCs w:val="24"/>
                            </w:rPr>
                            <w:t>24</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klausimais, atlieka šių vadovų atitikties kvalifikaciniams reikalavimams stebėseną.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a95e48e1be943e28f6322f7ec56e49a"/>
                    <w:lock w:val="sdtLocked"/>
                    <w:richText/>
                  </w:sdtPr>
                  <w:sdtContent>
                    <w:p>
                      <w:pPr>
                        <w:tabs>
                          <w:tab w:val="left" w:pos="0"/>
                          <w:tab w:val="left" w:pos="709"/>
                        </w:tabs>
                        <w:suppressAutoHyphens/>
                        <w:spacing w:line="360" w:lineRule="auto"/>
                        <w:ind w:firstLine="720"/>
                        <w:jc w:val="both"/>
                        <w:textAlignment w:val="baseline"/>
                        <w:rPr>
                          <w:szCs w:val="24"/>
                        </w:rPr>
                      </w:pPr>
                      <w:sdt>
                        <w:sdtPr>
                          <w:alias w:val="Numeris"/>
                          <w:tag w:val="nr_4a95e48e1be943e28f6322f7ec56e49a"/>
                          <w:lock w:val="sdtLocked"/>
                          <w:richText/>
                        </w:sdtPr>
                        <w:sdtContent>
                          <w:r>
                            <w:rPr>
                              <w:szCs w:val="24"/>
                            </w:rPr>
                            <w:t>2</w:t>
                          </w:r>
                        </w:sdtContent>
                      </w:sdt>
                      <w:r>
                        <w:rPr>
                          <w:szCs w:val="24"/>
                        </w:rPr>
                        <w:t xml:space="preserve">.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59e54269ddd54ac1bbf0fcc66c3196b1"/>
                        <w:lock w:val="sdtLocked"/>
                        <w:richText/>
                      </w:sdtPr>
                      <w:sdtContent>
                        <w:p>
                          <w:pPr>
                            <w:tabs>
                              <w:tab w:val="left" w:pos="709"/>
                              <w:tab w:val="left" w:pos="851"/>
                              <w:tab w:val="left" w:pos="1000"/>
                              <w:tab w:val="left" w:pos="1418"/>
                            </w:tabs>
                            <w:suppressAutoHyphens/>
                            <w:spacing w:line="360" w:lineRule="auto"/>
                            <w:ind w:firstLine="720"/>
                            <w:jc w:val="both"/>
                            <w:textAlignment w:val="baseline"/>
                            <w:rPr>
                              <w:szCs w:val="24"/>
                            </w:rPr>
                          </w:pPr>
                          <w:sdt>
                            <w:sdtPr>
                              <w:alias w:val="Numeris"/>
                              <w:tag w:val="nr_59e54269ddd54ac1bbf0fcc66c3196b1"/>
                              <w:lock w:val="sdtLocked"/>
                              <w:richText/>
                            </w:sdtPr>
                            <w:sdtContent>
                              <w:r>
                                <w:rPr>
                                  <w:szCs w:val="24"/>
                                </w:rPr>
                                <w:t>1</w:t>
                              </w:r>
                            </w:sdtContent>
                          </w:sdt>
                          <w:r>
                            <w:rPr>
                              <w:szCs w:val="24"/>
                            </w:rPr>
                            <w:t xml:space="preserve">) neturi būti pradėtas bankroto procesas (šią informaciją patikrina </w:t>
                          </w:r>
                          <w:r>
                            <w:rPr>
                              <w:bCs/>
                              <w:szCs w:val="24"/>
                              <w:lang w:eastAsia="lt-LT"/>
                            </w:rPr>
                            <w:t>Vyriausybės įgaliota įstaiga</w:t>
                          </w:r>
                          <w:r>
                            <w:rPr>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154649bfb8c4fecb5bbe6a1cf2f99e1"/>
                        <w:lock w:val="sdtLocked"/>
                        <w:richText/>
                      </w:sdtPr>
                      <w:sdtContent>
                        <w:p>
                          <w:pPr>
                            <w:spacing w:line="360" w:lineRule="auto"/>
                            <w:ind w:firstLine="720"/>
                            <w:jc w:val="both"/>
                            <w:textAlignment w:val="baseline"/>
                            <w:rPr>
                              <w:szCs w:val="24"/>
                            </w:rPr>
                          </w:pPr>
                          <w:sdt>
                            <w:sdtPr>
                              <w:alias w:val="Numeris"/>
                              <w:tag w:val="nr_a154649bfb8c4fecb5bbe6a1cf2f99e1"/>
                              <w:lock w:val="sdtLocked"/>
                              <w:richText/>
                            </w:sdtPr>
                            <w:sdtContent>
                              <w:r>
                                <w:rPr>
                                  <w:szCs w:val="24"/>
                                  <w:lang w:eastAsia="lt-LT"/>
                                </w:rPr>
                                <w:t>2</w:t>
                              </w:r>
                            </w:sdtContent>
                          </w:sdt>
                          <w:r>
                            <w:rPr>
                              <w:szCs w:val="24"/>
                              <w:lang w:eastAsia="lt-LT"/>
                            </w:rPr>
                            <w:t>) Lietuvos Respublikos įstatymų ir kitų teisės aktų nustatyta tvarka paskirti statinio (dalies) ekspertizės vadovą (vadovus), o</w:t>
                          </w:r>
                          <w:r>
                            <w:rPr>
                              <w:szCs w:val="24"/>
                              <w:lang w:eastAsia="en-GB"/>
                            </w:rPr>
                            <w:t xml:space="preserve"> k</w:t>
                          </w:r>
                          <w:r>
                            <w:rPr>
                              <w:bCs/>
                              <w:szCs w:val="24"/>
                              <w:lang w:eastAsia="en-GB"/>
                            </w:rPr>
                            <w:t xml:space="preserve">ai </w:t>
                          </w:r>
                          <w:r>
                            <w:rPr>
                              <w:szCs w:val="24"/>
                              <w:lang w:eastAsia="lt-LT"/>
                            </w:rPr>
                            <w:t xml:space="preserve">statinio (dalies) ekspertizės </w:t>
                          </w:r>
                          <w:r>
                            <w:rPr>
                              <w:bCs/>
                              <w:szCs w:val="24"/>
                              <w:lang w:eastAsia="en-GB"/>
                            </w:rPr>
                            <w:t xml:space="preserve">rangovas turi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bCs/>
                              <w:szCs w:val="24"/>
                              <w:lang w:eastAsia="en-GB"/>
                            </w:rPr>
                            <w:t>,</w:t>
                          </w:r>
                          <w:r>
                            <w:rPr>
                              <w:szCs w:val="24"/>
                              <w:lang w:eastAsia="en-GB"/>
                            </w:rPr>
                            <w:t xml:space="preserve"> įgalioti </w:t>
                          </w:r>
                          <w:r>
                            <w:rPr>
                              <w:szCs w:val="24"/>
                              <w:lang w:eastAsia="lt-LT"/>
                            </w:rPr>
                            <w:t xml:space="preserve">statinio (dalies) ekspertizės vadovą (vadovus) </w:t>
                          </w:r>
                          <w:r>
                            <w:rPr>
                              <w:szCs w:val="24"/>
                              <w:lang w:eastAsia="en-GB"/>
                            </w:rPr>
                            <w:t xml:space="preserve">Lietuvos Respublikos statybos leidimų ir statybos valstybinės priežiūros informacinėje sistemoje „Infostatyba“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cbb9e23b87b54af7844ca0fa0449bd1a"/>
                    <w:lock w:val="sdtLocked"/>
                    <w:richText/>
                  </w:sdtPr>
                  <w:sdtContent>
                    <w:p>
                      <w:pPr>
                        <w:tabs>
                          <w:tab w:val="left" w:pos="1418"/>
                        </w:tabs>
                        <w:suppressAutoHyphens/>
                        <w:spacing w:line="360" w:lineRule="auto"/>
                        <w:ind w:firstLine="720"/>
                        <w:jc w:val="both"/>
                        <w:textAlignment w:val="baseline"/>
                        <w:rPr>
                          <w:szCs w:val="24"/>
                        </w:rPr>
                      </w:pPr>
                      <w:sdt>
                        <w:sdtPr>
                          <w:alias w:val="Numeris"/>
                          <w:tag w:val="nr_cbb9e23b87b54af7844ca0fa0449bd1a"/>
                          <w:lock w:val="sdtLocked"/>
                          <w:richText/>
                        </w:sdtPr>
                        <w:sdtContent>
                          <w:r>
                            <w:rPr>
                              <w:bCs/>
                              <w:szCs w:val="24"/>
                            </w:rPr>
                            <w:t>11</w:t>
                          </w:r>
                        </w:sdtContent>
                      </w:sdt>
                      <w:r>
                        <w:rPr>
                          <w:bCs/>
                          <w:szCs w:val="24"/>
                        </w:rPr>
                        <w:t xml:space="preserve">. </w:t>
                      </w:r>
                      <w:r>
                        <w:rPr>
                          <w:szCs w:val="24"/>
                        </w:rPr>
                        <w:t xml:space="preserve">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b25213d6a31549378e48364a19607e6e"/>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25213d6a31549378e48364a19607e6e"/>
                          <w:lock w:val="sdtLocked"/>
                          <w:richText/>
                        </w:sdtPr>
                        <w:sdtContent>
                          <w:r>
                            <w:rPr>
                              <w:szCs w:val="24"/>
                            </w:rPr>
                            <w:t>12</w:t>
                          </w:r>
                        </w:sdtContent>
                      </w:sdt>
                      <w:r>
                        <w:rPr>
                          <w:szCs w:val="24"/>
                        </w:rPr>
                        <w:t xml:space="preserve">.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3e945bae2ec049f7bbdb5b2d590e669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e945bae2ec049f7bbdb5b2d590e6697"/>
                              <w:lock w:val="sdtLocked"/>
                              <w:richText/>
                            </w:sdtPr>
                            <w:sdtContent>
                              <w:r>
                                <w:rPr>
                                  <w:bCs/>
                                  <w:szCs w:val="24"/>
                                </w:rPr>
                                <w:t>1</w:t>
                              </w:r>
                            </w:sdtContent>
                          </w:sdt>
                          <w:r>
                            <w:rPr>
                              <w:bCs/>
                              <w:szCs w:val="24"/>
                            </w:rPr>
                            <w:t xml:space="preserve">) neturi būti pradėtas bankroto procesas (šią informaciją patikrina </w:t>
                          </w:r>
                          <w:r>
                            <w:rPr>
                              <w:bCs/>
                              <w:szCs w:val="24"/>
                              <w:lang w:eastAsia="lt-LT"/>
                            </w:rPr>
                            <w:t>Vyriausybės įgaliota įstaiga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240843031cc7449286544495eb8fbd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0843031cc7449286544495eb8fbd25"/>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c08c7470cebf45e182eeb1bb53e85938"/>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08c7470cebf45e182eeb1bb53e85938"/>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952da28561154b41a5ebe6cebe4109e9"/>
                    <w:lock w:val="sdtLocked"/>
                    <w:richText/>
                  </w:sdtPr>
                  <w:sdtContent>
                    <w:p>
                      <w:pPr>
                        <w:spacing w:line="360" w:lineRule="auto"/>
                        <w:ind w:firstLine="720"/>
                        <w:jc w:val="both"/>
                        <w:rPr>
                          <w:szCs w:val="24"/>
                        </w:rPr>
                      </w:pPr>
                      <w:sdt>
                        <w:sdtPr>
                          <w:alias w:val="Numeris"/>
                          <w:tag w:val="nr_952da28561154b41a5ebe6cebe4109e9"/>
                          <w:lock w:val="sdtLocked"/>
                          <w:richText/>
                        </w:sdtPr>
                        <w:sdtContent>
                          <w:r>
                            <w:rPr>
                              <w:szCs w:val="24"/>
                              <w:lang w:eastAsia="lt-LT"/>
                            </w:rPr>
                            <w:t>11</w:t>
                          </w:r>
                        </w:sdtContent>
                      </w:sdt>
                      <w:r>
                        <w:rPr>
                          <w:szCs w:val="24"/>
                          <w:lang w:eastAsia="lt-LT"/>
                        </w:rPr>
                        <w:t xml:space="preserve">. </w:t>
                      </w:r>
                      <w:r>
                        <w:rPr>
                          <w:bCs/>
                          <w:szCs w:val="24"/>
                          <w:lang w:eastAsia="lt-LT"/>
                        </w:rPr>
                        <w:t>Vyriausybės įgaliota įstaiga</w:t>
                      </w:r>
                      <w:r>
                        <w:rPr>
                          <w:szCs w:val="24"/>
                        </w:rPr>
                        <w:t xml:space="preserve"> 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cd8a9644a82b4393b560e95a99794ad9"/>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cd8a9644a82b4393b560e95a99794ad9"/>
                          <w:lock w:val="sdtLocked"/>
                          <w:richText/>
                        </w:sdtPr>
                        <w:sdtContent>
                          <w:r>
                            <w:rPr>
                              <w:szCs w:val="24"/>
                              <w:lang w:eastAsia="lt-LT"/>
                            </w:rPr>
                            <w:t>1</w:t>
                          </w:r>
                        </w:sdtContent>
                      </w:sdt>
                      <w:r>
                        <w:rPr>
                          <w:szCs w:val="24"/>
                          <w:lang w:eastAsia="lt-LT"/>
                        </w:rPr>
                        <w:t xml:space="preserve">. </w:t>
                      </w:r>
                      <w:r>
                        <w:rPr>
                          <w:bCs/>
                          <w:szCs w:val="24"/>
                          <w:lang w:eastAsia="lt-LT"/>
                        </w:rPr>
                        <w:t>Statybą leidžiantys dokumentai yra:</w:t>
                      </w:r>
                    </w:p>
                    <w:sdt>
                      <w:sdtPr>
                        <w:alias w:val="27 str. 1 d. 1 p."/>
                        <w:tag w:val="part_8ef95578a8f64394a1b38d388799a550"/>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8ef95578a8f64394a1b38d388799a550"/>
                              <w:lock w:val="sdtLocked"/>
                              <w:richText/>
                            </w:sdtPr>
                            <w:sdtContent>
                              <w:r>
                                <w:rPr>
                                  <w:szCs w:val="24"/>
                                  <w:lang w:eastAsia="lt-LT"/>
                                </w:rPr>
                                <w:t>1</w:t>
                              </w:r>
                            </w:sdtContent>
                          </w:sdt>
                          <w:r>
                            <w:rPr>
                              <w:szCs w:val="24"/>
                              <w:lang w:eastAsia="lt-LT"/>
                            </w:rPr>
                            <w:t xml:space="preserve">) leidimas statyti naują statinį – naujo ypatingojo ir neypatingojo statinio statybai </w:t>
                          </w:r>
                          <w:r>
                            <w:rPr>
                              <w:bCs/>
                              <w:szCs w:val="24"/>
                              <w:lang w:eastAsia="lt-LT"/>
                            </w:rPr>
                            <w:t>(išskyrus krašto apsaugos tikslams skirtose teritorijose statomą naują ypatingąjį ir neypatingąjį statinį)</w:t>
                          </w:r>
                          <w:r>
                            <w:rPr>
                              <w:szCs w:val="24"/>
                              <w:lang w:eastAsia="lt-LT"/>
                            </w:rPr>
                            <w:t xml:space="preserve">; naujo nesudėtingojo statinio statybai mieste </w:t>
                          </w:r>
                          <w:r>
                            <w:rPr>
                              <w:bCs/>
                              <w:szCs w:val="24"/>
                              <w:lang w:eastAsia="lt-LT"/>
                            </w:rPr>
                            <w:t>(išskyrus krašto apsaugos tikslams skirtose teritorijose statomą naują nesudėtingąjį statinį)</w:t>
                          </w:r>
                          <w:r>
                            <w:rPr>
                              <w:szCs w:val="24"/>
                              <w:lang w:eastAsia="lt-LT"/>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sdtContent>
                    </w:sdt>
                    <w:sdt>
                      <w:sdtPr>
                        <w:alias w:val="27 str. 1 d. 2 p."/>
                        <w:tag w:val="part_f16a457cfcbc4d1d984d9e4f88e34d36"/>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f16a457cfcbc4d1d984d9e4f88e34d36"/>
                              <w:lock w:val="sdtLocked"/>
                              <w:richText/>
                            </w:sdtPr>
                            <w:sdtContent>
                              <w:r>
                                <w:rPr>
                                  <w:szCs w:val="24"/>
                                  <w:lang w:eastAsia="lt-LT"/>
                                </w:rPr>
                                <w:t>2</w:t>
                              </w:r>
                            </w:sdtContent>
                          </w:sdt>
                          <w:r>
                            <w:rPr>
                              <w:szCs w:val="24"/>
                              <w:lang w:eastAsia="lt-LT"/>
                            </w:rPr>
                            <w:t>) leidimas rekonstruoti statinį – ypatingojo ar neypatingojo statinio rekonstravimui (išskyrus krašto apsaugos tikslams skirtose teritorijose rekonstruojamą ypatingąjį ir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sdtContent>
                    </w:sdt>
                    <w:sdt>
                      <w:sdtPr>
                        <w:alias w:val="27 str. 1 d. 3 p."/>
                        <w:tag w:val="part_0cb12b550dc94e99b3a09e75ed5391b8"/>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0cb12b550dc94e99b3a09e75ed5391b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a213531501da4f85aa310652293710a6"/>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a213531501da4f85aa310652293710a6"/>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ypatingąjį ir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22832535349740239ee06f9dccadb613"/>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22832535349740239ee06f9dccadb613"/>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9d69cead1f4f4a3fa8737cba1d1b792c"/>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9d69cead1f4f4a3fa8737cba1d1b792c"/>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ypatingąjį ir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ffa3b9f522af4a75877bb500a3470a15"/>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ffa3b9f522af4a75877bb500a3470a15"/>
                              <w:lock w:val="sdtLocked"/>
                              <w:richText/>
                            </w:sdtPr>
                            <w:sdtContent>
                              <w:r>
                                <w:rPr>
                                  <w:bCs/>
                                  <w:szCs w:val="24"/>
                                  <w:lang w:eastAsia="lt-LT"/>
                                </w:rPr>
                                <w:t>7</w:t>
                              </w:r>
                            </w:sdtContent>
                          </w:sdt>
                          <w:r>
                            <w:rPr>
                              <w:bCs/>
                              <w:szCs w:val="24"/>
                              <w:lang w:eastAsia="lt-LT"/>
                            </w:rPr>
                            <w:t xml:space="preserve">) </w:t>
                          </w:r>
                          <w:r>
                            <w:rPr>
                              <w:bCs/>
                              <w:color w:val="000000"/>
                              <w:szCs w:val="24"/>
                              <w:lang w:eastAsia="lt-LT"/>
                            </w:rPr>
                            <w:t>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lang w:eastAsia="lt-LT"/>
                            </w:rPr>
                            <w:t>statytas ne anksčiau kaip prieš 50 metų ir nepatenkantis į kultūros paveldo objekto teritoriją ar kultūros paveldo vietovę</w:t>
                          </w:r>
                          <w:r>
                            <w:rPr>
                              <w:bCs/>
                              <w:szCs w:val="24"/>
                              <w:lang w:eastAsia="lt-LT"/>
                            </w:rPr>
                            <w:t>;</w:t>
                          </w:r>
                        </w:p>
                        <w:p>
                          <w:pPr>
                            <w:tabs>
                              <w:tab w:val="left" w:pos="1418"/>
                            </w:tabs>
                            <w:suppressAutoHyphens/>
                            <w:spacing w:line="390" w:lineRule="atLeast"/>
                            <w:jc w:val="both"/>
                            <w:textAlignment w:val="baseline"/>
                            <w:rPr>
                              <w:b/>
                              <w:bCs/>
                              <w:sz w:val="20"/>
                              <w:lang w:eastAsia="lt-LT"/>
                            </w:rPr>
                          </w:pPr>
                          <w:r>
                            <w:rPr>
                              <w:b/>
                              <w:bCs/>
                              <w:i/>
                              <w:iCs/>
                              <w:sz w:val="20"/>
                              <w:lang w:eastAsia="lt-LT"/>
                            </w:rPr>
                            <w:t>27 straipsnio 1 dalies 7 punkto redakcija, įsigaliojanti 2027-01-01:</w:t>
                          </w:r>
                        </w:p>
                        <w:p>
                          <w:pPr>
                            <w:tabs>
                              <w:tab w:val="left" w:pos="1418"/>
                            </w:tabs>
                            <w:suppressAutoHyphens/>
                            <w:spacing w:line="390" w:lineRule="atLeast"/>
                            <w:jc w:val="both"/>
                            <w:textAlignment w:val="baseline"/>
                            <w:rPr>
                              <w:b/>
                              <w:bCs/>
                              <w:i/>
                              <w:szCs w:val="24"/>
                              <w:lang w:eastAsia="lt-LT"/>
                            </w:rPr>
                          </w:pPr>
                        </w:p>
                        <w:p>
                          <w:pPr>
                            <w:tabs>
                              <w:tab w:val="left" w:pos="1418"/>
                            </w:tabs>
                            <w:suppressAutoHyphens/>
                            <w:spacing w:line="390" w:lineRule="atLeast"/>
                            <w:ind w:firstLine="720"/>
                            <w:jc w:val="both"/>
                            <w:textAlignment w:val="baseline"/>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6b6fd81943bf4193b2f7a0801dbd02b8"/>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90" w:lineRule="atLeast"/>
                            <w:ind w:firstLine="720"/>
                            <w:jc w:val="both"/>
                            <w:rPr>
                              <w:szCs w:val="24"/>
                            </w:rPr>
                          </w:pPr>
                          <w:sdt>
                            <w:sdtPr>
                              <w:alias w:val="Numeris"/>
                              <w:tag w:val="nr_6b6fd81943bf4193b2f7a0801dbd02b8"/>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5b2da9de2db4428b949e4e75cddb0358"/>
                        <w:lock w:val="sdtLocked"/>
                        <w:richText/>
                      </w:sdtPr>
                      <w:sdtContent>
                        <w:p>
                          <w:pPr>
                            <w:spacing w:line="360" w:lineRule="auto"/>
                            <w:ind w:firstLine="720"/>
                            <w:jc w:val="both"/>
                            <w:rPr>
                              <w:szCs w:val="24"/>
                            </w:rPr>
                          </w:pPr>
                          <w:sdt>
                            <w:sdtPr>
                              <w:alias w:val="Numeris"/>
                              <w:tag w:val="nr_5b2da9de2db4428b949e4e75cddb0358"/>
                              <w:lock w:val="sdtLocked"/>
                              <w:richText/>
                            </w:sdtPr>
                            <w:sdtContent>
                              <w:r>
                                <w:rPr>
                                  <w:rFonts w:eastAsia="Calibri"/>
                                  <w:szCs w:val="24"/>
                                </w:rPr>
                                <w:t>14</w:t>
                              </w:r>
                            </w:sdtContent>
                          </w:sdt>
                          <w:r>
                            <w:rPr>
                              <w:rFonts w:eastAsia="Calibri"/>
                              <w:szCs w:val="24"/>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56e3bb8f998a4c769d50ea3492ec0ab7"/>
                        <w:lock w:val="sdtLocked"/>
                        <w:richText/>
                      </w:sdtPr>
                      <w:sdtContent>
                        <w:p>
                          <w:pPr>
                            <w:spacing w:line="360" w:lineRule="auto"/>
                            <w:ind w:firstLine="720"/>
                            <w:jc w:val="both"/>
                          </w:pPr>
                          <w:sdt>
                            <w:sdtPr>
                              <w:alias w:val="Numeris"/>
                              <w:tag w:val="nr_56e3bb8f998a4c769d50ea3492ec0ab7"/>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61ba336c62e40239601254738707ac0"/>
                    <w:lock w:val="sdtLocked"/>
                    <w:richText/>
                  </w:sdtPr>
                  <w:sdtContent>
                    <w:p>
                      <w:pPr>
                        <w:tabs>
                          <w:tab w:val="left" w:pos="1418"/>
                        </w:tabs>
                        <w:spacing w:line="360" w:lineRule="auto"/>
                        <w:ind w:firstLine="720"/>
                        <w:jc w:val="both"/>
                        <w:rPr>
                          <w:szCs w:val="24"/>
                        </w:rPr>
                      </w:pPr>
                      <w:sdt>
                        <w:sdtPr>
                          <w:alias w:val="Numeris"/>
                          <w:tag w:val="nr_561ba336c62e40239601254738707ac0"/>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a18ece45cc604b50b17081f6f8be81bf"/>
                        <w:lock w:val="sdtLocked"/>
                        <w:richText/>
                      </w:sdtPr>
                      <w:sdtContent>
                        <w:p>
                          <w:pPr>
                            <w:spacing w:line="360" w:lineRule="auto"/>
                            <w:ind w:firstLine="720"/>
                            <w:jc w:val="both"/>
                            <w:rPr>
                              <w:szCs w:val="24"/>
                            </w:rPr>
                          </w:pPr>
                          <w:sdt>
                            <w:sdtPr>
                              <w:alias w:val="Numeris"/>
                              <w:tag w:val="nr_a18ece45cc604b50b17081f6f8be81bf"/>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27 str. 33 d. 2 p."/>
                        <w:tag w:val="part_9ae6c7e490544cd9b2248f099a7a14be"/>
                        <w:lock w:val="sdtLocked"/>
                        <w:richText/>
                      </w:sdtPr>
                      <w:sdtContent>
                        <w:p>
                          <w:pPr>
                            <w:spacing w:line="360" w:lineRule="auto"/>
                            <w:ind w:firstLine="720"/>
                            <w:jc w:val="both"/>
                            <w:rPr>
                              <w:szCs w:val="24"/>
                            </w:rPr>
                          </w:pPr>
                          <w:sdt>
                            <w:sdtPr>
                              <w:alias w:val="Numeris"/>
                              <w:tag w:val="nr_9ae6c7e490544cd9b2248f099a7a14be"/>
                              <w:lock w:val="sdtLocked"/>
                              <w:richText/>
                            </w:sdtPr>
                            <w:sdtContent>
                              <w:r>
                                <w:rPr>
                                  <w:szCs w:val="24"/>
                                </w:rPr>
                                <w:t>2</w:t>
                              </w:r>
                            </w:sdtContent>
                          </w:sdt>
                          <w:r>
                            <w:rPr>
                              <w:szCs w:val="24"/>
                            </w:rPr>
                            <w:t>) iki 1 m keičiama statinio vieta žemės sklype (teritorijoje);</w:t>
                          </w:r>
                        </w:p>
                      </w:sdtContent>
                    </w:sdt>
                    <w:sdt>
                      <w:sdtPr>
                        <w:alias w:val="27 str. 33 d. 3 p."/>
                        <w:tag w:val="part_1e4ec09d73b7452a805c8c22177baf80"/>
                        <w:lock w:val="sdtLocked"/>
                        <w:richText/>
                      </w:sdtPr>
                      <w:sdtContent>
                        <w:p>
                          <w:pPr>
                            <w:spacing w:line="360" w:lineRule="auto"/>
                            <w:ind w:firstLine="720"/>
                            <w:jc w:val="both"/>
                            <w:rPr>
                              <w:szCs w:val="24"/>
                            </w:rPr>
                          </w:pPr>
                          <w:sdt>
                            <w:sdtPr>
                              <w:alias w:val="Numeris"/>
                              <w:tag w:val="nr_1e4ec09d73b7452a805c8c22177baf80"/>
                              <w:lock w:val="sdtLocked"/>
                              <w:richText/>
                            </w:sdtPr>
                            <w:sdtContent>
                              <w:r>
                                <w:rPr>
                                  <w:szCs w:val="24"/>
                                </w:rPr>
                                <w:t>3</w:t>
                              </w:r>
                            </w:sdtContent>
                          </w:sdt>
                          <w:r>
                            <w:rPr>
                              <w:szCs w:val="24"/>
                            </w:rPr>
                            <w:t>) iki 1 m keičiami statinio ar jo dalių išorės matmenys;</w:t>
                          </w:r>
                        </w:p>
                      </w:sdtContent>
                    </w:sdt>
                    <w:sdt>
                      <w:sdtPr>
                        <w:alias w:val="27 str. 33 d. 4 p."/>
                        <w:tag w:val="part_23fbb5b9462142a59e2e78bdd444b2fb"/>
                        <w:lock w:val="sdtLocked"/>
                        <w:richText/>
                      </w:sdtPr>
                      <w:sdtContent>
                        <w:p>
                          <w:pPr>
                            <w:spacing w:line="360" w:lineRule="auto"/>
                            <w:ind w:firstLine="720"/>
                            <w:jc w:val="both"/>
                          </w:pPr>
                          <w:sdt>
                            <w:sdtPr>
                              <w:alias w:val="Numeris"/>
                              <w:tag w:val="nr_23fbb5b9462142a59e2e78bdd444b2fb"/>
                              <w:lock w:val="sdtLocked"/>
                              <w:richText/>
                            </w:sdtPr>
                            <w:sdtContent>
                              <w:r>
                                <w:rPr>
                                  <w:szCs w:val="24"/>
                                </w:rPr>
                                <w:t>4</w:t>
                              </w:r>
                            </w:sdtContent>
                          </w:sdt>
                          <w:r>
                            <w:rPr>
                              <w:szCs w:val="24"/>
                            </w:rPr>
                            <w:t>) keičiamos statinio laikančiosios konstrukcijos ar jų išdėstymas statinio viduje ir nesikeičia statinio kategorija.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068bfe86a5c74d019e075b111233484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68bfe86a5c74d019e075b1112334848"/>
                              <w:lock w:val="sdtLocked"/>
                              <w:richText/>
                            </w:sdtPr>
                            <w:sdtContent>
                              <w:r>
                                <w:rPr>
                                  <w:rFonts w:eastAsia="Calibri"/>
                                  <w:szCs w:val="24"/>
                                  <w:lang w:eastAsia="en-GB"/>
                                </w:rPr>
                                <w:t>2</w:t>
                              </w:r>
                            </w:sdtContent>
                          </w:sdt>
                          <w:r>
                            <w:rPr>
                              <w:rFonts w:eastAsia="Calibri"/>
                              <w:szCs w:val="24"/>
                              <w:lang w:eastAsia="en-GB"/>
                            </w:rPr>
                            <w:t xml:space="preserve">) atlikus visus statybos darbus, aplinkos ministro nustatyta tvarka surašius deklaraciją apie statybos užbaigimą (kai ji privaloma), statinio </w:t>
                          </w:r>
                          <w:r>
                            <w:rPr>
                              <w:szCs w:val="24"/>
                              <w:lang w:eastAsia="lt-LT"/>
                            </w:rPr>
                            <w:t xml:space="preserve">(dalies) </w:t>
                          </w:r>
                          <w:r>
                            <w:rPr>
                              <w:rFonts w:eastAsia="Calibri"/>
                              <w:szCs w:val="24"/>
                              <w:lang w:eastAsia="en-GB"/>
                            </w:rPr>
                            <w:t xml:space="preserve">ekspertizės rangovui patvirtinus deklaraciją apie statybos užbaigimą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r>
                            <w:rPr>
                              <w:szCs w:val="24"/>
                              <w:lang w:eastAsia="lt-LT"/>
                            </w:rPr>
                            <w:t xml:space="preserve"> Deklaracija apie statybos užbaigimą patvirtinama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1de33beabf05444e926d15558cac1a6e"/>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1de33beabf05444e926d15558cac1a6e"/>
                              <w:lock w:val="sdtLocked"/>
                              <w:richText/>
                            </w:sdtPr>
                            <w:sdtContent>
                              <w:r>
                                <w:rPr>
                                  <w:szCs w:val="24"/>
                                  <w:lang w:eastAsia="en-GB"/>
                                </w:rPr>
                                <w:t>1</w:t>
                              </w:r>
                            </w:sdtContent>
                          </w:sdt>
                          <w:r>
                            <w:rPr>
                              <w:szCs w:val="24"/>
                              <w:lang w:eastAsia="en-GB"/>
                            </w:rPr>
                            <w:t xml:space="preserve">) užbaigus ypatingųjų statinių </w:t>
                          </w:r>
                          <w:r>
                            <w:rPr>
                              <w:bCs/>
                              <w:szCs w:val="24"/>
                              <w:lang w:eastAsia="en-GB"/>
                            </w:rPr>
                            <w:t>(išskyrus nurodytuosius šio straipsnio 3 dalies 1 punkte)</w:t>
                          </w:r>
                          <w:r>
                            <w:rPr>
                              <w:szCs w:val="24"/>
                              <w:lang w:eastAsia="en-GB"/>
                            </w:rPr>
                            <w:t>, kurių statybai buvo išduoti šio įstatymo 27 straipsnio 1 dalies 1 ir 2 punktuose nurodyti statybą leidžiantys dokumentai, statybą;</w:t>
                          </w:r>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94a83bf405a840429ab62d76697eaaa9"/>
                    <w:lock w:val="sdtLocked"/>
                    <w:richText/>
                  </w:sdtPr>
                  <w:sdtContent>
                    <w:p>
                      <w:pPr>
                        <w:spacing w:line="360" w:lineRule="auto"/>
                        <w:ind w:firstLine="720"/>
                        <w:jc w:val="both"/>
                        <w:rPr>
                          <w:szCs w:val="24"/>
                          <w:lang w:eastAsia="lt-LT"/>
                        </w:rPr>
                      </w:pPr>
                      <w:sdt>
                        <w:sdtPr>
                          <w:alias w:val="Numeris"/>
                          <w:tag w:val="nr_94a83bf405a840429ab62d76697eaaa9"/>
                          <w:lock w:val="sdtLocked"/>
                          <w:richText/>
                        </w:sdtPr>
                        <w:sdtContent>
                          <w:r>
                            <w:rPr>
                              <w:bCs/>
                              <w:szCs w:val="24"/>
                              <w:lang w:eastAsia="lt-LT"/>
                            </w:rPr>
                            <w:t>3</w:t>
                          </w:r>
                        </w:sdtContent>
                      </w:sdt>
                      <w:r>
                        <w:rPr>
                          <w:bCs/>
                          <w:szCs w:val="24"/>
                          <w:lang w:eastAsia="lt-LT"/>
                        </w:rPr>
                        <w:t xml:space="preserve">. Deklaracija apie statybos užbaigimą surašoma, statinio </w:t>
                      </w:r>
                      <w:r>
                        <w:rPr>
                          <w:szCs w:val="24"/>
                          <w:lang w:eastAsia="lt-LT"/>
                        </w:rPr>
                        <w:t xml:space="preserve">(dalies) </w:t>
                      </w:r>
                      <w:r>
                        <w:rPr>
                          <w:bCs/>
                          <w:szCs w:val="24"/>
                          <w:lang w:eastAsia="lt-LT"/>
                        </w:rPr>
                        <w:t>ekspertizės rangovas tvirtina deklaraciją apie statybos užbaigimą ir ši deklaracija Lietuvos Respublikos statybos leidimų ir statybos valstybinės priežiūros informacinėje sistemoje „Infostatyba“ registruojama šiais atvejais:</w:t>
                      </w:r>
                    </w:p>
                    <w:sdt>
                      <w:sdtPr>
                        <w:alias w:val="28 str. 3 d. 1 p."/>
                        <w:tag w:val="part_651f7132130d496f841d2c9b1c080bc0"/>
                        <w:lock w:val="sdtLocked"/>
                        <w:richText/>
                      </w:sdtPr>
                      <w:sdtContent>
                        <w:p>
                          <w:pPr>
                            <w:spacing w:line="360" w:lineRule="auto"/>
                            <w:ind w:firstLine="720"/>
                            <w:jc w:val="both"/>
                            <w:rPr>
                              <w:szCs w:val="24"/>
                              <w:lang w:eastAsia="lt-LT"/>
                            </w:rPr>
                          </w:pPr>
                          <w:sdt>
                            <w:sdtPr>
                              <w:alias w:val="Numeris"/>
                              <w:tag w:val="nr_651f7132130d496f841d2c9b1c080bc0"/>
                              <w:lock w:val="sdtLocked"/>
                              <w:richText/>
                            </w:sdtPr>
                            <w:sdtContent>
                              <w:r>
                                <w:rPr>
                                  <w:szCs w:val="24"/>
                                  <w:lang w:eastAsia="en-GB"/>
                                </w:rPr>
                                <w:t>1</w:t>
                              </w:r>
                            </w:sdtContent>
                          </w:sdt>
                          <w:r>
                            <w:rPr>
                              <w:szCs w:val="24"/>
                              <w:lang w:eastAsia="en-GB"/>
                            </w:rPr>
                            <w:t>) užbaigus ypatingųjų statinių pagal aplinkos ministro patvirtintą sąrašą, kurių statybai buvo išduoti šio įstatymo 27 straipsnio 1 dalies 1 ir 2 punktuose nurodyti statybą leidžiantys dokumentai, statybą</w:t>
                          </w:r>
                          <w:r>
                            <w:rPr>
                              <w:bCs/>
                              <w:szCs w:val="24"/>
                              <w:lang w:eastAsia="lt-LT"/>
                            </w:rPr>
                            <w:t>;</w:t>
                          </w:r>
                        </w:p>
                      </w:sdtContent>
                    </w:sdt>
                    <w:sdt>
                      <w:sdtPr>
                        <w:alias w:val="28 str. 3 d. 2 p."/>
                        <w:tag w:val="part_f9f2d4b084554589a8df643db5495c5f"/>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f9f2d4b084554589a8df643db5495c5f"/>
                              <w:lock w:val="sdtLocked"/>
                              <w:richText/>
                            </w:sdtPr>
                            <w:sdtContent>
                              <w:r>
                                <w:rPr>
                                  <w:szCs w:val="24"/>
                                  <w:lang w:eastAsia="en-GB"/>
                                </w:rPr>
                                <w:t>2</w:t>
                              </w:r>
                            </w:sdtContent>
                          </w:sdt>
                          <w:r>
                            <w:rPr>
                              <w:szCs w:val="24"/>
                              <w:lang w:eastAsia="en-GB"/>
                            </w:rPr>
                            <w:t xml:space="preserve">) keičiant statinių ar jų dalies paskirtį, kai atliekami tik statinio paprastojo remonto darbai arba statybos darbai iš viso neatliekami, ar užbaigus kitus, negu nurodyti šio straipsnio 2 dalyje ir 3 dalies 1 punkte, statybos darbus, </w:t>
                          </w:r>
                          <w:r>
                            <w:rPr>
                              <w:bCs/>
                              <w:szCs w:val="24"/>
                              <w:lang w:eastAsia="en-GB"/>
                            </w:rPr>
                            <w:t>kuriems buvo išduoti šio įstatymo 27 straipsnio 1 dalies 1–7 punktuose nurodyti statybą leidžiantys dokumentai.</w:t>
                          </w:r>
                        </w:p>
                      </w:sdtContent>
                    </w:sdt>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c23b190054784fb0ac7153a76daad03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c23b190054784fb0ac7153a76daad037"/>
                          <w:lock w:val="sdtLocked"/>
                          <w:richText/>
                        </w:sdtPr>
                        <w:sdtContent>
                          <w:r>
                            <w:rPr>
                              <w:szCs w:val="24"/>
                              <w:lang w:eastAsia="en-GB"/>
                            </w:rPr>
                            <w:t>6</w:t>
                          </w:r>
                        </w:sdtContent>
                      </w:sdt>
                      <w:r>
                        <w:rPr>
                          <w:szCs w:val="24"/>
                          <w:lang w:eastAsia="en-GB"/>
                        </w:rPr>
                        <w:t>. Šio straipsnio 3 dalyje nurodyta d</w:t>
                      </w:r>
                      <w:r>
                        <w:rPr>
                          <w:rFonts w:eastAsia="Calibri"/>
                          <w:szCs w:val="24"/>
                          <w:lang w:eastAsia="en-GB"/>
                        </w:rPr>
                        <w:t xml:space="preserve">eklaracija apie statybos užbaigimą </w:t>
                      </w:r>
                      <w:r>
                        <w:rPr>
                          <w:szCs w:val="24"/>
                          <w:lang w:eastAsia="en-GB"/>
                        </w:rPr>
                        <w:t>Lietuvos Respublikos statybos leidimų ir statybos valstybinės priežiūros informacinėje sistemoje</w:t>
                      </w:r>
                      <w:r>
                        <w:rPr>
                          <w:rFonts w:eastAsia="Calibri"/>
                          <w:szCs w:val="24"/>
                          <w:lang w:eastAsia="en-GB"/>
                        </w:rPr>
                        <w:t xml:space="preserve"> „Infostatyba“ įregistruojama, kai statinio (dalies) ekspertizės rangovas </w:t>
                      </w:r>
                      <w:r>
                        <w:rPr>
                          <w:szCs w:val="24"/>
                          <w:lang w:eastAsia="en-GB"/>
                        </w:rPr>
                        <w:t>Lietuvos Respublikos statybos leidimų ir statybos valstybinės priežiūros informacinėje sistemoje</w:t>
                      </w:r>
                      <w:r>
                        <w:rPr>
                          <w:rFonts w:eastAsia="Calibri"/>
                          <w:szCs w:val="24"/>
                          <w:lang w:eastAsia="en-GB"/>
                        </w:rPr>
                        <w:t xml:space="preserve"> „Infostatyba“ patvirtina deklaraciją.</w:t>
                      </w:r>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64d3656fc6e348ac892dad85759aa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d3656fc6e348ac892dad85759aab05"/>
                          <w:lock w:val="sdtLocked"/>
                          <w:richText/>
                        </w:sdtPr>
                        <w:sdtContent>
                          <w:r>
                            <w:rPr>
                              <w:szCs w:val="24"/>
                              <w:lang w:eastAsia="en-GB"/>
                            </w:rPr>
                            <w:t>8</w:t>
                          </w:r>
                        </w:sdtContent>
                      </w:sdt>
                      <w:r>
                        <w:rPr>
                          <w:szCs w:val="24"/>
                          <w:lang w:eastAsia="en-GB"/>
                        </w:rPr>
                        <w:t xml:space="preserve">. Deklaracija apie statybos užbaigimą negali būti surašoma ir </w:t>
                      </w:r>
                      <w:r>
                        <w:rPr>
                          <w:rFonts w:eastAsia="Calibri"/>
                          <w:szCs w:val="24"/>
                          <w:lang w:eastAsia="en-GB"/>
                        </w:rPr>
                        <w:t>statinio ekspertizės rangovas negali tvirtinti deklaracijos apie statybos užbaigimą</w:t>
                      </w:r>
                      <w:r>
                        <w:rPr>
                          <w:szCs w:val="24"/>
                          <w:lang w:eastAsia="en-GB"/>
                        </w:rPr>
                        <w:t>, jeigu:</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78a900c0a21c43ad863b545a75c387a8"/>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78a900c0a21c43ad863b545a75c387a8"/>
                          <w:lock w:val="sdtLocked"/>
                          <w:richText/>
                        </w:sdtPr>
                        <w:sdtContent>
                          <w:r>
                            <w:rPr>
                              <w:bCs/>
                              <w:szCs w:val="24"/>
                              <w:lang w:eastAsia="en-GB"/>
                            </w:rPr>
                            <w:t>3</w:t>
                          </w:r>
                        </w:sdtContent>
                      </w:sdt>
                      <w:r>
                        <w:rPr>
                          <w:bCs/>
                          <w:szCs w:val="24"/>
                          <w:lang w:eastAsia="en-GB"/>
                        </w:rPr>
                        <w:t>. Statinio ekspertizę, išskyrus aplinkos ministro nustatytus atvejus, organizuoja ir deklaraciją apie statybos užbaigimą šio įstatymo 28 straipsnio 3 dalyje nustatytais atvejais statinio (dalies) ekspertizės rangovui tvirtinti teikia statytojas (užsakovas).</w:t>
                      </w:r>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11aedab1ebe4c058ea0111b4e815874"/>
                    <w:lock w:val="sdtLocked"/>
                    <w:richText/>
                  </w:sdtPr>
                  <w:sdtContent>
                    <w:p>
                      <w:pPr>
                        <w:tabs>
                          <w:tab w:val="left" w:pos="1418"/>
                          <w:tab w:val="left" w:pos="8647"/>
                        </w:tabs>
                        <w:suppressAutoHyphens/>
                        <w:spacing w:line="360" w:lineRule="auto"/>
                        <w:ind w:firstLine="720"/>
                        <w:jc w:val="both"/>
                        <w:textAlignment w:val="baseline"/>
                        <w:rPr>
                          <w:i/>
                          <w:szCs w:val="24"/>
                          <w:lang w:eastAsia="lt-LT"/>
                        </w:rPr>
                      </w:pPr>
                      <w:sdt>
                        <w:sdtPr>
                          <w:alias w:val="Numeris"/>
                          <w:tag w:val="nr_b11aedab1ebe4c058ea0111b4e815874"/>
                          <w:lock w:val="sdtLocked"/>
                          <w:richText/>
                        </w:sdtPr>
                        <w:sdtContent>
                          <w:r>
                            <w:rPr>
                              <w:szCs w:val="24"/>
                              <w:lang w:eastAsia="en-GB"/>
                            </w:rPr>
                            <w:t>1</w:t>
                          </w:r>
                        </w:sdtContent>
                      </w:sdt>
                      <w:r>
                        <w:rPr>
                          <w:szCs w:val="24"/>
                          <w:lang w:eastAsia="en-GB"/>
                        </w:rPr>
                        <w:t xml:space="preserve">. Nebaigtas statyti ar rekonstruoti ypatingasis ar neypatingasis statinys </w:t>
                      </w:r>
                      <w:r>
                        <w:rPr>
                          <w:rFonts w:eastAsia="SimSun"/>
                          <w:bCs/>
                          <w:szCs w:val="24"/>
                          <w:lang w:eastAsia="en-GB"/>
                        </w:rPr>
                        <w:t>ir daiktinės teisės į jį</w:t>
                      </w:r>
                      <w:r>
                        <w:rPr>
                          <w:rFonts w:eastAsia="SimSun"/>
                          <w:szCs w:val="24"/>
                          <w:lang w:eastAsia="en-GB"/>
                        </w:rPr>
                        <w:t>,</w:t>
                      </w:r>
                      <w:r>
                        <w:rPr>
                          <w:szCs w:val="24"/>
                          <w:lang w:eastAsia="en-GB"/>
                        </w:rPr>
                        <w:t xml:space="preserve"> taip pat nebaigtas rekonstruoti į ypatingąjį ar neypatingąjį statinį nesudėtingasis statinys </w:t>
                      </w:r>
                      <w:r>
                        <w:rPr>
                          <w:rFonts w:eastAsia="SimSun"/>
                          <w:bCs/>
                          <w:szCs w:val="24"/>
                          <w:lang w:eastAsia="en-GB"/>
                        </w:rPr>
                        <w:t xml:space="preserve">ir daiktinės teisės į jį ne vėliau kaip per 3 metus nuo statybos pradžios turi būti </w:t>
                      </w:r>
                      <w:r>
                        <w:rPr>
                          <w:szCs w:val="24"/>
                          <w:lang w:eastAsia="en-GB"/>
                        </w:rPr>
                        <w:t xml:space="preserve">įregistruoti Nekilnojamojo turto registre statytojo (užsakovo) Lietuvos Respublikos statybos leidimų ir statybos valstybinės priežiūros informacinėje sistemoje „Infostatyba“ užpildytos pažymos apie </w:t>
                      </w:r>
                      <w:r>
                        <w:rPr>
                          <w:rFonts w:eastAsia="SimSun"/>
                          <w:bCs/>
                          <w:szCs w:val="24"/>
                          <w:lang w:eastAsia="en-GB"/>
                        </w:rPr>
                        <w:t>statinio statybą be nukrypimų nuo esminių statinio projekto sprendinių,</w:t>
                      </w:r>
                      <w:r>
                        <w:rPr>
                          <w:rFonts w:eastAsia="SimSun"/>
                          <w:szCs w:val="24"/>
                          <w:lang w:eastAsia="en-GB"/>
                        </w:rPr>
                        <w:t xml:space="preserve"> aplinkos ministro nustatyta tvarka patvirtintos statinio ekspertizės rangovo, </w:t>
                      </w:r>
                      <w:r>
                        <w:rPr>
                          <w:szCs w:val="24"/>
                          <w:lang w:eastAsia="en-GB"/>
                        </w:rPr>
                        <w:t xml:space="preserve">pagrindu, </w:t>
                      </w:r>
                      <w:r>
                        <w:rPr>
                          <w:bCs/>
                          <w:szCs w:val="24"/>
                          <w:lang w:eastAsia="en-GB"/>
                        </w:rPr>
                        <w:t xml:space="preserve">o išardytas Nekilnojamojo turto registre registruotas nebaigtas statyti ar rekonstruoti statinys gali būti išregistruotas iš Nekilnojamojo turto registro </w:t>
                      </w:r>
                      <w:r>
                        <w:rPr>
                          <w:szCs w:val="24"/>
                          <w:lang w:eastAsia="en-GB"/>
                        </w:rPr>
                        <w:t xml:space="preserve">statytojo (užsakovo) Lietuvos Respublikos statybos leidimų ir statybos valstybinės priežiūros informacinėje sistemoje „Infostatyba“ užpildytos pažymos apie nebaigto </w:t>
                      </w:r>
                      <w:r>
                        <w:rPr>
                          <w:bCs/>
                          <w:szCs w:val="24"/>
                          <w:lang w:eastAsia="en-GB"/>
                        </w:rPr>
                        <w:t>statyti ar rekonstruoti statinio išardymą pagrindu.</w:t>
                      </w:r>
                      <w:r>
                        <w:rPr>
                          <w:szCs w:val="24"/>
                          <w:lang w:eastAsia="lt-LT"/>
                        </w:rPr>
                        <w:t xml:space="preserve">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 </w:t>
                      </w:r>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4fa4d9578f0e49cb9ea1f54418e8e9b4"/>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4fa4d9578f0e49cb9ea1f54418e8e9b4"/>
                          <w:lock w:val="sdtLocked"/>
                          <w:richText/>
                        </w:sdtPr>
                        <w:sdtContent>
                          <w:r>
                            <w:rPr>
                              <w:szCs w:val="24"/>
                              <w:lang w:eastAsia="en-GB"/>
                            </w:rPr>
                            <w:t>6</w:t>
                          </w:r>
                        </w:sdtContent>
                      </w:sdt>
                      <w:r>
                        <w:rPr>
                          <w:szCs w:val="24"/>
                          <w:lang w:eastAsia="en-GB"/>
                        </w:rPr>
                        <w:t>. Šio straipsnio 1 dalyje nurodytą pažymą panaikina:</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c0fc0a8031ac49f5a013e6620dc8f6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0fc0a8031ac49f5a013e6620dc8f6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szCs w:val="24"/>
                        </w:rPr>
                        <w:t xml:space="preserve"> </w:t>
                      </w:r>
                      <w:r>
                        <w:rPr>
                          <w:bCs/>
                          <w:szCs w:val="24"/>
                        </w:rPr>
                        <w:t>turi sumokėti pastatų energinio naudingumo sertifikavimą prižiūrinčiai institucijai aplinkos ministro nustatytą įmoką</w:t>
                      </w:r>
                      <w:r>
                        <w:rPr>
                          <w:szCs w:val="24"/>
                        </w:rPr>
                        <w:t xml:space="preserve"> 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paslaugą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cfbe04a003694732889fca8e17000b5e"/>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be04a003694732889fca8e17000b5e"/>
                          <w:lock w:val="sdtLocked"/>
                          <w:richText/>
                        </w:sdtPr>
                        <w:sdtContent>
                          <w:r>
                            <w:rPr>
                              <w:szCs w:val="24"/>
                            </w:rPr>
                            <w:t>8</w:t>
                          </w:r>
                        </w:sdtContent>
                      </w:sdt>
                      <w:r>
                        <w:rPr>
                          <w:szCs w:val="24"/>
                        </w:rPr>
                        <w:t xml:space="preserve">.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29260676f2954fef843b9305d5d32d21"/>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9260676f2954fef843b9305d5d32d21"/>
                          <w:lock w:val="sdtLocked"/>
                          <w:richText/>
                        </w:sdtPr>
                        <w:sdtContent>
                          <w:r>
                            <w:rPr>
                              <w:szCs w:val="24"/>
                            </w:rPr>
                            <w:t>17</w:t>
                          </w:r>
                        </w:sdtContent>
                      </w:sdt>
                      <w:r>
                        <w:rPr>
                          <w:szCs w:val="24"/>
                        </w:rPr>
                        <w:t xml:space="preserve">. </w:t>
                      </w:r>
                      <w:r>
                        <w:rPr>
                          <w:bCs/>
                          <w:szCs w:val="24"/>
                          <w:lang w:eastAsia="lt-LT"/>
                        </w:rPr>
                        <w:t>Vyriausybės įgaliota įstaiga</w:t>
                      </w:r>
                      <w:r>
                        <w:rPr>
                          <w:szCs w:val="24"/>
                        </w:rPr>
                        <w:t xml:space="preserve"> 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0546B30C"/>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53.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52.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53.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54.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5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Statybos sektoriaus pažangos ir plėtros politiką įgyvendinanti įstaiga" DocPartId="95066c4b05044782bdb57839a46fe239" PartId="2713506e69ae4e40bb6f5e93a26722e8">
        <Part Type="strDalis" Nr="1" Abbr="1 d." DocPartId="9a400b9a03e6485d9cd69c9848fdbea6" PartId="ef011fbf171e458fbd9bddc562f7f31e"/>
        <Part Type="strDalis" Nr="2" Abbr="2 d." DocPartId="7e4cb923453c45a8a016559d30307184" PartId="92bc5271e3574f8a9bc08eea4acfd3f0">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c4d83eea58704164833c970b6fd70a36"/>
          <Part Type="strPunktas" Nr="4" Abbr="2 d. 4 p." DocPartId="4b60e6e0b91642768ab0d9ac27ae73c2" PartId="277d22e58da94dddb476c1e459acdb36"/>
          <Part Type="strPunktas" Nr="5" Abbr="2 d. 5 p." DocPartId="954616c4b03d42f78582504a31ff2921" PartId="9ff023d4091742b28e4d4ccb80a0b806"/>
          <Part Type="strPunktas" Nr="6" Abbr="2 d. 6 p." DocPartId="461861c7d4f745fe8b0be45986251696" PartId="c530a2f95103475c85d8ca6add20c792"/>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e9ebc77d5a99460c8cc38f5dea4c7ec1"/>
          <Part Type="strPunktas" Nr="11" Abbr="2 d. 11 p." DocPartId="2e1bb4dafb2d4972abdf064a19122601" PartId="a6b4825c1b384a438632a53c6983de71"/>
          <Part Type="strPunktas" Nr="12" Abbr="2 d. 12 p." DocPartId="e0ca01870bf04834bc170ddd76c10819" PartId="aa0f2e0ba24148e59fcff8148d3d6098"/>
        </Part>
        <Part Type="strDalis" Nr="3" Abbr="3 d." DocPartId="ce6cee3d80dc40c08d83771123c87b4f" PartId="ded8fe447748454e9e786c3811ff3349"/>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c5a0d018dfbc4ffc86317a80457cc698"/>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7642a9d481f746bbbe16ac22c85aebc8"/>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24 d." DocPartId="a52f0072d42e4b74b3b037d99fb2e820" PartId="ce32309bffef47ff890a798efab07df4"/>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a95e48e1be943e28f6322f7ec56e49a"/>
        <Part Type="strDalis" Nr="3" Abbr="17 str. 3 d." DocPartId="e7dbb5482f0f4c038ee2043e3d042bf9" PartId="a5d3734ac38d4600af43e1fd065fd155">
          <Part Type="strPunktas" Nr="1" Abbr="17 str. 3 d. 1 p." DocPartId="fee7003e798b45d487e548b209a2d752" PartId="59e54269ddd54ac1bbf0fcc66c3196b1"/>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154649bfb8c4fecb5bbe6a1cf2f99e1"/>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cbb9e23b87b54af7844ca0fa0449bd1a"/>
        <Part Type="strDalis" Nr="12" Abbr="17 str. 12 d." DocPartId="4c1b0d39d31d4a9dbf7f63ffb7b06067" PartId="b25213d6a31549378e48364a19607e6e"/>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3e945bae2ec049f7bbdb5b2d590e6697"/>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240843031cc7449286544495eb8fbd25"/>
        <Part Type="strDalis" Nr="5" Abbr="18 str. 5 d." DocPartId="2cc8c781497a43ddb8d2635e2d6aef42" PartId="bc4e6b9317e647fc8c716df8c8c3a8dd"/>
        <Part Type="strDalis" Nr="6" Abbr="18 str. 6 d." DocPartId="081a582f121a485e9d50d61bbb7a8be4" PartId="c08c7470cebf45e182eeb1bb53e85938"/>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952da28561154b41a5ebe6cebe4109e9"/>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7a24c044f155438a81074b41ed545a9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cd8a9644a82b4393b560e95a99794ad9">
          <Part Type="strPunktas" Nr="1" Abbr="27 str. 1 d. 1 p." DocPartId="f34b259136824c05ade5231ff2250dff" PartId="8ef95578a8f64394a1b38d388799a550"/>
          <Part Type="strPunktas" Nr="2" Abbr="27 str. 1 d. 2 p." DocPartId="71ca8986d213464687deacab60f0a48b" PartId="f16a457cfcbc4d1d984d9e4f88e34d36"/>
          <Part Type="strPunktas" Nr="3" Abbr="27 str. 1 d. 3 p." DocPartId="3916a751d409404a8282e0c1f914bccc" PartId="0cb12b550dc94e99b3a09e75ed5391b8"/>
          <Part Type="strPunktas" Nr="4" Abbr="27 str. 1 d. 4 p." DocPartId="804d633499c84a3894d3eae47dabb2fb" PartId="a213531501da4f85aa310652293710a6"/>
          <Part Type="strPunktas" Nr="5" Abbr="27 str. 1 d. 5 p." DocPartId="5d687a0c153c4641be063470fbac5a6b" PartId="22832535349740239ee06f9dccadb613"/>
          <Part Type="strPunktas" Nr="6" Abbr="27 str. 1 d. 6 p." DocPartId="7520c6af46364307b81724bd71f8a68f" PartId="9d69cead1f4f4a3fa8737cba1d1b792c"/>
          <Part Type="strPunktas" Nr="7" Abbr="27 str. 1 d. 7 p." DocPartId="00f67ce3b5e6477c8129e929eec63d42" PartId="ffa3b9f522af4a75877bb500a3470a15"/>
          <Part Type="strPunktas" Nr="8" Abbr="27 str. 1 d. 8 p." DocPartId="3ec7d6465e954420955b9ec0c1c4e133" PartId="6b6fd81943bf4193b2f7a0801dbd02b8"/>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5b2da9de2db4428b949e4e75cddb0358"/>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56e3bb8f998a4c769d50ea3492ec0ab7"/>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61ba336c62e40239601254738707ac0">
          <Part Type="strPunktas" Nr="1" Abbr="27 str. 33 d. 1 p." DocPartId="6661cf756fb544bc86112c3c089b9be9" PartId="a18ece45cc604b50b17081f6f8be81bf"/>
          <Part Type="strPunktas" Nr="2" Abbr="27 str. 33 d. 2 p." DocPartId="86848302e5f846189868401d1b3006de" PartId="9ae6c7e490544cd9b2248f099a7a14be"/>
          <Part Type="strPunktas" Nr="3" Abbr="27 str. 33 d. 3 p." DocPartId="1849371ea8044d6c990959c64f625a74" PartId="1e4ec09d73b7452a805c8c22177baf80"/>
          <Part Type="strPunktas" Nr="4" Abbr="27 str. 33 d. 4 p." DocPartId="c5bd1ed806534001a10d678c14e38bb2" PartId="23fbb5b9462142a59e2e78bdd444b2fb"/>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068bfe86a5c74d019e075b1112334848"/>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1de33beabf05444e926d15558cac1a6e"/>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94a83bf405a840429ab62d76697eaaa9">
          <Part Type="strPunktas" Nr="1" Abbr="28 str. 3 d. 1 p." DocPartId="168be90771ab4c4b9ca9eb4379b7245c" PartId="651f7132130d496f841d2c9b1c080bc0"/>
          <Part Type="strPunktas" Nr="2" Abbr="28 str. 3 d. 2 p." DocPartId="63e56fec420a4213aadf257f94b7563f" PartId="f9f2d4b084554589a8df643db5495c5f"/>
        </Part>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c23b190054784fb0ac7153a76daad037"/>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64d3656fc6e348ac892dad85759aab05">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78a900c0a21c43ad863b545a75c387a8"/>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11aedab1ebe4c058ea0111b4e815874"/>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4fa4d9578f0e49cb9ea1f54418e8e9b4">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c0fc0a8031ac49f5a013e6620dc8f6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cfbe04a003694732889fca8e17000b5e"/>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29260676f2954fef843b9305d5d32d21"/>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8B5710B-2BE1-4837-BD84-D41D25F0741B}">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F07AB49B-254D-495A-B4DD-590897C5EC4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171</TotalTime>
  <Pages>121</Pages>
  <Words>38848</Words>
  <Characters>295941</Characters>
  <Application>Microsoft Office Word</Application>
  <DocSecurity>0</DocSecurity>
  <Lines>2466</Lines>
  <Paragraphs>668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334121</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2023-01-23T12:31:00Z</dcterms:modified>
  <revision>48</revision>
  <dc:title>Redagavo: Ramunė Lūžaitė (1997</dc:title>
</coreProperties>
</file>