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2024-11-02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dbfd20d33b6f496fa45edee888b00477"/>
                    <w:lock w:val="sdtLocked"/>
                    <w:richText/>
                  </w:sdtPr>
                  <w:sdtContent>
                    <w:p>
                      <w:pPr>
                        <w:spacing w:line="360" w:lineRule="auto"/>
                        <w:ind w:firstLine="720"/>
                        <w:jc w:val="both"/>
                        <w:textAlignment w:val="baseline"/>
                        <w:rPr>
                          <w:szCs w:val="24"/>
                        </w:rPr>
                      </w:pPr>
                      <w:sdt>
                        <w:sdtPr>
                          <w:alias w:val="Numeris"/>
                          <w:tag w:val="nr_dbfd20d33b6f496fa45edee888b00477"/>
                          <w:lock w:val="sdtLocked"/>
                          <w:richText/>
                        </w:sdtPr>
                        <w:sdtContent>
                          <w:r>
                            <w:rPr>
                              <w:szCs w:val="24"/>
                              <w:lang w:eastAsia="lt-LT"/>
                            </w:rPr>
                            <w:t>4</w:t>
                          </w:r>
                        </w:sdtContent>
                      </w:sdt>
                      <w:r>
                        <w:rPr>
                          <w:szCs w:val="24"/>
                          <w:lang w:eastAsia="lt-LT"/>
                        </w:rPr>
                        <w:t>. Specialiesiems reikalavimams gauti statytojas (užsakovas) pateikia savivaldybės administracijai prašymą ir aplinkos ministro nustatytą užpildytą formą su žemės sklypo ir projektuojamo statinio (statinių grupės)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318e278e682b47c7a450137629183178"/>
                        <w:lock w:val="sdtLocked"/>
                        <w:richText/>
                      </w:sdtPr>
                      <w:sdtContent>
                        <w:p>
                          <w:pPr>
                            <w:spacing w:line="360" w:lineRule="auto"/>
                            <w:ind w:firstLine="720"/>
                            <w:jc w:val="both"/>
                            <w:rPr>
                              <w:kern w:val="2"/>
                              <w:szCs w:val="24"/>
                              <w:lang w:eastAsia="en-GB"/>
                            </w:rPr>
                          </w:pPr>
                          <w:sdt>
                            <w:sdtPr>
                              <w:alias w:val="Numeris"/>
                              <w:tag w:val="nr_318e278e682b47c7a450137629183178"/>
                              <w:lock w:val="sdtLocked"/>
                              <w:richText/>
                            </w:sdtPr>
                            <w:sdtContent>
                              <w:r>
                                <w:rPr>
                                  <w:kern w:val="2"/>
                                  <w:szCs w:val="24"/>
                                  <w:lang w:eastAsia="en-GB"/>
                                </w:rPr>
                                <w:t>6</w:t>
                              </w:r>
                            </w:sdtContent>
                          </w:sdt>
                          <w:r>
                            <w:rPr>
                              <w:kern w:val="2"/>
                              <w:szCs w:val="24"/>
                              <w:lang w:eastAsia="en-GB"/>
                            </w:rPr>
                            <w:t>) leidimas pakeisti statinio arba jo dalies paskirtį</w:t>
                          </w:r>
                          <w:r>
                            <w:rPr>
                              <w:bCs/>
                              <w:kern w:val="2"/>
                              <w:szCs w:val="24"/>
                              <w:lang w:eastAsia="en-GB"/>
                            </w:rPr>
                            <w:t>, kai dėl to keičiasi statinio ar jo dalies priskyrimas atitinkamai statinių paskirties grupei</w:t>
                          </w:r>
                          <w:r>
                            <w:rPr>
                              <w:kern w:val="2"/>
                              <w:szCs w:val="24"/>
                              <w:lang w:eastAsia="en-GB"/>
                            </w:rPr>
                            <w:t>;</w:t>
                          </w:r>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ec2de05e806a4c1ca96025c2340db6df"/>
                    <w:lock w:val="sdtLocked"/>
                    <w:richText/>
                  </w:sdtPr>
                  <w:sdtContent>
                    <w:p>
                      <w:pPr>
                        <w:spacing w:line="360" w:lineRule="auto"/>
                        <w:ind w:firstLine="720"/>
                        <w:jc w:val="both"/>
                        <w:rPr>
                          <w:kern w:val="2"/>
                          <w:szCs w:val="24"/>
                          <w:lang w:eastAsia="lt-LT"/>
                        </w:rPr>
                      </w:pPr>
                      <w:sdt>
                        <w:sdtPr>
                          <w:alias w:val="Numeris"/>
                          <w:tag w:val="nr_ec2de05e806a4c1ca96025c2340db6df"/>
                          <w:lock w:val="sdtLocked"/>
                          <w:richText/>
                        </w:sdtPr>
                        <w:sdtContent>
                          <w:r>
                            <w:rPr>
                              <w:kern w:val="2"/>
                              <w:szCs w:val="24"/>
                              <w:lang w:eastAsia="lt-LT"/>
                            </w:rPr>
                            <w:t>1</w:t>
                          </w:r>
                          <w:r>
                            <w:rPr>
                              <w:kern w:val="2"/>
                              <w:szCs w:val="24"/>
                              <w:vertAlign w:val="superscript"/>
                              <w:lang w:eastAsia="lt-LT"/>
                            </w:rPr>
                            <w:t>1</w:t>
                          </w:r>
                        </w:sdtContent>
                      </w:sdt>
                      <w:r>
                        <w:rPr>
                          <w:kern w:val="2"/>
                          <w:szCs w:val="24"/>
                          <w:lang w:eastAsia="lt-LT"/>
                        </w:rPr>
                        <w:t>. Nereikia gauti statybą leidžiančio dokumento, bet privaloma pranešti apie statybos pradžią, pateikiant šio įstatymo 27</w:t>
                      </w:r>
                      <w:r>
                        <w:rPr>
                          <w:kern w:val="2"/>
                          <w:szCs w:val="24"/>
                          <w:vertAlign w:val="superscript"/>
                          <w:lang w:eastAsia="lt-LT"/>
                        </w:rPr>
                        <w:t>2</w:t>
                      </w:r>
                      <w:r>
                        <w:rPr>
                          <w:kern w:val="2"/>
                          <w:szCs w:val="24"/>
                          <w:lang w:eastAsia="lt-LT"/>
                        </w:rPr>
                        <w:t xml:space="preserve"> straipsnio 5 dalyje išvardytus dokumentus šiais atvejais:</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a7f1294c21db46dc9b9ff26253cb0821"/>
                        <w:lock w:val="sdtLocked"/>
                        <w:richText/>
                      </w:sdtPr>
                      <w:sdtContent>
                        <w:p>
                          <w:pPr>
                            <w:spacing w:line="360" w:lineRule="auto"/>
                            <w:ind w:firstLine="720"/>
                            <w:jc w:val="both"/>
                            <w:textAlignment w:val="baseline"/>
                          </w:pPr>
                          <w:sdt>
                            <w:sdtPr>
                              <w:alias w:val="Numeris"/>
                              <w:tag w:val="nr_a7f1294c21db46dc9b9ff26253cb0821"/>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a1d13889a76145768dc0ce668d04dfbf"/>
                    <w:lock w:val="sdtLocked"/>
                    <w:richText/>
                  </w:sdtPr>
                  <w:sdtContent>
                    <w:p>
                      <w:pPr>
                        <w:spacing w:line="360" w:lineRule="auto"/>
                        <w:ind w:firstLine="720"/>
                        <w:jc w:val="both"/>
                        <w:rPr>
                          <w:szCs w:val="24"/>
                        </w:rPr>
                      </w:pPr>
                      <w:sdt>
                        <w:sdtPr>
                          <w:alias w:val="Numeris"/>
                          <w:tag w:val="nr_a1d13889a76145768dc0ce668d04dfbf"/>
                          <w:lock w:val="sdtLocked"/>
                          <w:richText/>
                        </w:sdtPr>
                        <w:sdtContent>
                          <w:r>
                            <w:rPr>
                              <w:kern w:val="2"/>
                              <w:szCs w:val="24"/>
                              <w:bdr w:val="none" w:sz="0" w:space="0" w:color="auto" w:frame="1"/>
                              <w:lang w:eastAsia="lt-LT"/>
                            </w:rPr>
                            <w:t>1</w:t>
                          </w:r>
                          <w:r>
                            <w:rPr>
                              <w:kern w:val="2"/>
                              <w:szCs w:val="24"/>
                              <w:bdr w:val="none" w:sz="0" w:space="0" w:color="auto" w:frame="1"/>
                              <w:vertAlign w:val="superscript"/>
                              <w:lang w:eastAsia="lt-LT"/>
                            </w:rPr>
                            <w:t>2</w:t>
                          </w:r>
                        </w:sdtContent>
                      </w:sdt>
                      <w:r>
                        <w:rPr>
                          <w:kern w:val="2"/>
                          <w:szCs w:val="24"/>
                          <w:bdr w:val="none" w:sz="0" w:space="0" w:color="auto" w:frame="1"/>
                          <w:lang w:eastAsia="lt-LT"/>
                        </w:rPr>
                        <w:t>.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4f332f8c297b4d4aaadaf8c55e137955"/>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pPr>
                      <w:r>
                        <w:rPr>
                          <w:szCs w:val="24"/>
                          <w:lang w:eastAsia="lt-LT"/>
                        </w:rPr>
                        <w:t>15</w:t>
                      </w:r>
                      <w:r>
                        <w:rPr>
                          <w:szCs w:val="24"/>
                          <w:vertAlign w:val="superscript"/>
                          <w:lang w:eastAsia="lt-LT"/>
                        </w:rPr>
                        <w:t>1</w:t>
                      </w:r>
                      <w:r>
                        <w:rPr>
                          <w:szCs w:val="24"/>
                          <w:lang w:eastAsia="lt-LT"/>
                        </w:rPr>
                        <w:t xml:space="preserve">. </w:t>
                      </w:r>
                      <w:r>
                        <w:rPr>
                          <w:szCs w:val="24"/>
                          <w:shd w:val="clear" w:color="auto" w:fill="FFFFFF"/>
                          <w:lang w:eastAsia="lt-LT"/>
                        </w:rPr>
                        <w:t>Apie statybą leidžiančio dokumento išdavimą, išskyrus Valstybės ir tarnybos paslapčių įstatymo nustatyta tvarka įslaptintus statinio projekto dokumentus ir informaciją bei</w:t>
                      </w:r>
                      <w:r>
                        <w:rPr>
                          <w:bCs/>
                          <w:szCs w:val="24"/>
                          <w:shd w:val="clear" w:color="auto" w:fill="FFFFFF"/>
                          <w:lang w:eastAsia="lt-LT"/>
                        </w:rPr>
                        <w:t xml:space="preserve"> </w:t>
                      </w:r>
                      <w:r>
                        <w:rPr>
                          <w:bCs/>
                          <w:szCs w:val="24"/>
                          <w:lang w:eastAsia="lt-LT"/>
                        </w:rPr>
                        <w:t>statinio, kuris skirtas Lietuvos Respublikos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statybą leidžiantį dokumentą</w:t>
                      </w:r>
                      <w:r>
                        <w:rPr>
                          <w:szCs w:val="24"/>
                          <w:lang w:eastAsia="lt-LT"/>
                        </w:rPr>
                        <w:t>,</w:t>
                      </w:r>
                      <w:r>
                        <w:rPr>
                          <w:szCs w:val="24"/>
                          <w:shd w:val="clear" w:color="auto" w:fill="FFFFFF"/>
                          <w:lang w:eastAsia="lt-LT"/>
                        </w:rPr>
                        <w:t xml:space="preserve">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 </w:t>
                      </w:r>
                      <w:r>
                        <w:rPr>
                          <w:bCs/>
                          <w:szCs w:val="24"/>
                          <w:shd w:val="clear" w:color="auto" w:fill="FFFFFF"/>
                          <w:lang w:eastAsia="lt-LT"/>
                        </w:rPr>
                        <w:t xml:space="preserve">Apie </w:t>
                      </w:r>
                      <w:r>
                        <w:rPr>
                          <w:bCs/>
                          <w:szCs w:val="24"/>
                          <w:lang w:eastAsia="lt-LT"/>
                        </w:rPr>
                        <w:t xml:space="preserve">statinio, kuris skirtas Investicijų įstatyme nurodytiems stambiems projektams, Vyriausybės nutarimu pripažintiems užtikrinančiais neatidėliotinus valstybės saugumo ir gynybos poreikius, įgyvendinti neurbanizuotose ir neurbanizuojamose teritorijose ir kuriame bus vykdoma ūkinė veikla, kuriai pagal Planuojamos ūkinės veiklos poveikio aplinkai vertinimo įstatymo nuostatas atliktas planuojamos ūkinės veiklos poveikio aplinkai vertinimas, </w:t>
                      </w:r>
                      <w:r>
                        <w:rPr>
                          <w:bCs/>
                          <w:szCs w:val="24"/>
                          <w:shd w:val="clear" w:color="auto" w:fill="FFFFFF"/>
                          <w:lang w:eastAsia="lt-LT"/>
                        </w:rPr>
                        <w:t>statybą leidžiančio dokumento išdavimą visuomenė informuojama per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statinių duomenis (statinio pavadinimą, statybos rūšį, naudojimo paskirtį, kategoriją (ypatingasis, neypatingasis, nesudėtingasis)) ir teikiant nuorodą į s</w:t>
                      </w:r>
                      <w:r>
                        <w:rPr>
                          <w:bCs/>
                          <w:szCs w:val="24"/>
                          <w:lang w:eastAsia="lt-LT"/>
                        </w:rPr>
                        <w:t>prendimą dėl planuojamos ūkinės veiklos poveikio aplinkai.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13dae049040f4f348a4ea2be568e013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13dae049040f4f348a4ea2be568e0137"/>
                          <w:lock w:val="sdtLocked"/>
                          <w:richText/>
                        </w:sdtPr>
                        <w:sdtContent>
                          <w:r>
                            <w:t>34</w:t>
                          </w:r>
                        </w:sdtContent>
                      </w:sdt>
                      <w:r>
                        <w:t xml:space="preserve">. </w:t>
                      </w:r>
                      <w:r>
                        <w:rPr>
                          <w:bCs/>
                        </w:rPr>
                        <w:t>Neturint statybą leidžiančio dokumento gali būti pradėti statyti:</w:t>
                      </w:r>
                    </w:p>
                    <w:sdt>
                      <w:sdtPr>
                        <w:alias w:val="27 str. 34 d. 1 p."/>
                        <w:tag w:val="part_5ea57af4e1ec421cb031df2f731a63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ea57af4e1ec421cb031df2f731a6358"/>
                              <w:lock w:val="sdtLocked"/>
                              <w:richText/>
                            </w:sdtPr>
                            <w:sdtContent>
                              <w:r>
                                <w:rPr>
                                  <w:bCs/>
                                </w:rPr>
                                <w:t>1</w:t>
                              </w:r>
                            </w:sdtContent>
                          </w:sdt>
                          <w:r>
                            <w:rPr>
                              <w:bCs/>
                            </w:rPr>
                            <w:t>)</w:t>
                          </w:r>
                          <w:r>
                            <w:t xml:space="preserve"> </w:t>
                          </w:r>
                          <w:r>
                            <w:rPr>
                              <w:bCs/>
                            </w:rPr>
                            <w:t>statiniai, kurie, priėmus sprendimą Lietuvos Respublikoje įvesti nepaprastąją padėtį, Vyriausybės sprendimu pripažinti tiesiogiai susijusiais su nepaprastosios padėties įvedimo tikslų ir priemonių įgyvendinimu;</w:t>
                          </w:r>
                        </w:p>
                      </w:sdtContent>
                    </w:sdt>
                    <w:sdt>
                      <w:sdtPr>
                        <w:alias w:val="27 str. 34 d. 2 p."/>
                        <w:tag w:val="part_9edb8fd9c6f44ae0b7b23e1454255337"/>
                        <w:lock w:val="sdtLocked"/>
                        <w:richText/>
                      </w:sdtPr>
                      <w:sdtContent>
                        <w:p>
                          <w:pPr>
                            <w:tabs>
                              <w:tab w:val="left" w:pos="142"/>
                              <w:tab w:val="left" w:pos="993"/>
                              <w:tab w:val="left" w:pos="1832"/>
                              <w:tab w:val="left" w:pos="2748"/>
                              <w:tab w:val="left" w:pos="3664"/>
                              <w:tab w:val="center" w:pos="4153"/>
                              <w:tab w:val="left" w:pos="4580"/>
                              <w:tab w:val="left" w:pos="5496"/>
                              <w:tab w:val="left" w:pos="6412"/>
                              <w:tab w:val="left" w:pos="7328"/>
                              <w:tab w:val="left" w:pos="8244"/>
                              <w:tab w:val="right" w:pos="8306"/>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9edb8fd9c6f44ae0b7b23e1454255337"/>
                              <w:lock w:val="sdtLocked"/>
                              <w:richText/>
                            </w:sdtPr>
                            <w:sdtContent>
                              <w:r>
                                <w:rPr>
                                  <w:szCs w:val="24"/>
                                </w:rPr>
                                <w:t>2</w:t>
                              </w:r>
                            </w:sdtContent>
                          </w:sdt>
                          <w:r>
                            <w:rPr>
                              <w:szCs w:val="24"/>
                            </w:rPr>
                            <w:t>)</w:t>
                          </w:r>
                          <w:r>
                            <w:rPr>
                              <w:b/>
                              <w:bCs/>
                              <w:szCs w:val="24"/>
                            </w:rPr>
                            <w:t xml:space="preserve"> </w:t>
                          </w:r>
                          <w:r>
                            <w:rPr>
                              <w:szCs w:val="24"/>
                            </w:rPr>
                            <w:t xml:space="preserve">statiniai, skirti Lietuvos Respublikos investicijų įstatyme nurodytiems stambiems projektams, Vyriausybės nutarimu pripažintiems užtikrinančiais neatidėliotinus valstybės saugumo ir gynybos poreikius, įgyvendinti neurbanizuotose ir neurbanizuojamose teritorijose. Informuoti visuomenę apie numatomą šių statinių ir statinių dalių projektavimą, </w:t>
                          </w:r>
                          <w:r>
                            <w:rPr>
                              <w:szCs w:val="24"/>
                              <w:shd w:val="clear" w:color="auto" w:fill="FFFFFF"/>
                            </w:rPr>
                            <w:t>taip pat apie visuomenės dalyvavimą svarstant tokių statinių ir statinių dalių projektinius pasiūlymus neprivaloma.</w:t>
                          </w:r>
                          <w:r>
                            <w:rPr>
                              <w:bCs/>
                              <w:szCs w:val="24"/>
                            </w:rPr>
                            <w:t xml:space="preserve"> Viešai skelbti šiam statiniui išduotų s</w:t>
                          </w:r>
                          <w:r>
                            <w:rPr>
                              <w:bCs/>
                            </w:rPr>
                            <w:t xml:space="preserve">pecialiųjų reikalavimų </w:t>
                          </w:r>
                          <w:r>
                            <w:rPr>
                              <w:bCs/>
                              <w:szCs w:val="24"/>
                            </w:rPr>
                            <w:t xml:space="preserve">ir konsultuotis </w:t>
                          </w:r>
                          <w:r>
                            <w:rPr>
                              <w:bCs/>
                              <w:szCs w:val="24"/>
                              <w:shd w:val="clear" w:color="auto" w:fill="FFFFFF"/>
                            </w:rPr>
                            <w:t xml:space="preserve">su visuomene dėl specialiųjų architektūros reikalavimų nustatymo tokiam statiniui neprivaloma. </w:t>
                          </w:r>
                          <w:r>
                            <w:rPr>
                              <w:szCs w:val="24"/>
                            </w:rPr>
                            <w:t xml:space="preserve">Informacijos apie šių statinių statybos dalyvių pateiktus prašymus, viešojo administravimo subjektų ir prisijungimo sąlygas išduodančių subjektų priimtus sprendimus viešinti neprivaloma. Informacijos apie šiems statiniams išduotą statybą leidžiantį dokumentą, išskyrus informaciją apie statinio, kuriame bus vykdoma ūkinė veikla, kuriai pagal Planuojamos ūkinės veiklos poveikio aplinkai vertinimo įstatymo nuostatas atliktas planuojamos ūkinės veiklos poveikio aplinkai vertinimas, statybą leidžiantį dokumentą, ir apie statybos pradžią viešinti neprivaloma. </w:t>
                          </w:r>
                          <w:r>
                            <w:t xml:space="preserve">Informacija </w:t>
                          </w:r>
                          <w:r>
                            <w:rPr>
                              <w:szCs w:val="24"/>
                            </w:rPr>
                            <w:t>apie išduotą šiame punkte nurodyto statinio, kuriame bus vykdoma ūkinė veikla, kuriai pagal Planuojamos ūkinės veiklos poveikio aplinkai vertinimo įstatymo nuostatas atliktas planuojamos ūkinės veiklos poveikio aplinkai vertinimas</w:t>
                          </w:r>
                          <w:r>
                            <w:t xml:space="preserve">, </w:t>
                          </w:r>
                          <w:r>
                            <w:rPr>
                              <w:szCs w:val="24"/>
                            </w:rPr>
                            <w:t xml:space="preserve">statybą leidžiantį dokumentą </w:t>
                          </w:r>
                          <w:r>
                            <w:t>viešinama šio straipsnio 15</w:t>
                          </w:r>
                          <w:r>
                            <w:rPr>
                              <w:vertAlign w:val="superscript"/>
                            </w:rPr>
                            <w:t>1</w:t>
                          </w:r>
                          <w:r>
                            <w:t xml:space="preserve">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2f3838675e1a4b069cbb1402d5c9f7eb"/>
                        <w:lock w:val="sdtLocked"/>
                        <w:richText/>
                      </w:sdtPr>
                      <w:sdtContent>
                        <w:p>
                          <w:pPr>
                            <w:spacing w:line="360" w:lineRule="auto"/>
                            <w:ind w:firstLine="720"/>
                            <w:jc w:val="both"/>
                            <w:rPr>
                              <w:kern w:val="2"/>
                              <w:szCs w:val="24"/>
                              <w:lang w:eastAsia="lt-LT"/>
                            </w:rPr>
                          </w:pPr>
                          <w:sdt>
                            <w:sdtPr>
                              <w:alias w:val="Numeris"/>
                              <w:tag w:val="nr_2f3838675e1a4b069cbb1402d5c9f7eb"/>
                              <w:lock w:val="sdtLocked"/>
                              <w:richText/>
                            </w:sdtPr>
                            <w:sdtContent>
                              <w:r>
                                <w:rPr>
                                  <w:bCs/>
                                  <w:kern w:val="2"/>
                                  <w:szCs w:val="24"/>
                                  <w:lang w:eastAsia="lt-LT"/>
                                </w:rPr>
                                <w:t>18</w:t>
                              </w:r>
                            </w:sdtContent>
                          </w:sdt>
                          <w:r>
                            <w:rPr>
                              <w:kern w:val="2"/>
                              <w:szCs w:val="24"/>
                              <w:lang w:eastAsia="lt-LT"/>
                            </w:rPr>
                            <w:t>) ar projektuojamų susisiekimo komunikacijų, inžinerinių tinklų vietos (trasos) iki sklypo ribų (jeigu sklypas nesuformuotas, – iki projektuojamo statinio) atitinka teritorijų planavimo dokumentų sprendinius ir (ar) prisijungimo sąlygų reikalavimus ir nepažeidžia trečiųjų asmenų interesų.</w:t>
                          </w:r>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ca2098867b4002a760da764c2de3b8"/>
                    <w:lock w:val="sdtLocked"/>
                    <w:richText/>
                  </w:sdtPr>
                  <w:sdtContent>
                    <w:p>
                      <w:pPr>
                        <w:spacing w:line="360" w:lineRule="auto"/>
                        <w:ind w:firstLine="720"/>
                        <w:jc w:val="both"/>
                        <w:rPr>
                          <w:kern w:val="2"/>
                          <w:szCs w:val="24"/>
                          <w:lang w:eastAsia="lt-LT"/>
                        </w:rPr>
                      </w:pPr>
                      <w:sdt>
                        <w:sdtPr>
                          <w:alias w:val="Numeris"/>
                          <w:tag w:val="nr_d7ca2098867b4002a760da764c2de3b8"/>
                          <w:lock w:val="sdtLocked"/>
                          <w:richText/>
                        </w:sdtPr>
                        <w:sdtContent>
                          <w:r>
                            <w:rPr>
                              <w:kern w:val="2"/>
                              <w:szCs w:val="24"/>
                              <w:lang w:eastAsia="lt-LT"/>
                            </w:rPr>
                            <w:t>1</w:t>
                          </w:r>
                        </w:sdtContent>
                      </w:sdt>
                      <w:r>
                        <w:rPr>
                          <w:kern w:val="2"/>
                          <w:szCs w:val="24"/>
                          <w:lang w:eastAsia="lt-LT"/>
                        </w:rPr>
                        <w:t>. Statytojas (užsakovas) privalo Valstybinei teritorijų planavimo ir statybos inspekcijai prie Aplinkos ministerijos pranešti apie statybos pradžią, kai šio įstatymo 27 straipsnio 1 dalyje nurodytais atvejais privalomas statybą leidžiantis dokumentas, arba šio įstatymo 27 straipsnio 1</w:t>
                      </w:r>
                      <w:r>
                        <w:rPr>
                          <w:kern w:val="2"/>
                          <w:szCs w:val="24"/>
                          <w:vertAlign w:val="superscript"/>
                          <w:lang w:eastAsia="lt-LT"/>
                        </w:rPr>
                        <w:t>1</w:t>
                      </w:r>
                      <w:r>
                        <w:rPr>
                          <w:kern w:val="2"/>
                          <w:szCs w:val="24"/>
                          <w:lang w:eastAsia="lt-LT"/>
                        </w:rPr>
                        <w:t> dalyje nurodytais atvejais.</w:t>
                      </w:r>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d6478f7b04d54997ba14c6ec4bd3f13f"/>
                        <w:lock w:val="sdtLocked"/>
                        <w:richText/>
                      </w:sdtPr>
                      <w:sdtContent>
                        <w:p>
                          <w:pPr>
                            <w:spacing w:line="360" w:lineRule="auto"/>
                            <w:ind w:firstLine="720"/>
                            <w:jc w:val="both"/>
                            <w:rPr>
                              <w:b/>
                              <w:kern w:val="2"/>
                              <w:szCs w:val="24"/>
                            </w:rPr>
                          </w:pPr>
                          <w:sdt>
                            <w:sdtPr>
                              <w:alias w:val="Numeris"/>
                              <w:tag w:val="nr_d6478f7b04d54997ba14c6ec4bd3f13f"/>
                              <w:lock w:val="sdtLocked"/>
                              <w:richText/>
                            </w:sdtPr>
                            <w:sdtContent>
                              <w:r>
                                <w:rPr>
                                  <w:kern w:val="2"/>
                                  <w:szCs w:val="24"/>
                                </w:rPr>
                                <w:t>5</w:t>
                              </w:r>
                            </w:sdtContent>
                          </w:sdt>
                          <w:r>
                            <w:rPr>
                              <w:kern w:val="2"/>
                              <w:szCs w:val="24"/>
                            </w:rPr>
                            <w:t xml:space="preserve">) susisiekimo komunikacijų ir inžinerinių tinklų, prie kurių prijungiami sklypo ar kiti inžineriniai tinklai ir (ar) susisiekimo komunikacijos, savininkų, valdytojų ar naudotojų išvada, kad techninio darbo projekto sprendiniai atitinka prisijungimo sąlygose nustatytus reikalavimus (kai rengiant statinio projektą buvo išduotos prisijungimo sąlygos). </w:t>
                          </w:r>
                          <w:r>
                            <w:rPr>
                              <w:bCs/>
                              <w:kern w:val="2"/>
                              <w:szCs w:val="24"/>
                            </w:rPr>
                            <w:t xml:space="preserve">Inžinerinių tinklų ir susisiekimo komunikacijų savininkas (valdytojas) ar naudotojas išduoda arba motyvuotai atsisako išduoti išvadą, kad techninio darbo projekto sprendiniai atitinka prisijungimo sąlygose nustatytus reikalavimus (kai rengiant statinio projektą buvo išduotos prisijungimo sąlygos), per 10 darbo dienų nuo statytojo (užsakovo) prašymo išduoti šią išvadą gavimo ir </w:t>
                          </w:r>
                          <w:r>
                            <w:rPr>
                              <w:bCs/>
                              <w:szCs w:val="24"/>
                              <w:lang w:eastAsia="lt-LT"/>
                            </w:rPr>
                            <w:t>atitinkamos techninio darbo projekto dalies</w:t>
                          </w:r>
                          <w:r>
                            <w:rPr>
                              <w:bCs/>
                              <w:kern w:val="2"/>
                              <w:szCs w:val="24"/>
                            </w:rPr>
                            <w:t xml:space="preserve"> pateikimo dienos</w:t>
                          </w:r>
                          <w:r>
                            <w:rPr>
                              <w:kern w:val="2"/>
                              <w:szCs w:val="24"/>
                            </w:rPr>
                            <w:t>;</w:t>
                          </w:r>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8e8ae8a9108040a6bdabdc04f3a3b3ca"/>
                        <w:lock w:val="sdtLocked"/>
                        <w:richText/>
                      </w:sdtPr>
                      <w:sdtContent>
                        <w:p>
                          <w:pPr>
                            <w:widowControl w:val="0"/>
                            <w:tabs>
                              <w:tab w:val="left" w:pos="4980"/>
                            </w:tabs>
                            <w:spacing w:line="400" w:lineRule="atLeast"/>
                            <w:ind w:firstLine="720"/>
                            <w:jc w:val="both"/>
                            <w:rPr>
                              <w:rFonts w:eastAsia="Calibri"/>
                              <w:szCs w:val="24"/>
                              <w:lang w:eastAsia="en-GB"/>
                            </w:rPr>
                          </w:pPr>
                          <w:r>
                            <w:rPr>
                              <w:szCs w:val="24"/>
                              <w:lang w:eastAsia="lt-LT"/>
                            </w:rPr>
                            <w:t>1)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Nekilnojamojo turto kadastro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2 p."/>
                        <w:tag w:val="part_d5dc4b76180040229abe53fddf5d8512"/>
                        <w:lock w:val="sdtLocked"/>
                        <w:richText/>
                      </w:sdtPr>
                      <w:sdtContent>
                        <w:p>
                          <w:pPr>
                            <w:widowControl w:val="0"/>
                            <w:spacing w:line="400" w:lineRule="atLeast"/>
                            <w:ind w:firstLine="720"/>
                            <w:jc w:val="both"/>
                            <w:rPr>
                              <w:rFonts w:eastAsia="Calibri"/>
                              <w:szCs w:val="24"/>
                              <w:lang w:eastAsia="en-GB"/>
                            </w:rPr>
                          </w:pPr>
                          <w:r>
                            <w:rPr>
                              <w:szCs w:val="24"/>
                              <w:lang w:eastAsia="lt-LT"/>
                            </w:rPr>
                            <w:t xml:space="preserve">2)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w:t>
                          </w:r>
                          <w:r>
                            <w:rPr>
                              <w:szCs w:val="24"/>
                              <w:bdr w:val="none" w:sz="0" w:space="0" w:color="auto" w:frame="1"/>
                              <w:lang w:eastAsia="lt-LT"/>
                            </w:rPr>
                            <w:t>taip pat atnaujintą žemės sklypo, kuriame pastatytas ar rekonstruotas statinys, kadastro duomenų bylą, suderintą Nekilnojamojo turto kadastro nuostatuose nustatyta tvarka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eb4a74eff32d4f008195b44b8a144fcf"/>
                    <w:lock w:val="sdtLocked"/>
                    <w:richText/>
                  </w:sdtPr>
                  <w:sdtContent>
                    <w:p>
                      <w:pPr>
                        <w:tabs>
                          <w:tab w:val="left" w:pos="709"/>
                        </w:tabs>
                        <w:spacing w:line="400" w:lineRule="atLeast"/>
                        <w:ind w:firstLine="720"/>
                        <w:jc w:val="both"/>
                        <w:rPr>
                          <w:szCs w:val="24"/>
                        </w:rPr>
                      </w:pPr>
                      <w:sdt>
                        <w:sdtPr>
                          <w:alias w:val="Numeris"/>
                          <w:tag w:val="nr_eb4a74eff32d4f008195b44b8a144fcf"/>
                          <w:lock w:val="sdtLocked"/>
                          <w:richText/>
                        </w:sdtPr>
                        <w:sdtContent>
                          <w:r>
                            <w:rPr>
                              <w:szCs w:val="24"/>
                            </w:rPr>
                            <w:t>1</w:t>
                          </w:r>
                        </w:sdtContent>
                      </w:sdt>
                      <w:r>
                        <w:rPr>
                          <w:szCs w:val="24"/>
                        </w:rPr>
                        <w:t>. Savivaldybės meras (jo įgaliotas savivaldybės administracijos valstybės tarnautojas)</w:t>
                      </w:r>
                      <w:r>
                        <w:rPr>
                          <w:b/>
                          <w:bCs/>
                          <w:szCs w:val="24"/>
                        </w:rPr>
                        <w:t xml:space="preserve"> </w:t>
                      </w:r>
                      <w:r>
                        <w:rPr>
                          <w:szCs w:val="24"/>
                        </w:rPr>
                        <w:t xml:space="preserve">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w:t>
                      </w:r>
                      <w:r>
                        <w:rPr>
                          <w:bCs/>
                          <w:szCs w:val="24"/>
                        </w:rPr>
                        <w:t>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r>
                        <w:rPr>
                          <w:szCs w:val="24"/>
                        </w:rPr>
                        <w:t>.</w:t>
                      </w:r>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8 d."/>
                    <w:tag w:val="part_c74015e278b94c749ce1d5c64f60c443"/>
                    <w:lock w:val="sdtLocked"/>
                    <w:richText/>
                  </w:sdtPr>
                  <w:sdtContent>
                    <w:p>
                      <w:pPr>
                        <w:tabs>
                          <w:tab w:val="left" w:pos="851"/>
                          <w:tab w:val="left" w:pos="1418"/>
                        </w:tabs>
                        <w:spacing w:line="400" w:lineRule="atLeast"/>
                        <w:ind w:firstLine="720"/>
                        <w:jc w:val="both"/>
                      </w:pPr>
                      <w:sdt>
                        <w:sdtPr>
                          <w:alias w:val="Numeris"/>
                          <w:tag w:val="nr_c74015e278b94c749ce1d5c64f60c443"/>
                          <w:lock w:val="sdtLocked"/>
                          <w:richText/>
                        </w:sdtPr>
                        <w:sdtContent>
                          <w:r>
                            <w:rPr>
                              <w:bCs/>
                              <w:szCs w:val="24"/>
                            </w:rPr>
                            <w:t>8</w:t>
                          </w:r>
                        </w:sdtContent>
                      </w:sdt>
                      <w:r>
                        <w:rPr>
                          <w:bCs/>
                          <w:szCs w:val="24"/>
                        </w:rPr>
                        <w:t>. Jeigu statinyje numatoma vykdyti ūkinė veikla neatitinka statinio naudojimo paskirties, išduoti leidimą, nurodytą Paslaugų įstatymo 2 straipsnio 6 dalyje, atitinkamai ūkinei veiklai vykdyti draudžiama, išskyrus Vyriausybės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96B615C"/>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110.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109.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110.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111.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11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dbfd20d33b6f496fa45edee888b00477"/>
        <Part Type="strDalis" Nr="5" Abbr="24 str. 5 d." DocPartId="24ad176c484b4de9be02d0dee6413bee" PartId="89e8f609bfee4d45b5958a1440f35520"/>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318e278e682b47c7a450137629183178"/>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ec2de05e806a4c1ca96025c2340db6df">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a7f1294c21db46dc9b9ff26253cb0821"/>
        </Part>
        <Part Type="strDalis" Nr="1-2" Abbr="27 str. 1-2 d." DocPartId="ee4cd5b631f74730bc9526c6a22e4d75" PartId="a1d13889a76145768dc0ce668d04dfbf"/>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4f332f8c297b4d4aaadaf8c55e137955"/>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13dae049040f4f348a4ea2be568e0137">
          <Part Type="strPunktas" Nr="1" Abbr="27 str. 34 d. 1 p." DocPartId="13133584bc464807a309f1d292597d40" PartId="5ea57af4e1ec421cb031df2f731a6358"/>
          <Part Type="strPunktas" Nr="2" Abbr="27 str. 34 d. 2 p." DocPartId="6124975e3b724aaa948645f528799717" PartId="9edb8fd9c6f44ae0b7b23e1454255337"/>
        </Part>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2f3838675e1a4b069cbb1402d5c9f7eb"/>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ca2098867b4002a760da764c2de3b8"/>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d6478f7b04d54997ba14c6ec4bd3f13f"/>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8e8ae8a9108040a6bdabdc04f3a3b3ca"/>
          <Part Type="strPunktas" Nr="2" Abbr="28 str. 1 d. 2 p." DocPartId="a03bc16d826b476a8c7540080505a308" PartId="d5dc4b76180040229abe53fddf5d8512"/>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eb4a74eff32d4f008195b44b8a144fc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8 d." DocPartId="c4e5eaea92b74690a87251a08d16a2f6" PartId="c74015e278b94c749ce1d5c64f60c443"/>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14535EC-9577-4DC0-B701-2733D906481E}">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0AB9A5AD-B4D0-44C1-B5AB-112BEAFDC0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372</TotalTime>
  <Pages>133</Pages>
  <Words>42873</Words>
  <Characters>326107</Characters>
  <Application>Microsoft Office Word</Application>
  <DocSecurity>0</DocSecurity>
  <Lines>2717</Lines>
  <Paragraphs>736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368244</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2024-10-11T12:50:00Z</dcterms:modified>
  <revision>68</revision>
  <dc:title>Redagavo: Ramunė Lūžaitė (1997</dc:title>
</coreProperties>
</file>