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4a15e44c36404330a48c6b7e27941705"/>
        <w:lock w:val="sdtLocked"/>
        <w:richText/>
      </w:sdtPr>
      <w:sdtContent>
        <w:p>
          <w:pPr>
            <w:jc w:val="both"/>
            <w:rPr>
              <w:rFonts w:ascii="Times New Roman" w:hAnsi="Times New Roman"/>
            </w:rPr>
          </w:pPr>
          <w:r>
            <w:rPr>
              <w:rFonts w:ascii="Times New Roman" w:hAnsi="Times New Roman"/>
              <w:b/>
              <w:i/>
            </w:rPr>
            <w:t>Suvestinė redakcija nuo 2013-06-09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2005, Nr. </w:t>
          </w:r>
          <w:fldSimple w:instr="HYPERLINK https://www.e-tar.lt/portal/legalAct.html?documentId=TAR.C9DC214FD629">
            <w:r w:rsidRPr="00532B9F">
              <w:rPr>
                <w:rFonts w:ascii="Times New Roman" w:eastAsia="MS Mincho" w:hAnsi="Times New Roman"/>
                <w:sz w:val="20"/>
                <w:i/>
                <w:iCs/>
                <w:color w:val="0000FF" w:themeColor="hyperlink"/>
                <w:u w:val="single"/>
              </w:rPr>
              <w:t>113-4143</w:t>
            </w:r>
          </w:fldSimple>
          <w:r>
            <w:rPr>
              <w:rFonts w:ascii="Times New Roman" w:eastAsia="MS Mincho" w:hAnsi="Times New Roman"/>
              <w:sz w:val="20"/>
              <w:i/>
              <w:iCs/>
            </w:rPr>
            <w:t>, i. k. 105301MISAK00D1-449</w:t>
          </w:r>
        </w:p>
        <w:p>
          <w:pPr>
            <w:jc w:val="both"/>
            <w:rPr>
              <w:rFonts w:ascii="Times New Roman" w:hAnsi="Times New Roman"/>
              <w:sz w:val="20"/>
            </w:rPr>
          </w:pPr>
        </w:p>
        <w:p>
          <w:pPr>
            <w:tabs>
              <w:tab w:val="center" w:pos="4153"/>
              <w:tab w:val="right" w:pos="8306"/>
            </w:tabs>
            <w:rPr>
              <w:lang w:val="en-GB"/>
            </w:rPr>
          </w:pPr>
          <w:r>
            <w:t xml:space="preserve"> </w:t>
          </w: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9" o:title=""/>
              </v:shape>
              <w:control r:id="rId10" w:name="Control 3" w:shapeid="_x0000_s1027"/>
            </w:pict>
          </w:r>
          <w:r>
            <w:rPr>
              <w:b/>
              <w:color w:val="000000"/>
            </w:rPr>
            <w:t>LIETUVOS RESPUBLIKOS APLINKOS MINISTRO</w:t>
          </w:r>
        </w:p>
        <w:p>
          <w:pPr>
            <w:jc w:val="center"/>
            <w:rPr>
              <w:color w:val="000000"/>
            </w:rPr>
          </w:pPr>
        </w:p>
        <w:p>
          <w:pPr>
            <w:jc w:val="center"/>
            <w:rPr>
              <w:b/>
              <w:color w:val="000000"/>
            </w:rPr>
          </w:pPr>
          <w:r>
            <w:rPr>
              <w:b/>
              <w:color w:val="000000"/>
            </w:rPr>
            <w:t>Į S A K Y M A S</w:t>
          </w:r>
        </w:p>
        <w:p>
          <w:pPr>
            <w:jc w:val="center"/>
            <w:rPr>
              <w:b/>
              <w:color w:val="000000"/>
            </w:rPr>
          </w:pPr>
          <w:r>
            <w:rPr>
              <w:b/>
              <w:color w:val="000000"/>
            </w:rPr>
            <w:t>DĖL STATINIŲ, KURIE NETURI SAVININKŲ (AR KURIŲ SAVININKAI NEŽINOMI), SĄRAŠŲ, APSKAITOS AKTŲ, JŲ REGISTRŲ (REGISTRAVIMO KNYGŲ), SKELBIMŲ APIE SIŪLYMĄ PRIPAŽINTI JUOS BEŠEIMININKIAIS FORMŲ IR JŲ PILDYMO TVARKOS APRAŠO PATVIRTINIMO</w:t>
          </w:r>
        </w:p>
        <w:p>
          <w:pPr>
            <w:jc w:val="center"/>
            <w:rPr>
              <w:color w:val="000000"/>
            </w:rPr>
          </w:pPr>
        </w:p>
        <w:p>
          <w:pPr>
            <w:jc w:val="center"/>
            <w:rPr>
              <w:color w:val="000000"/>
            </w:rPr>
          </w:pPr>
          <w:r>
            <w:rPr>
              <w:color w:val="000000"/>
            </w:rPr>
            <w:t>2005 m. rugsėjo 16 d. Nr. D1-449</w:t>
          </w:r>
        </w:p>
        <w:p>
          <w:pPr>
            <w:jc w:val="center"/>
            <w:rPr>
              <w:color w:val="000000"/>
            </w:rPr>
          </w:pPr>
          <w:r>
            <w:rPr>
              <w:color w:val="000000"/>
            </w:rPr>
            <w:t>Vilnius</w:t>
          </w:r>
        </w:p>
        <w:p>
          <w:pPr>
            <w:ind w:firstLine="709"/>
            <w:jc w:val="both"/>
            <w:rPr>
              <w:color w:val="000000"/>
            </w:rPr>
          </w:pPr>
        </w:p>
        <w:sdt>
          <w:sdtPr>
            <w:alias w:val="preambule"/>
            <w:tag w:val="part_551a1fe6ffd948e4a024213115d4b839"/>
            <w:lock w:val="sdtLocked"/>
            <w:richText/>
          </w:sdtPr>
          <w:sdtContent>
            <w:p>
              <w:pPr>
                <w:ind w:firstLine="709"/>
                <w:jc w:val="both"/>
                <w:rPr>
                  <w:color w:val="000000"/>
                </w:rPr>
              </w:pPr>
              <w:r>
                <w:rPr>
                  <w:color w:val="000000"/>
                  <w:szCs w:val="22"/>
                </w:rPr>
                <w:t xml:space="preserve">Vykdydamas Lietuvos Respublikos Vyriausybės 2005 m. rugsėjo 5 d. nutarimo Nr. 970 „Dėl Lietuvos Respublikos Vyriausybės 2004 m. gegužės 26 d. nutarimo Nr. 634 „Dėl Bešeimininkio, konfiskuoto, valstybės paveldėto, į valstybės pajamas perduoto turto, daiktinių įrodymų ir radinių perdavimo, apskaitymo, saugojimo, realizavimo, grąžinimo ir pripažinimo atliekomis taisyklių patvirtinimo“ pakeitimo“ (Žin., 2005, Nr. </w:t>
              </w:r>
              <w:hyperlink r:id="rId11" w:tgtFrame="_blank" w:history="1">
                <w:r>
                  <w:rPr>
                    <w:color w:val="0000FF" w:themeColor="hyperlink"/>
                    <w:szCs w:val="22"/>
                    <w:u w:val="single"/>
                  </w:rPr>
                  <w:t>109-3978</w:t>
                </w:r>
              </w:hyperlink>
              <w:r>
                <w:rPr>
                  <w:color w:val="000000"/>
                  <w:szCs w:val="22"/>
                </w:rPr>
                <w:t>) 2 punktą:</w:t>
              </w:r>
            </w:p>
          </w:sdtContent>
        </w:sdt>
        <w:sdt>
          <w:sdtPr>
            <w:alias w:val="pastraipa"/>
            <w:tag w:val="part_b3b9ba5e204643f38e77080a2db70bd3"/>
            <w:lock w:val="sdtLocked"/>
            <w:richText/>
          </w:sdtPr>
          <w:sdtContent>
            <w:p>
              <w:pPr>
                <w:ind w:firstLine="709"/>
                <w:jc w:val="both"/>
                <w:rPr>
                  <w:color w:val="000000"/>
                  <w:spacing w:val="20"/>
                </w:rPr>
              </w:pPr>
              <w:r>
                <w:rPr>
                  <w:color w:val="000000"/>
                  <w:spacing w:val="60"/>
                  <w:szCs w:val="22"/>
                </w:rPr>
                <w:t>Tvirtin</w:t>
              </w:r>
              <w:r>
                <w:rPr>
                  <w:color w:val="000000"/>
                  <w:spacing w:val="20"/>
                  <w:szCs w:val="22"/>
                </w:rPr>
                <w:t>u:</w:t>
              </w:r>
            </w:p>
          </w:sdtContent>
        </w:sdt>
        <w:sdt>
          <w:sdtPr>
            <w:alias w:val="1 p."/>
            <w:tag w:val="part_0b05644d975e4f469412e8f2b40bea0c"/>
            <w:lock w:val="sdtLocked"/>
            <w:richText/>
          </w:sdtPr>
          <w:sdtContent>
            <w:p>
              <w:pPr>
                <w:ind w:firstLine="709"/>
                <w:jc w:val="both"/>
                <w:rPr>
                  <w:color w:val="000000"/>
                </w:rPr>
              </w:pPr>
              <w:sdt>
                <w:sdtPr>
                  <w:alias w:val="Numeris"/>
                  <w:tag w:val="nr_0b05644d975e4f469412e8f2b40bea0c"/>
                  <w:lock w:val="sdtLocked"/>
                  <w:richText/>
                </w:sdtPr>
                <w:sdtContent>
                  <w:r>
                    <w:rPr>
                      <w:color w:val="000000"/>
                      <w:szCs w:val="22"/>
                    </w:rPr>
                    <w:t>1</w:t>
                  </w:r>
                </w:sdtContent>
              </w:sdt>
              <w:r>
                <w:rPr>
                  <w:color w:val="000000"/>
                  <w:szCs w:val="22"/>
                </w:rPr>
                <w:t>. Statinių, kurie neturi savininkų (ar kurių savininkai nežinomi), sąrašo formą (pridedama).</w:t>
              </w:r>
            </w:p>
          </w:sdtContent>
        </w:sdt>
        <w:sdt>
          <w:sdtPr>
            <w:alias w:val="2 p."/>
            <w:tag w:val="part_bbcf683461b44d00841d9b0140d55901"/>
            <w:lock w:val="sdtLocked"/>
            <w:richText/>
          </w:sdtPr>
          <w:sdtContent>
            <w:p>
              <w:pPr>
                <w:ind w:firstLine="709"/>
                <w:jc w:val="both"/>
                <w:rPr>
                  <w:color w:val="000000"/>
                </w:rPr>
              </w:pPr>
              <w:sdt>
                <w:sdtPr>
                  <w:alias w:val="Numeris"/>
                  <w:tag w:val="nr_bbcf683461b44d00841d9b0140d55901"/>
                  <w:lock w:val="sdtLocked"/>
                  <w:richText/>
                </w:sdtPr>
                <w:sdtContent>
                  <w:r>
                    <w:rPr>
                      <w:color w:val="000000"/>
                      <w:szCs w:val="22"/>
                    </w:rPr>
                    <w:t>2</w:t>
                  </w:r>
                </w:sdtContent>
              </w:sdt>
              <w:r>
                <w:rPr>
                  <w:color w:val="000000"/>
                  <w:szCs w:val="22"/>
                </w:rPr>
                <w:t>. Statinių, kurie neturi savininkų (ar kurių savininkai nežinomi), apskaitos akto formą (pridedama).</w:t>
              </w:r>
            </w:p>
          </w:sdtContent>
        </w:sdt>
        <w:sdt>
          <w:sdtPr>
            <w:alias w:val="3 p."/>
            <w:tag w:val="part_0ed56c648caf453e845727d69d19516b"/>
            <w:lock w:val="sdtLocked"/>
            <w:richText/>
          </w:sdtPr>
          <w:sdtContent>
            <w:p>
              <w:pPr>
                <w:ind w:firstLine="709"/>
                <w:jc w:val="both"/>
                <w:rPr>
                  <w:color w:val="000000"/>
                </w:rPr>
              </w:pPr>
              <w:sdt>
                <w:sdtPr>
                  <w:alias w:val="Numeris"/>
                  <w:tag w:val="nr_0ed56c648caf453e845727d69d19516b"/>
                  <w:lock w:val="sdtLocked"/>
                  <w:richText/>
                </w:sdtPr>
                <w:sdtContent>
                  <w:r>
                    <w:rPr>
                      <w:color w:val="000000"/>
                      <w:szCs w:val="22"/>
                    </w:rPr>
                    <w:t>3</w:t>
                  </w:r>
                </w:sdtContent>
              </w:sdt>
              <w:r>
                <w:rPr>
                  <w:color w:val="000000"/>
                  <w:szCs w:val="22"/>
                </w:rPr>
                <w:t>. Statinių, kurie neturi savininkų (ar kurių savininkai nežinomi), apskaitos aktų registro (registravimo knygos) formą (pridedama).</w:t>
              </w:r>
            </w:p>
          </w:sdtContent>
        </w:sdt>
        <w:sdt>
          <w:sdtPr>
            <w:alias w:val="4 p."/>
            <w:tag w:val="part_be35feb5ae4849b0b743669c359889a8"/>
            <w:lock w:val="sdtLocked"/>
            <w:richText/>
          </w:sdtPr>
          <w:sdtContent>
            <w:p>
              <w:pPr>
                <w:ind w:firstLine="709"/>
                <w:jc w:val="both"/>
                <w:rPr>
                  <w:color w:val="000000"/>
                </w:rPr>
              </w:pPr>
              <w:sdt>
                <w:sdtPr>
                  <w:alias w:val="Numeris"/>
                  <w:tag w:val="nr_be35feb5ae4849b0b743669c359889a8"/>
                  <w:lock w:val="sdtLocked"/>
                  <w:richText/>
                </w:sdtPr>
                <w:sdtContent>
                  <w:r>
                    <w:rPr>
                      <w:color w:val="000000"/>
                      <w:szCs w:val="22"/>
                    </w:rPr>
                    <w:t>4</w:t>
                  </w:r>
                </w:sdtContent>
              </w:sdt>
              <w:r>
                <w:rPr>
                  <w:color w:val="000000"/>
                  <w:szCs w:val="22"/>
                </w:rPr>
                <w:t>. Skelbimo apie siūlymą pripažinti statinius, kurie neturi savininkų (ar kurių savininkai nežinomi), bešeimininkiais formą (pridedama).</w:t>
              </w:r>
            </w:p>
          </w:sdtContent>
        </w:sdt>
        <w:sdt>
          <w:sdtPr>
            <w:alias w:val="5 p."/>
            <w:tag w:val="part_82867f743f40441ead1336fc9e01deab"/>
            <w:lock w:val="sdtLocked"/>
            <w:richText/>
          </w:sdtPr>
          <w:sdtContent>
            <w:p>
              <w:pPr>
                <w:ind w:firstLine="709"/>
                <w:jc w:val="both"/>
                <w:rPr>
                  <w:color w:val="000000"/>
                </w:rPr>
              </w:pPr>
              <w:sdt>
                <w:sdtPr>
                  <w:alias w:val="Numeris"/>
                  <w:tag w:val="nr_82867f743f40441ead1336fc9e01deab"/>
                  <w:lock w:val="sdtLocked"/>
                  <w:richText/>
                </w:sdtPr>
                <w:sdtContent>
                  <w:r>
                    <w:rPr>
                      <w:color w:val="000000"/>
                      <w:szCs w:val="22"/>
                    </w:rPr>
                    <w:t>5</w:t>
                  </w:r>
                </w:sdtContent>
              </w:sdt>
              <w:r>
                <w:rPr>
                  <w:color w:val="000000"/>
                  <w:szCs w:val="22"/>
                </w:rPr>
                <w:t>. Statinių, kurie neturi savininkų (ar kurių savininkai nežinomi), sąrašų, apskaitos aktų, jų registravimo knygų ir skelbimų apie siūlymą pripažinti juos bešeimininkiais formų pildymo tvarkos aprašą (pridedama).</w:t>
              </w:r>
            </w:p>
          </w:sdtContent>
        </w:sdt>
        <w:sdt>
          <w:sdtPr>
            <w:alias w:val="signatura"/>
            <w:tag w:val="part_cac8e826f9444c2ba85e08318da80b8f"/>
            <w:lock w:val="sdtLocked"/>
            <w:richText/>
          </w:sdtPr>
          <w:sdtContent>
            <w:p>
              <w:pPr>
                <w:tabs>
                  <w:tab w:val="right" w:pos="9639"/>
                </w:tabs>
              </w:pPr>
            </w:p>
            <w:p>
              <w:pPr>
                <w:tabs>
                  <w:tab w:val="right" w:pos="9639"/>
                </w:tabs>
              </w:pPr>
            </w:p>
            <w:p>
              <w:pPr>
                <w:tabs>
                  <w:tab w:val="right" w:pos="9639"/>
                </w:tabs>
              </w:pPr>
            </w:p>
            <w:p>
              <w:pPr>
                <w:tabs>
                  <w:tab w:val="right" w:pos="9639"/>
                </w:tabs>
                <w:rPr>
                  <w:color w:val="000000"/>
                </w:rPr>
              </w:pPr>
              <w:r>
                <w:rPr>
                  <w:caps/>
                </w:rPr>
                <w:t>APLINKOS MINISTRAS</w:t>
                <w:tab/>
                <w:t>ARŪNAS KUNDROTAS</w:t>
              </w:r>
            </w:p>
          </w:sdtContent>
        </w:sdt>
      </w:sdtContent>
    </w:sdt>
    <w:sdt>
      <w:sdtPr>
        <w:alias w:val="frm."/>
        <w:tag w:val="part_852e2d2514ef436fbe0d80d5682c42cf"/>
        <w:lock w:val="sdtLocked"/>
        <w:richText/>
      </w:sdtPr>
      <w:sdtContent>
        <w:p>
          <w:pPr>
            <w:ind w:firstLine="5102"/>
            <w:sectPr>
              <w:headerReference w:type="even" r:id="rId12"/>
              <w:headerReference w:type="default" r:id="rId13"/>
              <w:footerReference w:type="even" r:id="rId14"/>
              <w:footerReference w:type="default" r:id="rId15"/>
              <w:headerReference w:type="first" r:id="rId16"/>
              <w:footerReference w:type="first" r:id="rId17"/>
              <w:pgSz w:w="11907" w:h="16839"/>
              <w:pgMar w:top="1134" w:right="567" w:bottom="1134" w:left="1701" w:header="567" w:footer="567" w:gutter="0"/>
              <w:cols w:space="1296"/>
              <w:titlePg/>
              <w:docGrid w:linePitch="360"/>
            </w:sectPr>
          </w:pPr>
        </w:p>
        <w:p>
          <w:pPr>
            <w:ind w:firstLine="5102"/>
          </w:pPr>
          <w:r>
            <w:t>Forma patvirtinta Lietuvos Respublikos</w:t>
          </w:r>
        </w:p>
        <w:p>
          <w:pPr>
            <w:ind w:firstLine="5102"/>
          </w:pPr>
          <w:r>
            <w:t>aplinkos ministro2005 m. rugsėjo 16 d.</w:t>
          </w:r>
        </w:p>
        <w:p>
          <w:pPr>
            <w:ind w:firstLine="5102"/>
          </w:pPr>
          <w:r>
            <w:t>įsakymu Nr. D1-449</w:t>
          </w:r>
        </w:p>
        <w:p>
          <w:pPr>
            <w:ind w:firstLine="709"/>
          </w:pPr>
        </w:p>
        <w:p>
          <w:pPr>
            <w:tabs>
              <w:tab w:val="right" w:pos="9072"/>
            </w:tabs>
            <w:jc w:val="center"/>
          </w:pPr>
          <w:r>
            <w:t xml:space="preserve">_______________________________________________ </w:t>
          </w:r>
        </w:p>
        <w:p>
          <w:pPr>
            <w:tabs>
              <w:tab w:val="right" w:pos="9072"/>
            </w:tabs>
            <w:jc w:val="center"/>
            <w:rPr>
              <w:i/>
              <w:sz w:val="20"/>
            </w:rPr>
          </w:pPr>
          <w:r>
            <w:rPr>
              <w:i/>
              <w:sz w:val="20"/>
            </w:rPr>
            <w:t>(institucijos, sudariusios sąrašą, pavadinimas)</w:t>
          </w:r>
        </w:p>
        <w:p>
          <w:pPr>
            <w:jc w:val="center"/>
            <w:rPr>
              <w:b/>
            </w:rPr>
          </w:pPr>
        </w:p>
        <w:p>
          <w:pPr>
            <w:jc w:val="center"/>
            <w:rPr>
              <w:b/>
            </w:rPr>
          </w:pPr>
          <w:r>
            <w:rPr>
              <w:b/>
            </w:rPr>
            <w:t xml:space="preserve">STATINIŲ, KURIE NETURI SAVININKŲ (AR KURIŲ SAVININKAI NEŽINOMI), </w:t>
          </w:r>
        </w:p>
        <w:p>
          <w:pPr>
            <w:jc w:val="center"/>
            <w:rPr>
              <w:b/>
            </w:rPr>
          </w:pPr>
          <w:r>
            <w:rPr>
              <w:b/>
            </w:rPr>
            <w:t>S Ą R A Š A S</w:t>
          </w:r>
        </w:p>
        <w:p>
          <w:pPr>
            <w:jc w:val="center"/>
            <w:rPr>
              <w:b/>
            </w:rPr>
          </w:pPr>
        </w:p>
        <w:p>
          <w:pPr>
            <w:tabs>
              <w:tab w:val="right" w:pos="9072"/>
            </w:tabs>
            <w:jc w:val="center"/>
          </w:pPr>
          <w:r>
            <w:t xml:space="preserve">_____________ Nr. _______ </w:t>
          </w:r>
        </w:p>
        <w:p>
          <w:pPr>
            <w:tabs>
              <w:tab w:val="center" w:pos="4200"/>
              <w:tab w:val="right" w:pos="9072"/>
            </w:tabs>
            <w:ind w:firstLine="709"/>
            <w:jc w:val="both"/>
            <w:rPr>
              <w:i/>
              <w:sz w:val="20"/>
            </w:rPr>
          </w:pPr>
          <w:r>
            <w:rPr>
              <w:i/>
            </w:rPr>
            <w:tab/>
          </w:r>
          <w:r>
            <w:rPr>
              <w:i/>
              <w:sz w:val="20"/>
            </w:rPr>
            <w:t xml:space="preserve">(data) </w:t>
          </w:r>
        </w:p>
        <w:p>
          <w:pPr>
            <w:tabs>
              <w:tab w:val="right" w:pos="9072"/>
            </w:tabs>
            <w:jc w:val="center"/>
          </w:pPr>
          <w:r>
            <w:t xml:space="preserve">______________________ </w:t>
          </w:r>
        </w:p>
        <w:p>
          <w:pPr>
            <w:tabs>
              <w:tab w:val="right" w:pos="9072"/>
            </w:tabs>
            <w:jc w:val="center"/>
            <w:rPr>
              <w:i/>
              <w:sz w:val="20"/>
            </w:rPr>
          </w:pPr>
          <w:r>
            <w:rPr>
              <w:i/>
              <w:sz w:val="20"/>
            </w:rPr>
            <w:t>(sudarymo vieta)</w:t>
          </w:r>
        </w:p>
        <w:p>
          <w:pPr>
            <w:ind w:firstLine="709"/>
            <w:jc w:val="both"/>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464"/>
            <w:gridCol w:w="1277"/>
            <w:gridCol w:w="915"/>
            <w:gridCol w:w="1096"/>
            <w:gridCol w:w="728"/>
            <w:gridCol w:w="1400"/>
            <w:gridCol w:w="980"/>
            <w:gridCol w:w="824"/>
            <w:gridCol w:w="735"/>
            <w:gridCol w:w="1218"/>
          </w:tblGrid>
          <w:tr>
            <w:trPr>
              <w:cantSplit/>
              <w:trHeight w:hRule="exact" w:val="306"/>
            </w:trPr>
            <w:tc>
              <w:tcPr>
                <w:tcW w:w="436" w:type="dxa"/>
                <w:vMerge w:val="restart"/>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Arial"/>
                    <w:sz w:val="20"/>
                  </w:rPr>
                </w:pPr>
                <w:r>
                  <w:rPr>
                    <w:rFonts w:eastAsia="Arial"/>
                    <w:sz w:val="20"/>
                  </w:rPr>
                  <w:t>Eil.</w:t>
                </w:r>
              </w:p>
              <w:p>
                <w:pPr>
                  <w:widowControl w:val="0"/>
                  <w:suppressAutoHyphens/>
                  <w:jc w:val="center"/>
                  <w:rPr>
                    <w:rFonts w:eastAsia="Arial"/>
                    <w:sz w:val="20"/>
                  </w:rPr>
                </w:pPr>
                <w:r>
                  <w:rPr>
                    <w:rFonts w:eastAsia="Arial"/>
                    <w:sz w:val="20"/>
                  </w:rPr>
                  <w:t>Nr.</w:t>
                </w:r>
              </w:p>
            </w:tc>
            <w:tc>
              <w:tcPr>
                <w:tcW w:w="1202" w:type="dxa"/>
                <w:vMerge w:val="restart"/>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Arial"/>
                    <w:sz w:val="20"/>
                  </w:rPr>
                </w:pPr>
                <w:r>
                  <w:rPr>
                    <w:rFonts w:eastAsia="Arial"/>
                    <w:sz w:val="20"/>
                  </w:rPr>
                  <w:t>Statinio pavadinimas, paskirtis</w:t>
                </w:r>
              </w:p>
            </w:tc>
            <w:tc>
              <w:tcPr>
                <w:tcW w:w="861" w:type="dxa"/>
                <w:vMerge w:val="restart"/>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Arial"/>
                    <w:sz w:val="20"/>
                  </w:rPr>
                </w:pPr>
                <w:r>
                  <w:rPr>
                    <w:rFonts w:eastAsia="Arial"/>
                    <w:sz w:val="20"/>
                  </w:rPr>
                  <w:t>Statinio adresas</w:t>
                </w:r>
              </w:p>
            </w:tc>
            <w:tc>
              <w:tcPr>
                <w:tcW w:w="1032" w:type="dxa"/>
                <w:vMerge w:val="restart"/>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Arial"/>
                    <w:sz w:val="20"/>
                  </w:rPr>
                </w:pPr>
                <w:r>
                  <w:rPr>
                    <w:rFonts w:eastAsia="Arial"/>
                    <w:sz w:val="20"/>
                  </w:rPr>
                  <w:t>Buvęs naudotojas (jei žinomas)</w:t>
                </w:r>
              </w:p>
            </w:tc>
            <w:tc>
              <w:tcPr>
                <w:tcW w:w="2003"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Arial"/>
                    <w:sz w:val="20"/>
                  </w:rPr>
                </w:pPr>
                <w:r>
                  <w:rPr>
                    <w:rFonts w:eastAsia="Arial"/>
                    <w:sz w:val="20"/>
                  </w:rPr>
                  <w:t>Statinio</w:t>
                </w:r>
              </w:p>
            </w:tc>
            <w:tc>
              <w:tcPr>
                <w:tcW w:w="923" w:type="dxa"/>
                <w:vMerge w:val="restart"/>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Arial"/>
                    <w:sz w:val="20"/>
                  </w:rPr>
                </w:pPr>
                <w:r>
                  <w:rPr>
                    <w:rFonts w:eastAsia="Arial"/>
                    <w:sz w:val="20"/>
                  </w:rPr>
                  <w:t>Pagrindinių</w:t>
                </w:r>
              </w:p>
              <w:p>
                <w:pPr>
                  <w:widowControl w:val="0"/>
                  <w:suppressAutoHyphens/>
                  <w:jc w:val="center"/>
                  <w:rPr>
                    <w:rFonts w:eastAsia="Arial"/>
                    <w:sz w:val="20"/>
                  </w:rPr>
                </w:pPr>
                <w:r>
                  <w:rPr>
                    <w:rFonts w:eastAsia="Arial"/>
                    <w:sz w:val="20"/>
                  </w:rPr>
                  <w:t>konstrukcijų</w:t>
                </w:r>
              </w:p>
              <w:p>
                <w:pPr>
                  <w:widowControl w:val="0"/>
                  <w:suppressAutoHyphens/>
                  <w:jc w:val="center"/>
                  <w:rPr>
                    <w:rFonts w:eastAsia="Arial"/>
                    <w:sz w:val="20"/>
                  </w:rPr>
                </w:pPr>
                <w:r>
                  <w:rPr>
                    <w:rFonts w:eastAsia="Arial"/>
                    <w:sz w:val="20"/>
                  </w:rPr>
                  <w:t>medžiaga</w:t>
                </w:r>
              </w:p>
            </w:tc>
            <w:tc>
              <w:tcPr>
                <w:tcW w:w="776" w:type="dxa"/>
                <w:vMerge w:val="restart"/>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Arial"/>
                    <w:sz w:val="20"/>
                  </w:rPr>
                </w:pPr>
                <w:r>
                  <w:rPr>
                    <w:rFonts w:eastAsia="Arial"/>
                    <w:sz w:val="20"/>
                  </w:rPr>
                  <w:t>Statinys</w:t>
                </w:r>
              </w:p>
              <w:p>
                <w:pPr>
                  <w:widowControl w:val="0"/>
                  <w:suppressAutoHyphens/>
                  <w:jc w:val="center"/>
                  <w:rPr>
                    <w:rFonts w:eastAsia="Arial"/>
                    <w:sz w:val="20"/>
                  </w:rPr>
                </w:pPr>
                <w:r>
                  <w:rPr>
                    <w:rFonts w:eastAsia="Arial"/>
                    <w:sz w:val="20"/>
                  </w:rPr>
                  <w:t>ypatingas</w:t>
                </w:r>
              </w:p>
              <w:p>
                <w:pPr>
                  <w:widowControl w:val="0"/>
                  <w:suppressAutoHyphens/>
                  <w:jc w:val="center"/>
                  <w:rPr>
                    <w:rFonts w:eastAsia="Arial"/>
                    <w:sz w:val="20"/>
                  </w:rPr>
                </w:pPr>
                <w:r>
                  <w:rPr>
                    <w:rFonts w:eastAsia="Arial"/>
                    <w:sz w:val="20"/>
                  </w:rPr>
                  <w:t>ar ne</w:t>
                </w:r>
              </w:p>
            </w:tc>
            <w:tc>
              <w:tcPr>
                <w:tcW w:w="692" w:type="dxa"/>
                <w:vMerge w:val="restart"/>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Arial"/>
                    <w:sz w:val="20"/>
                  </w:rPr>
                </w:pPr>
                <w:r>
                  <w:rPr>
                    <w:rFonts w:eastAsia="Arial"/>
                    <w:sz w:val="20"/>
                  </w:rPr>
                  <w:t>Statinys</w:t>
                </w:r>
              </w:p>
              <w:p>
                <w:pPr>
                  <w:widowControl w:val="0"/>
                  <w:suppressAutoHyphens/>
                  <w:jc w:val="center"/>
                  <w:rPr>
                    <w:rFonts w:eastAsia="Arial"/>
                    <w:sz w:val="20"/>
                  </w:rPr>
                </w:pPr>
                <w:r>
                  <w:rPr>
                    <w:rFonts w:eastAsia="Arial"/>
                    <w:sz w:val="20"/>
                  </w:rPr>
                  <w:t>naudojamas ar ne</w:t>
                </w:r>
              </w:p>
            </w:tc>
            <w:tc>
              <w:tcPr>
                <w:tcW w:w="1147" w:type="dxa"/>
                <w:vMerge w:val="restart"/>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Arial"/>
                    <w:sz w:val="20"/>
                  </w:rPr>
                </w:pPr>
                <w:r>
                  <w:rPr>
                    <w:rFonts w:eastAsia="Arial"/>
                    <w:sz w:val="20"/>
                  </w:rPr>
                  <w:t>Techninė būklė (tinka naudoti, apgriautas, griuvėsiai</w:t>
                </w:r>
              </w:p>
            </w:tc>
          </w:tr>
          <w:tr>
            <w:trPr>
              <w:cantSplit/>
              <w:trHeight w:hRule="exact" w:val="818"/>
            </w:trPr>
            <w:tc>
              <w:tcPr>
                <w:tcW w:w="436" w:type="dxa"/>
                <w:vMerge/>
                <w:tcBorders>
                  <w:top w:val="single" w:sz="4" w:space="0" w:color="auto"/>
                  <w:left w:val="single" w:sz="4" w:space="0" w:color="auto"/>
                  <w:bottom w:val="single" w:sz="4" w:space="0" w:color="auto"/>
                  <w:right w:val="single" w:sz="4" w:space="0" w:color="auto"/>
                </w:tcBorders>
                <w:vAlign w:val="center"/>
              </w:tcPr>
              <w:p>
                <w:pPr>
                  <w:rPr>
                    <w:rFonts w:eastAsia="Arial"/>
                    <w:sz w:val="20"/>
                  </w:rPr>
                </w:pPr>
              </w:p>
            </w:tc>
            <w:tc>
              <w:tcPr>
                <w:tcW w:w="1202" w:type="dxa"/>
                <w:vMerge/>
                <w:tcBorders>
                  <w:top w:val="single" w:sz="4" w:space="0" w:color="auto"/>
                  <w:left w:val="single" w:sz="4" w:space="0" w:color="auto"/>
                  <w:bottom w:val="single" w:sz="4" w:space="0" w:color="auto"/>
                  <w:right w:val="single" w:sz="4" w:space="0" w:color="auto"/>
                </w:tcBorders>
                <w:vAlign w:val="center"/>
              </w:tcPr>
              <w:p>
                <w:pPr>
                  <w:rPr>
                    <w:rFonts w:eastAsia="Arial"/>
                    <w:sz w:val="20"/>
                  </w:rPr>
                </w:pPr>
              </w:p>
            </w:tc>
            <w:tc>
              <w:tcPr>
                <w:tcW w:w="861" w:type="dxa"/>
                <w:vMerge/>
                <w:tcBorders>
                  <w:top w:val="single" w:sz="4" w:space="0" w:color="auto"/>
                  <w:left w:val="single" w:sz="4" w:space="0" w:color="auto"/>
                  <w:bottom w:val="single" w:sz="4" w:space="0" w:color="auto"/>
                  <w:right w:val="single" w:sz="4" w:space="0" w:color="auto"/>
                </w:tcBorders>
                <w:vAlign w:val="center"/>
              </w:tcPr>
              <w:p>
                <w:pPr>
                  <w:rPr>
                    <w:rFonts w:eastAsia="Arial"/>
                    <w:sz w:val="20"/>
                  </w:rPr>
                </w:pPr>
              </w:p>
            </w:tc>
            <w:tc>
              <w:tcPr>
                <w:tcW w:w="1032" w:type="dxa"/>
                <w:vMerge/>
                <w:tcBorders>
                  <w:top w:val="single" w:sz="4" w:space="0" w:color="auto"/>
                  <w:left w:val="single" w:sz="4" w:space="0" w:color="auto"/>
                  <w:bottom w:val="single" w:sz="4" w:space="0" w:color="auto"/>
                  <w:right w:val="single" w:sz="4" w:space="0" w:color="auto"/>
                </w:tcBorders>
                <w:vAlign w:val="center"/>
              </w:tcPr>
              <w:p>
                <w:pPr>
                  <w:rPr>
                    <w:rFonts w:eastAsia="Arial"/>
                    <w:sz w:val="20"/>
                  </w:rPr>
                </w:pPr>
              </w:p>
            </w:tc>
            <w:tc>
              <w:tcPr>
                <w:tcW w:w="685" w:type="dxa"/>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Arial"/>
                    <w:sz w:val="20"/>
                  </w:rPr>
                </w:pPr>
                <w:r>
                  <w:rPr>
                    <w:rFonts w:eastAsia="Arial"/>
                    <w:sz w:val="20"/>
                  </w:rPr>
                  <w:t>aukštų skaičius</w:t>
                </w:r>
              </w:p>
            </w:tc>
            <w:tc>
              <w:tcPr>
                <w:tcW w:w="1318" w:type="dxa"/>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Arial"/>
                    <w:sz w:val="20"/>
                    <w:vertAlign w:val="superscript"/>
                  </w:rPr>
                </w:pPr>
                <w:r>
                  <w:rPr>
                    <w:rFonts w:eastAsia="Arial"/>
                    <w:sz w:val="20"/>
                  </w:rPr>
                  <w:t>bendras plotas m</w:t>
                </w:r>
                <w:r>
                  <w:rPr>
                    <w:rFonts w:eastAsia="Arial"/>
                    <w:sz w:val="20"/>
                    <w:vertAlign w:val="superscript"/>
                  </w:rPr>
                  <w:t xml:space="preserve">2 </w:t>
                </w:r>
                <w:r>
                  <w:rPr>
                    <w:rFonts w:eastAsia="Arial"/>
                    <w:sz w:val="20"/>
                  </w:rPr>
                  <w:t>arba statinio tūris m</w:t>
                </w:r>
                <w:r>
                  <w:rPr>
                    <w:rFonts w:eastAsia="Arial"/>
                    <w:sz w:val="20"/>
                    <w:vertAlign w:val="superscript"/>
                  </w:rPr>
                  <w:t>3</w:t>
                </w:r>
              </w:p>
              <w:p>
                <w:pPr>
                  <w:widowControl w:val="0"/>
                  <w:suppressAutoHyphens/>
                  <w:jc w:val="center"/>
                  <w:rPr>
                    <w:rFonts w:eastAsia="Arial"/>
                    <w:sz w:val="20"/>
                    <w:vertAlign w:val="superscript"/>
                  </w:rPr>
                </w:pPr>
              </w:p>
            </w:tc>
            <w:tc>
              <w:tcPr>
                <w:tcW w:w="923" w:type="dxa"/>
                <w:vMerge/>
                <w:tcBorders>
                  <w:top w:val="single" w:sz="4" w:space="0" w:color="auto"/>
                  <w:left w:val="single" w:sz="4" w:space="0" w:color="auto"/>
                  <w:bottom w:val="single" w:sz="4" w:space="0" w:color="auto"/>
                  <w:right w:val="single" w:sz="4" w:space="0" w:color="auto"/>
                </w:tcBorders>
                <w:vAlign w:val="center"/>
              </w:tcPr>
              <w:p>
                <w:pPr>
                  <w:rPr>
                    <w:rFonts w:eastAsia="Arial"/>
                    <w:sz w:val="20"/>
                  </w:rPr>
                </w:pPr>
              </w:p>
            </w:tc>
            <w:tc>
              <w:tcPr>
                <w:tcW w:w="776" w:type="dxa"/>
                <w:vMerge/>
                <w:tcBorders>
                  <w:top w:val="single" w:sz="4" w:space="0" w:color="auto"/>
                  <w:left w:val="single" w:sz="4" w:space="0" w:color="auto"/>
                  <w:bottom w:val="single" w:sz="4" w:space="0" w:color="auto"/>
                  <w:right w:val="single" w:sz="4" w:space="0" w:color="auto"/>
                </w:tcBorders>
                <w:vAlign w:val="center"/>
              </w:tcPr>
              <w:p>
                <w:pPr>
                  <w:rPr>
                    <w:rFonts w:eastAsia="Arial"/>
                    <w:sz w:val="20"/>
                  </w:rPr>
                </w:pPr>
              </w:p>
            </w:tc>
            <w:tc>
              <w:tcPr>
                <w:tcW w:w="692" w:type="dxa"/>
                <w:vMerge/>
                <w:tcBorders>
                  <w:top w:val="single" w:sz="4" w:space="0" w:color="auto"/>
                  <w:left w:val="single" w:sz="4" w:space="0" w:color="auto"/>
                  <w:bottom w:val="single" w:sz="4" w:space="0" w:color="auto"/>
                  <w:right w:val="single" w:sz="4" w:space="0" w:color="auto"/>
                </w:tcBorders>
                <w:vAlign w:val="center"/>
              </w:tcPr>
              <w:p>
                <w:pPr>
                  <w:rPr>
                    <w:rFonts w:eastAsia="Arial"/>
                    <w:sz w:val="20"/>
                  </w:rPr>
                </w:pPr>
              </w:p>
            </w:tc>
            <w:tc>
              <w:tcPr>
                <w:tcW w:w="1147" w:type="dxa"/>
                <w:vMerge/>
                <w:tcBorders>
                  <w:top w:val="single" w:sz="4" w:space="0" w:color="auto"/>
                  <w:left w:val="single" w:sz="4" w:space="0" w:color="auto"/>
                  <w:bottom w:val="single" w:sz="4" w:space="0" w:color="auto"/>
                  <w:right w:val="single" w:sz="4" w:space="0" w:color="auto"/>
                </w:tcBorders>
                <w:vAlign w:val="center"/>
              </w:tcPr>
              <w:p>
                <w:pPr>
                  <w:rPr>
                    <w:rFonts w:eastAsia="Arial"/>
                    <w:sz w:val="20"/>
                  </w:rPr>
                </w:pPr>
              </w:p>
            </w:tc>
          </w:tr>
          <w:tr>
            <w:trPr>
              <w:cantSplit/>
            </w:trPr>
            <w:tc>
              <w:tcPr>
                <w:tcW w:w="436" w:type="dxa"/>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Arial"/>
                    <w:sz w:val="20"/>
                  </w:rPr>
                </w:pPr>
                <w:r>
                  <w:rPr>
                    <w:rFonts w:eastAsia="Arial"/>
                    <w:sz w:val="20"/>
                  </w:rPr>
                  <w:t>1</w:t>
                </w:r>
              </w:p>
            </w:tc>
            <w:tc>
              <w:tcPr>
                <w:tcW w:w="1202" w:type="dxa"/>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Arial"/>
                    <w:sz w:val="20"/>
                  </w:rPr>
                </w:pPr>
                <w:r>
                  <w:rPr>
                    <w:rFonts w:eastAsia="Arial"/>
                    <w:sz w:val="20"/>
                  </w:rPr>
                  <w:t>2</w:t>
                </w:r>
              </w:p>
            </w:tc>
            <w:tc>
              <w:tcPr>
                <w:tcW w:w="861" w:type="dxa"/>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Arial"/>
                    <w:sz w:val="20"/>
                  </w:rPr>
                </w:pPr>
                <w:r>
                  <w:rPr>
                    <w:rFonts w:eastAsia="Arial"/>
                    <w:sz w:val="20"/>
                  </w:rPr>
                  <w:t>3</w:t>
                </w:r>
              </w:p>
            </w:tc>
            <w:tc>
              <w:tcPr>
                <w:tcW w:w="1032" w:type="dxa"/>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Arial"/>
                    <w:sz w:val="20"/>
                  </w:rPr>
                </w:pPr>
                <w:r>
                  <w:rPr>
                    <w:rFonts w:eastAsia="Arial"/>
                    <w:sz w:val="20"/>
                  </w:rPr>
                  <w:t>4</w:t>
                </w:r>
              </w:p>
            </w:tc>
            <w:tc>
              <w:tcPr>
                <w:tcW w:w="685" w:type="dxa"/>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Arial"/>
                    <w:sz w:val="20"/>
                  </w:rPr>
                </w:pPr>
                <w:r>
                  <w:rPr>
                    <w:rFonts w:eastAsia="Arial"/>
                    <w:sz w:val="20"/>
                  </w:rPr>
                  <w:t>5</w:t>
                </w:r>
              </w:p>
            </w:tc>
            <w:tc>
              <w:tcPr>
                <w:tcW w:w="1318" w:type="dxa"/>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Arial"/>
                    <w:sz w:val="20"/>
                  </w:rPr>
                </w:pPr>
                <w:r>
                  <w:rPr>
                    <w:rFonts w:eastAsia="Arial"/>
                    <w:sz w:val="20"/>
                  </w:rPr>
                  <w:t>6</w:t>
                </w:r>
              </w:p>
            </w:tc>
            <w:tc>
              <w:tcPr>
                <w:tcW w:w="923" w:type="dxa"/>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Arial"/>
                    <w:sz w:val="20"/>
                  </w:rPr>
                </w:pPr>
                <w:r>
                  <w:rPr>
                    <w:rFonts w:eastAsia="Arial"/>
                    <w:sz w:val="20"/>
                  </w:rPr>
                  <w:t>7</w:t>
                </w:r>
              </w:p>
            </w:tc>
            <w:tc>
              <w:tcPr>
                <w:tcW w:w="776" w:type="dxa"/>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Arial"/>
                    <w:sz w:val="20"/>
                  </w:rPr>
                </w:pPr>
                <w:r>
                  <w:rPr>
                    <w:rFonts w:eastAsia="Arial"/>
                    <w:sz w:val="20"/>
                  </w:rPr>
                  <w:t>8</w:t>
                </w:r>
              </w:p>
            </w:tc>
            <w:tc>
              <w:tcPr>
                <w:tcW w:w="692" w:type="dxa"/>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Arial"/>
                    <w:sz w:val="20"/>
                  </w:rPr>
                </w:pPr>
                <w:r>
                  <w:rPr>
                    <w:rFonts w:eastAsia="Arial"/>
                    <w:sz w:val="20"/>
                  </w:rPr>
                  <w:t>9</w:t>
                </w:r>
              </w:p>
            </w:tc>
            <w:tc>
              <w:tcPr>
                <w:tcW w:w="1147" w:type="dxa"/>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Arial"/>
                    <w:sz w:val="20"/>
                  </w:rPr>
                </w:pPr>
                <w:r>
                  <w:rPr>
                    <w:rFonts w:eastAsia="Arial"/>
                    <w:sz w:val="20"/>
                  </w:rPr>
                  <w:t>10</w:t>
                </w:r>
              </w:p>
            </w:tc>
          </w:tr>
          <w:tr>
            <w:trPr>
              <w:cantSplit/>
            </w:trPr>
            <w:tc>
              <w:tcPr>
                <w:tcW w:w="436" w:type="dxa"/>
                <w:tcBorders>
                  <w:top w:val="single" w:sz="4" w:space="0" w:color="auto"/>
                  <w:left w:val="single" w:sz="4" w:space="0" w:color="auto"/>
                  <w:bottom w:val="single" w:sz="4" w:space="0" w:color="auto"/>
                  <w:right w:val="single" w:sz="4" w:space="0" w:color="auto"/>
                </w:tcBorders>
              </w:tcPr>
              <w:p>
                <w:pPr>
                  <w:widowControl w:val="0"/>
                  <w:suppressAutoHyphens/>
                  <w:rPr>
                    <w:rFonts w:eastAsia="Arial"/>
                    <w:sz w:val="20"/>
                  </w:rPr>
                </w:pPr>
              </w:p>
            </w:tc>
            <w:tc>
              <w:tcPr>
                <w:tcW w:w="1202" w:type="dxa"/>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Arial"/>
                    <w:sz w:val="20"/>
                  </w:rPr>
                </w:pPr>
              </w:p>
            </w:tc>
            <w:tc>
              <w:tcPr>
                <w:tcW w:w="861" w:type="dxa"/>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Arial"/>
                    <w:sz w:val="20"/>
                  </w:rPr>
                </w:pPr>
              </w:p>
            </w:tc>
            <w:tc>
              <w:tcPr>
                <w:tcW w:w="1032" w:type="dxa"/>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Arial"/>
                    <w:sz w:val="20"/>
                  </w:rPr>
                </w:pPr>
              </w:p>
            </w:tc>
            <w:tc>
              <w:tcPr>
                <w:tcW w:w="685" w:type="dxa"/>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Arial"/>
                    <w:sz w:val="20"/>
                  </w:rPr>
                </w:pPr>
              </w:p>
            </w:tc>
            <w:tc>
              <w:tcPr>
                <w:tcW w:w="1318" w:type="dxa"/>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Arial"/>
                    <w:sz w:val="20"/>
                  </w:rPr>
                </w:pPr>
              </w:p>
            </w:tc>
            <w:tc>
              <w:tcPr>
                <w:tcW w:w="923" w:type="dxa"/>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Arial"/>
                    <w:sz w:val="20"/>
                  </w:rPr>
                </w:pPr>
              </w:p>
            </w:tc>
            <w:tc>
              <w:tcPr>
                <w:tcW w:w="776" w:type="dxa"/>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Arial"/>
                    <w:sz w:val="20"/>
                  </w:rPr>
                </w:pPr>
              </w:p>
            </w:tc>
            <w:tc>
              <w:tcPr>
                <w:tcW w:w="692" w:type="dxa"/>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Arial"/>
                    <w:sz w:val="20"/>
                  </w:rPr>
                </w:pPr>
              </w:p>
            </w:tc>
            <w:tc>
              <w:tcPr>
                <w:tcW w:w="1147" w:type="dxa"/>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Arial"/>
                    <w:sz w:val="20"/>
                  </w:rPr>
                </w:pPr>
              </w:p>
            </w:tc>
          </w:tr>
          <w:tr>
            <w:trPr>
              <w:cantSplit/>
            </w:trPr>
            <w:tc>
              <w:tcPr>
                <w:tcW w:w="436" w:type="dxa"/>
                <w:tcBorders>
                  <w:top w:val="single" w:sz="4" w:space="0" w:color="auto"/>
                  <w:left w:val="single" w:sz="4" w:space="0" w:color="auto"/>
                  <w:bottom w:val="single" w:sz="4" w:space="0" w:color="auto"/>
                  <w:right w:val="single" w:sz="4" w:space="0" w:color="auto"/>
                </w:tcBorders>
              </w:tcPr>
              <w:p>
                <w:pPr>
                  <w:widowControl w:val="0"/>
                  <w:suppressAutoHyphens/>
                  <w:rPr>
                    <w:rFonts w:eastAsia="Arial"/>
                    <w:sz w:val="20"/>
                  </w:rPr>
                </w:pPr>
              </w:p>
            </w:tc>
            <w:tc>
              <w:tcPr>
                <w:tcW w:w="1202" w:type="dxa"/>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Arial"/>
                    <w:sz w:val="20"/>
                  </w:rPr>
                </w:pPr>
              </w:p>
            </w:tc>
            <w:tc>
              <w:tcPr>
                <w:tcW w:w="861" w:type="dxa"/>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Arial"/>
                    <w:sz w:val="20"/>
                  </w:rPr>
                </w:pPr>
              </w:p>
            </w:tc>
            <w:tc>
              <w:tcPr>
                <w:tcW w:w="1032" w:type="dxa"/>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Arial"/>
                    <w:sz w:val="20"/>
                  </w:rPr>
                </w:pPr>
              </w:p>
            </w:tc>
            <w:tc>
              <w:tcPr>
                <w:tcW w:w="685" w:type="dxa"/>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Arial"/>
                    <w:sz w:val="20"/>
                  </w:rPr>
                </w:pPr>
              </w:p>
            </w:tc>
            <w:tc>
              <w:tcPr>
                <w:tcW w:w="1318" w:type="dxa"/>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Arial"/>
                    <w:sz w:val="20"/>
                  </w:rPr>
                </w:pPr>
              </w:p>
            </w:tc>
            <w:tc>
              <w:tcPr>
                <w:tcW w:w="923" w:type="dxa"/>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Arial"/>
                    <w:sz w:val="20"/>
                  </w:rPr>
                </w:pPr>
              </w:p>
            </w:tc>
            <w:tc>
              <w:tcPr>
                <w:tcW w:w="776" w:type="dxa"/>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Arial"/>
                    <w:sz w:val="20"/>
                  </w:rPr>
                </w:pPr>
              </w:p>
            </w:tc>
            <w:tc>
              <w:tcPr>
                <w:tcW w:w="692" w:type="dxa"/>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Arial"/>
                    <w:sz w:val="20"/>
                  </w:rPr>
                </w:pPr>
              </w:p>
            </w:tc>
            <w:tc>
              <w:tcPr>
                <w:tcW w:w="1147" w:type="dxa"/>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Arial"/>
                    <w:sz w:val="20"/>
                  </w:rPr>
                </w:pPr>
              </w:p>
            </w:tc>
          </w:tr>
          <w:tr>
            <w:trPr>
              <w:cantSplit/>
            </w:trPr>
            <w:tc>
              <w:tcPr>
                <w:tcW w:w="436" w:type="dxa"/>
                <w:tcBorders>
                  <w:top w:val="single" w:sz="4" w:space="0" w:color="auto"/>
                  <w:left w:val="single" w:sz="4" w:space="0" w:color="auto"/>
                  <w:bottom w:val="single" w:sz="4" w:space="0" w:color="auto"/>
                  <w:right w:val="single" w:sz="4" w:space="0" w:color="auto"/>
                </w:tcBorders>
              </w:tcPr>
              <w:p>
                <w:pPr>
                  <w:widowControl w:val="0"/>
                  <w:suppressAutoHyphens/>
                  <w:rPr>
                    <w:rFonts w:eastAsia="Arial"/>
                    <w:sz w:val="20"/>
                  </w:rPr>
                </w:pPr>
              </w:p>
            </w:tc>
            <w:tc>
              <w:tcPr>
                <w:tcW w:w="1202" w:type="dxa"/>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Arial"/>
                    <w:sz w:val="20"/>
                  </w:rPr>
                </w:pPr>
              </w:p>
            </w:tc>
            <w:tc>
              <w:tcPr>
                <w:tcW w:w="861" w:type="dxa"/>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Arial"/>
                    <w:sz w:val="20"/>
                  </w:rPr>
                </w:pPr>
              </w:p>
            </w:tc>
            <w:tc>
              <w:tcPr>
                <w:tcW w:w="1032" w:type="dxa"/>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Arial"/>
                    <w:sz w:val="20"/>
                  </w:rPr>
                </w:pPr>
              </w:p>
            </w:tc>
            <w:tc>
              <w:tcPr>
                <w:tcW w:w="685" w:type="dxa"/>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Arial"/>
                    <w:sz w:val="20"/>
                  </w:rPr>
                </w:pPr>
              </w:p>
            </w:tc>
            <w:tc>
              <w:tcPr>
                <w:tcW w:w="1318" w:type="dxa"/>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Arial"/>
                    <w:sz w:val="20"/>
                  </w:rPr>
                </w:pPr>
              </w:p>
            </w:tc>
            <w:tc>
              <w:tcPr>
                <w:tcW w:w="923" w:type="dxa"/>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Arial"/>
                    <w:sz w:val="20"/>
                  </w:rPr>
                </w:pPr>
              </w:p>
            </w:tc>
            <w:tc>
              <w:tcPr>
                <w:tcW w:w="776" w:type="dxa"/>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Arial"/>
                    <w:sz w:val="20"/>
                  </w:rPr>
                </w:pPr>
              </w:p>
            </w:tc>
            <w:tc>
              <w:tcPr>
                <w:tcW w:w="692" w:type="dxa"/>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Arial"/>
                    <w:sz w:val="20"/>
                  </w:rPr>
                </w:pPr>
              </w:p>
            </w:tc>
            <w:tc>
              <w:tcPr>
                <w:tcW w:w="1147" w:type="dxa"/>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Arial"/>
                    <w:sz w:val="20"/>
                  </w:rPr>
                </w:pPr>
              </w:p>
            </w:tc>
          </w:tr>
          <w:tr>
            <w:trPr>
              <w:cantSplit/>
            </w:trPr>
            <w:tc>
              <w:tcPr>
                <w:tcW w:w="436" w:type="dxa"/>
                <w:tcBorders>
                  <w:top w:val="single" w:sz="4" w:space="0" w:color="auto"/>
                  <w:left w:val="single" w:sz="4" w:space="0" w:color="auto"/>
                  <w:bottom w:val="single" w:sz="4" w:space="0" w:color="auto"/>
                  <w:right w:val="single" w:sz="4" w:space="0" w:color="auto"/>
                </w:tcBorders>
              </w:tcPr>
              <w:p>
                <w:pPr>
                  <w:widowControl w:val="0"/>
                  <w:suppressAutoHyphens/>
                  <w:rPr>
                    <w:rFonts w:eastAsia="Arial"/>
                    <w:sz w:val="20"/>
                  </w:rPr>
                </w:pPr>
              </w:p>
            </w:tc>
            <w:tc>
              <w:tcPr>
                <w:tcW w:w="1202" w:type="dxa"/>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Arial"/>
                    <w:sz w:val="20"/>
                  </w:rPr>
                </w:pPr>
              </w:p>
            </w:tc>
            <w:tc>
              <w:tcPr>
                <w:tcW w:w="861" w:type="dxa"/>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Arial"/>
                    <w:sz w:val="20"/>
                  </w:rPr>
                </w:pPr>
              </w:p>
            </w:tc>
            <w:tc>
              <w:tcPr>
                <w:tcW w:w="1032" w:type="dxa"/>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Arial"/>
                    <w:sz w:val="20"/>
                  </w:rPr>
                </w:pPr>
              </w:p>
            </w:tc>
            <w:tc>
              <w:tcPr>
                <w:tcW w:w="685" w:type="dxa"/>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Arial"/>
                    <w:sz w:val="20"/>
                  </w:rPr>
                </w:pPr>
              </w:p>
            </w:tc>
            <w:tc>
              <w:tcPr>
                <w:tcW w:w="1318" w:type="dxa"/>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Arial"/>
                    <w:sz w:val="20"/>
                  </w:rPr>
                </w:pPr>
              </w:p>
            </w:tc>
            <w:tc>
              <w:tcPr>
                <w:tcW w:w="923" w:type="dxa"/>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Arial"/>
                    <w:sz w:val="20"/>
                  </w:rPr>
                </w:pPr>
              </w:p>
            </w:tc>
            <w:tc>
              <w:tcPr>
                <w:tcW w:w="776" w:type="dxa"/>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Arial"/>
                    <w:sz w:val="20"/>
                  </w:rPr>
                </w:pPr>
              </w:p>
            </w:tc>
            <w:tc>
              <w:tcPr>
                <w:tcW w:w="692" w:type="dxa"/>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Arial"/>
                    <w:sz w:val="20"/>
                  </w:rPr>
                </w:pPr>
              </w:p>
            </w:tc>
            <w:tc>
              <w:tcPr>
                <w:tcW w:w="1147" w:type="dxa"/>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Arial"/>
                    <w:sz w:val="20"/>
                  </w:rPr>
                </w:pPr>
              </w:p>
            </w:tc>
          </w:tr>
          <w:tr>
            <w:trPr>
              <w:cantSplit/>
            </w:trPr>
            <w:tc>
              <w:tcPr>
                <w:tcW w:w="436" w:type="dxa"/>
                <w:tcBorders>
                  <w:top w:val="single" w:sz="4" w:space="0" w:color="auto"/>
                  <w:left w:val="single" w:sz="4" w:space="0" w:color="auto"/>
                  <w:bottom w:val="single" w:sz="4" w:space="0" w:color="auto"/>
                  <w:right w:val="single" w:sz="4" w:space="0" w:color="auto"/>
                </w:tcBorders>
              </w:tcPr>
              <w:p>
                <w:pPr>
                  <w:widowControl w:val="0"/>
                  <w:suppressAutoHyphens/>
                  <w:rPr>
                    <w:rFonts w:eastAsia="Arial"/>
                    <w:sz w:val="20"/>
                  </w:rPr>
                </w:pPr>
              </w:p>
            </w:tc>
            <w:tc>
              <w:tcPr>
                <w:tcW w:w="1202" w:type="dxa"/>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Arial"/>
                    <w:sz w:val="20"/>
                  </w:rPr>
                </w:pPr>
              </w:p>
            </w:tc>
            <w:tc>
              <w:tcPr>
                <w:tcW w:w="861" w:type="dxa"/>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Arial"/>
                    <w:sz w:val="20"/>
                  </w:rPr>
                </w:pPr>
              </w:p>
            </w:tc>
            <w:tc>
              <w:tcPr>
                <w:tcW w:w="1032" w:type="dxa"/>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Arial"/>
                    <w:sz w:val="20"/>
                  </w:rPr>
                </w:pPr>
              </w:p>
            </w:tc>
            <w:tc>
              <w:tcPr>
                <w:tcW w:w="685" w:type="dxa"/>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Arial"/>
                    <w:sz w:val="20"/>
                  </w:rPr>
                </w:pPr>
              </w:p>
            </w:tc>
            <w:tc>
              <w:tcPr>
                <w:tcW w:w="1318" w:type="dxa"/>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Arial"/>
                    <w:sz w:val="20"/>
                  </w:rPr>
                </w:pPr>
              </w:p>
            </w:tc>
            <w:tc>
              <w:tcPr>
                <w:tcW w:w="923" w:type="dxa"/>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Arial"/>
                    <w:sz w:val="20"/>
                  </w:rPr>
                </w:pPr>
              </w:p>
            </w:tc>
            <w:tc>
              <w:tcPr>
                <w:tcW w:w="776" w:type="dxa"/>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Arial"/>
                    <w:sz w:val="20"/>
                  </w:rPr>
                </w:pPr>
              </w:p>
            </w:tc>
            <w:tc>
              <w:tcPr>
                <w:tcW w:w="692" w:type="dxa"/>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Arial"/>
                    <w:sz w:val="20"/>
                  </w:rPr>
                </w:pPr>
              </w:p>
            </w:tc>
            <w:tc>
              <w:tcPr>
                <w:tcW w:w="1147" w:type="dxa"/>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Arial"/>
                    <w:sz w:val="20"/>
                  </w:rPr>
                </w:pPr>
              </w:p>
            </w:tc>
          </w:tr>
          <w:tr>
            <w:trPr>
              <w:cantSplit/>
            </w:trPr>
            <w:tc>
              <w:tcPr>
                <w:tcW w:w="436" w:type="dxa"/>
                <w:tcBorders>
                  <w:top w:val="single" w:sz="4" w:space="0" w:color="auto"/>
                  <w:left w:val="single" w:sz="4" w:space="0" w:color="auto"/>
                  <w:bottom w:val="single" w:sz="4" w:space="0" w:color="auto"/>
                  <w:right w:val="single" w:sz="4" w:space="0" w:color="auto"/>
                </w:tcBorders>
              </w:tcPr>
              <w:p>
                <w:pPr>
                  <w:widowControl w:val="0"/>
                  <w:suppressAutoHyphens/>
                  <w:rPr>
                    <w:rFonts w:eastAsia="Arial"/>
                    <w:sz w:val="20"/>
                  </w:rPr>
                </w:pPr>
              </w:p>
            </w:tc>
            <w:tc>
              <w:tcPr>
                <w:tcW w:w="1202" w:type="dxa"/>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Arial"/>
                    <w:sz w:val="20"/>
                  </w:rPr>
                </w:pPr>
              </w:p>
            </w:tc>
            <w:tc>
              <w:tcPr>
                <w:tcW w:w="861" w:type="dxa"/>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Arial"/>
                    <w:sz w:val="20"/>
                  </w:rPr>
                </w:pPr>
              </w:p>
            </w:tc>
            <w:tc>
              <w:tcPr>
                <w:tcW w:w="1032" w:type="dxa"/>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Arial"/>
                    <w:sz w:val="20"/>
                  </w:rPr>
                </w:pPr>
              </w:p>
            </w:tc>
            <w:tc>
              <w:tcPr>
                <w:tcW w:w="685" w:type="dxa"/>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Arial"/>
                    <w:sz w:val="20"/>
                  </w:rPr>
                </w:pPr>
              </w:p>
            </w:tc>
            <w:tc>
              <w:tcPr>
                <w:tcW w:w="1318" w:type="dxa"/>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Arial"/>
                    <w:sz w:val="20"/>
                  </w:rPr>
                </w:pPr>
              </w:p>
            </w:tc>
            <w:tc>
              <w:tcPr>
                <w:tcW w:w="923" w:type="dxa"/>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Arial"/>
                    <w:sz w:val="20"/>
                  </w:rPr>
                </w:pPr>
              </w:p>
            </w:tc>
            <w:tc>
              <w:tcPr>
                <w:tcW w:w="776" w:type="dxa"/>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Arial"/>
                    <w:sz w:val="20"/>
                  </w:rPr>
                </w:pPr>
              </w:p>
            </w:tc>
            <w:tc>
              <w:tcPr>
                <w:tcW w:w="692" w:type="dxa"/>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Arial"/>
                    <w:sz w:val="20"/>
                  </w:rPr>
                </w:pPr>
              </w:p>
            </w:tc>
            <w:tc>
              <w:tcPr>
                <w:tcW w:w="1147" w:type="dxa"/>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Arial"/>
                    <w:sz w:val="20"/>
                  </w:rPr>
                </w:pPr>
              </w:p>
            </w:tc>
          </w:tr>
          <w:tr>
            <w:trPr>
              <w:cantSplit/>
            </w:trPr>
            <w:tc>
              <w:tcPr>
                <w:tcW w:w="436" w:type="dxa"/>
                <w:tcBorders>
                  <w:top w:val="single" w:sz="4" w:space="0" w:color="auto"/>
                  <w:left w:val="single" w:sz="4" w:space="0" w:color="auto"/>
                  <w:bottom w:val="single" w:sz="4" w:space="0" w:color="auto"/>
                  <w:right w:val="single" w:sz="4" w:space="0" w:color="auto"/>
                </w:tcBorders>
              </w:tcPr>
              <w:p>
                <w:pPr>
                  <w:widowControl w:val="0"/>
                  <w:suppressAutoHyphens/>
                  <w:rPr>
                    <w:rFonts w:eastAsia="Arial"/>
                    <w:sz w:val="20"/>
                  </w:rPr>
                </w:pPr>
              </w:p>
            </w:tc>
            <w:tc>
              <w:tcPr>
                <w:tcW w:w="1202" w:type="dxa"/>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Arial"/>
                    <w:sz w:val="20"/>
                  </w:rPr>
                </w:pPr>
              </w:p>
            </w:tc>
            <w:tc>
              <w:tcPr>
                <w:tcW w:w="861" w:type="dxa"/>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Arial"/>
                    <w:sz w:val="20"/>
                  </w:rPr>
                </w:pPr>
              </w:p>
            </w:tc>
            <w:tc>
              <w:tcPr>
                <w:tcW w:w="1032" w:type="dxa"/>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Arial"/>
                    <w:sz w:val="20"/>
                  </w:rPr>
                </w:pPr>
              </w:p>
            </w:tc>
            <w:tc>
              <w:tcPr>
                <w:tcW w:w="685" w:type="dxa"/>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Arial"/>
                    <w:sz w:val="20"/>
                  </w:rPr>
                </w:pPr>
              </w:p>
            </w:tc>
            <w:tc>
              <w:tcPr>
                <w:tcW w:w="1318" w:type="dxa"/>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Arial"/>
                    <w:sz w:val="20"/>
                  </w:rPr>
                </w:pPr>
              </w:p>
            </w:tc>
            <w:tc>
              <w:tcPr>
                <w:tcW w:w="923" w:type="dxa"/>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Arial"/>
                    <w:sz w:val="20"/>
                  </w:rPr>
                </w:pPr>
              </w:p>
            </w:tc>
            <w:tc>
              <w:tcPr>
                <w:tcW w:w="776" w:type="dxa"/>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Arial"/>
                    <w:sz w:val="20"/>
                  </w:rPr>
                </w:pPr>
              </w:p>
            </w:tc>
            <w:tc>
              <w:tcPr>
                <w:tcW w:w="692" w:type="dxa"/>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Arial"/>
                    <w:sz w:val="20"/>
                  </w:rPr>
                </w:pPr>
              </w:p>
            </w:tc>
            <w:tc>
              <w:tcPr>
                <w:tcW w:w="1147" w:type="dxa"/>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Arial"/>
                    <w:sz w:val="20"/>
                  </w:rPr>
                </w:pPr>
              </w:p>
            </w:tc>
          </w:tr>
          <w:tr>
            <w:trPr>
              <w:cantSplit/>
            </w:trPr>
            <w:tc>
              <w:tcPr>
                <w:tcW w:w="436" w:type="dxa"/>
                <w:tcBorders>
                  <w:top w:val="single" w:sz="4" w:space="0" w:color="auto"/>
                  <w:left w:val="single" w:sz="4" w:space="0" w:color="auto"/>
                  <w:bottom w:val="single" w:sz="4" w:space="0" w:color="auto"/>
                  <w:right w:val="single" w:sz="4" w:space="0" w:color="auto"/>
                </w:tcBorders>
              </w:tcPr>
              <w:p>
                <w:pPr>
                  <w:widowControl w:val="0"/>
                  <w:suppressAutoHyphens/>
                  <w:rPr>
                    <w:rFonts w:eastAsia="Arial"/>
                    <w:sz w:val="20"/>
                  </w:rPr>
                </w:pPr>
              </w:p>
            </w:tc>
            <w:tc>
              <w:tcPr>
                <w:tcW w:w="1202" w:type="dxa"/>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Arial"/>
                    <w:sz w:val="20"/>
                  </w:rPr>
                </w:pPr>
              </w:p>
            </w:tc>
            <w:tc>
              <w:tcPr>
                <w:tcW w:w="861" w:type="dxa"/>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Arial"/>
                    <w:sz w:val="20"/>
                  </w:rPr>
                </w:pPr>
              </w:p>
            </w:tc>
            <w:tc>
              <w:tcPr>
                <w:tcW w:w="1032" w:type="dxa"/>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Arial"/>
                    <w:sz w:val="20"/>
                  </w:rPr>
                </w:pPr>
              </w:p>
            </w:tc>
            <w:tc>
              <w:tcPr>
                <w:tcW w:w="685" w:type="dxa"/>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Arial"/>
                    <w:sz w:val="20"/>
                  </w:rPr>
                </w:pPr>
              </w:p>
            </w:tc>
            <w:tc>
              <w:tcPr>
                <w:tcW w:w="1318" w:type="dxa"/>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Arial"/>
                    <w:sz w:val="20"/>
                  </w:rPr>
                </w:pPr>
              </w:p>
            </w:tc>
            <w:tc>
              <w:tcPr>
                <w:tcW w:w="923" w:type="dxa"/>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Arial"/>
                    <w:sz w:val="20"/>
                  </w:rPr>
                </w:pPr>
              </w:p>
            </w:tc>
            <w:tc>
              <w:tcPr>
                <w:tcW w:w="776" w:type="dxa"/>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Arial"/>
                    <w:sz w:val="20"/>
                  </w:rPr>
                </w:pPr>
              </w:p>
            </w:tc>
            <w:tc>
              <w:tcPr>
                <w:tcW w:w="692" w:type="dxa"/>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Arial"/>
                    <w:sz w:val="20"/>
                  </w:rPr>
                </w:pPr>
              </w:p>
            </w:tc>
            <w:tc>
              <w:tcPr>
                <w:tcW w:w="1147" w:type="dxa"/>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Arial"/>
                    <w:sz w:val="20"/>
                  </w:rPr>
                </w:pPr>
              </w:p>
            </w:tc>
          </w:tr>
          <w:tr>
            <w:trPr>
              <w:cantSplit/>
            </w:trPr>
            <w:tc>
              <w:tcPr>
                <w:tcW w:w="436" w:type="dxa"/>
                <w:tcBorders>
                  <w:top w:val="single" w:sz="4" w:space="0" w:color="auto"/>
                  <w:left w:val="single" w:sz="4" w:space="0" w:color="auto"/>
                  <w:bottom w:val="single" w:sz="4" w:space="0" w:color="auto"/>
                  <w:right w:val="single" w:sz="4" w:space="0" w:color="auto"/>
                </w:tcBorders>
              </w:tcPr>
              <w:p>
                <w:pPr>
                  <w:widowControl w:val="0"/>
                  <w:suppressAutoHyphens/>
                  <w:rPr>
                    <w:rFonts w:eastAsia="Arial"/>
                    <w:sz w:val="20"/>
                  </w:rPr>
                </w:pPr>
              </w:p>
            </w:tc>
            <w:tc>
              <w:tcPr>
                <w:tcW w:w="1202" w:type="dxa"/>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Arial"/>
                    <w:sz w:val="20"/>
                  </w:rPr>
                </w:pPr>
              </w:p>
            </w:tc>
            <w:tc>
              <w:tcPr>
                <w:tcW w:w="861" w:type="dxa"/>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Arial"/>
                    <w:sz w:val="20"/>
                  </w:rPr>
                </w:pPr>
              </w:p>
            </w:tc>
            <w:tc>
              <w:tcPr>
                <w:tcW w:w="1032" w:type="dxa"/>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Arial"/>
                    <w:sz w:val="20"/>
                  </w:rPr>
                </w:pPr>
              </w:p>
            </w:tc>
            <w:tc>
              <w:tcPr>
                <w:tcW w:w="685" w:type="dxa"/>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Arial"/>
                    <w:sz w:val="20"/>
                  </w:rPr>
                </w:pPr>
              </w:p>
            </w:tc>
            <w:tc>
              <w:tcPr>
                <w:tcW w:w="1318" w:type="dxa"/>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Arial"/>
                    <w:sz w:val="20"/>
                  </w:rPr>
                </w:pPr>
              </w:p>
            </w:tc>
            <w:tc>
              <w:tcPr>
                <w:tcW w:w="923" w:type="dxa"/>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Arial"/>
                    <w:sz w:val="20"/>
                  </w:rPr>
                </w:pPr>
              </w:p>
            </w:tc>
            <w:tc>
              <w:tcPr>
                <w:tcW w:w="776" w:type="dxa"/>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Arial"/>
                    <w:sz w:val="20"/>
                  </w:rPr>
                </w:pPr>
              </w:p>
            </w:tc>
            <w:tc>
              <w:tcPr>
                <w:tcW w:w="692" w:type="dxa"/>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Arial"/>
                    <w:sz w:val="20"/>
                  </w:rPr>
                </w:pPr>
              </w:p>
            </w:tc>
            <w:tc>
              <w:tcPr>
                <w:tcW w:w="1147" w:type="dxa"/>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Arial"/>
                    <w:sz w:val="20"/>
                  </w:rPr>
                </w:pPr>
              </w:p>
            </w:tc>
          </w:tr>
          <w:tr>
            <w:trPr>
              <w:cantSplit/>
            </w:trPr>
            <w:tc>
              <w:tcPr>
                <w:tcW w:w="436" w:type="dxa"/>
                <w:tcBorders>
                  <w:top w:val="single" w:sz="4" w:space="0" w:color="auto"/>
                  <w:left w:val="single" w:sz="4" w:space="0" w:color="auto"/>
                  <w:bottom w:val="single" w:sz="4" w:space="0" w:color="auto"/>
                  <w:right w:val="single" w:sz="4" w:space="0" w:color="auto"/>
                </w:tcBorders>
              </w:tcPr>
              <w:p>
                <w:pPr>
                  <w:widowControl w:val="0"/>
                  <w:suppressAutoHyphens/>
                  <w:rPr>
                    <w:rFonts w:eastAsia="Arial"/>
                    <w:sz w:val="20"/>
                  </w:rPr>
                </w:pPr>
              </w:p>
            </w:tc>
            <w:tc>
              <w:tcPr>
                <w:tcW w:w="1202" w:type="dxa"/>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Arial"/>
                    <w:sz w:val="20"/>
                  </w:rPr>
                </w:pPr>
              </w:p>
            </w:tc>
            <w:tc>
              <w:tcPr>
                <w:tcW w:w="861" w:type="dxa"/>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Arial"/>
                    <w:sz w:val="20"/>
                  </w:rPr>
                </w:pPr>
              </w:p>
            </w:tc>
            <w:tc>
              <w:tcPr>
                <w:tcW w:w="1032" w:type="dxa"/>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Arial"/>
                    <w:sz w:val="20"/>
                  </w:rPr>
                </w:pPr>
              </w:p>
            </w:tc>
            <w:tc>
              <w:tcPr>
                <w:tcW w:w="685" w:type="dxa"/>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Arial"/>
                    <w:sz w:val="20"/>
                  </w:rPr>
                </w:pPr>
              </w:p>
            </w:tc>
            <w:tc>
              <w:tcPr>
                <w:tcW w:w="1318" w:type="dxa"/>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Arial"/>
                    <w:sz w:val="20"/>
                  </w:rPr>
                </w:pPr>
              </w:p>
            </w:tc>
            <w:tc>
              <w:tcPr>
                <w:tcW w:w="923" w:type="dxa"/>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Arial"/>
                    <w:sz w:val="20"/>
                  </w:rPr>
                </w:pPr>
              </w:p>
            </w:tc>
            <w:tc>
              <w:tcPr>
                <w:tcW w:w="776" w:type="dxa"/>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Arial"/>
                    <w:sz w:val="20"/>
                  </w:rPr>
                </w:pPr>
              </w:p>
            </w:tc>
            <w:tc>
              <w:tcPr>
                <w:tcW w:w="692" w:type="dxa"/>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Arial"/>
                    <w:sz w:val="20"/>
                  </w:rPr>
                </w:pPr>
              </w:p>
            </w:tc>
            <w:tc>
              <w:tcPr>
                <w:tcW w:w="1147" w:type="dxa"/>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Arial"/>
                    <w:sz w:val="20"/>
                  </w:rPr>
                </w:pPr>
              </w:p>
            </w:tc>
          </w:tr>
        </w:tbl>
        <w:p>
          <w:pPr>
            <w:ind w:firstLine="709"/>
            <w:jc w:val="both"/>
            <w:rPr>
              <w:b/>
            </w:rPr>
          </w:pPr>
        </w:p>
        <w:p>
          <w:pPr>
            <w:tabs>
              <w:tab w:val="left" w:pos="5529"/>
              <w:tab w:val="left" w:leader="underscore" w:pos="7230"/>
              <w:tab w:val="left" w:pos="7513"/>
              <w:tab w:val="right" w:leader="underscore" w:pos="9072"/>
            </w:tabs>
            <w:jc w:val="both"/>
          </w:pPr>
          <w:r>
            <w:t xml:space="preserve">_____________________ </w:t>
            <w:tab/>
            <w:tab/>
            <w:tab/>
            <w:tab/>
          </w:r>
        </w:p>
        <w:p>
          <w:pPr>
            <w:tabs>
              <w:tab w:val="center" w:pos="1276"/>
              <w:tab w:val="center" w:pos="6379"/>
              <w:tab w:val="center" w:pos="6521"/>
              <w:tab w:val="center" w:pos="8222"/>
              <w:tab w:val="right" w:pos="9072"/>
            </w:tabs>
            <w:jc w:val="both"/>
            <w:rPr>
              <w:i/>
              <w:sz w:val="20"/>
            </w:rPr>
          </w:pPr>
          <w:r>
            <w:rPr>
              <w:i/>
              <w:sz w:val="20"/>
            </w:rPr>
            <w:tab/>
            <w:t xml:space="preserve">(pareigų pavadinimas) </w:t>
            <w:tab/>
            <w:t>(parašas)</w:t>
            <w:tab/>
            <w:t xml:space="preserve"> (vardas ir pavardė) </w:t>
          </w:r>
        </w:p>
        <w:p>
          <w:pPr>
            <w:tabs>
              <w:tab w:val="left" w:pos="5529"/>
              <w:tab w:val="left" w:leader="underscore" w:pos="7230"/>
              <w:tab w:val="left" w:pos="7513"/>
              <w:tab w:val="right" w:leader="underscore" w:pos="9072"/>
            </w:tabs>
            <w:jc w:val="both"/>
          </w:pPr>
          <w:r>
            <w:t>___________________________________________</w:t>
            <w:tab/>
            <w:tab/>
            <w:tab/>
            <w:tab/>
          </w:r>
        </w:p>
        <w:p>
          <w:pPr>
            <w:tabs>
              <w:tab w:val="center" w:pos="6521"/>
              <w:tab w:val="center" w:pos="8222"/>
              <w:tab w:val="right" w:pos="9072"/>
            </w:tabs>
            <w:jc w:val="both"/>
            <w:rPr>
              <w:i/>
              <w:sz w:val="20"/>
            </w:rPr>
          </w:pPr>
          <w:r>
            <w:rPr>
              <w:i/>
              <w:sz w:val="20"/>
            </w:rPr>
            <w:t xml:space="preserve">(atstovo, dalyvavusio sąrašo sudaryme, pareigų pavadinimas) </w:t>
            <w:tab/>
            <w:t xml:space="preserve">(parašas) </w:t>
            <w:tab/>
            <w:t xml:space="preserve">(vardas ir pavardė) </w:t>
          </w:r>
        </w:p>
        <w:p>
          <w:pPr>
            <w:jc w:val="center"/>
          </w:pPr>
          <w:r>
            <w:t>______________</w:t>
          </w:r>
        </w:p>
        <w:p>
          <w:pPr>
            <w:ind w:firstLine="709"/>
            <w:jc w:val="both"/>
          </w:pPr>
        </w:p>
        <w:p>
          <w:pPr>
            <w:ind w:firstLine="709"/>
            <w:jc w:val="both"/>
          </w:pPr>
        </w:p>
      </w:sdtContent>
    </w:sdt>
    <w:sdt>
      <w:sdtPr>
        <w:alias w:val="frm."/>
        <w:tag w:val="part_bdeee736db0c4a4bbe66bb05b73f3061"/>
        <w:lock w:val="sdtLocked"/>
        <w:richText/>
      </w:sdtPr>
      <w:sdtContent>
        <w:p>
          <w:pPr>
            <w:ind w:firstLine="5102"/>
            <w:sectPr>
              <w:pgSz w:w="11907" w:h="16839"/>
              <w:pgMar w:top="1134" w:right="567" w:bottom="1134" w:left="1701" w:header="567" w:footer="567" w:gutter="0"/>
              <w:cols w:space="1296"/>
              <w:titlePg/>
              <w:docGrid w:linePitch="360"/>
            </w:sectPr>
          </w:pPr>
        </w:p>
        <w:p>
          <w:pPr>
            <w:ind w:firstLine="5102"/>
          </w:pPr>
          <w:r>
            <w:t>Forma patvirtinta Lietuvos Respublikos</w:t>
          </w:r>
        </w:p>
        <w:p>
          <w:pPr>
            <w:ind w:firstLine="5102"/>
          </w:pPr>
          <w:r>
            <w:t>aplinkos ministro2005 m. rugsėjo 16 d.</w:t>
          </w:r>
        </w:p>
        <w:p>
          <w:pPr>
            <w:ind w:firstLine="5102"/>
          </w:pPr>
          <w:r>
            <w:t>įsakymu Nr. D1-449</w:t>
          </w:r>
        </w:p>
        <w:p>
          <w:pPr>
            <w:ind w:firstLine="709"/>
          </w:pPr>
        </w:p>
        <w:p>
          <w:pPr>
            <w:tabs>
              <w:tab w:val="right" w:pos="9072"/>
            </w:tabs>
            <w:jc w:val="center"/>
          </w:pPr>
          <w:r>
            <w:t xml:space="preserve">_____________________________________________________ </w:t>
          </w:r>
        </w:p>
        <w:p>
          <w:pPr>
            <w:tabs>
              <w:tab w:val="right" w:pos="9072"/>
            </w:tabs>
            <w:jc w:val="center"/>
          </w:pPr>
          <w:r>
            <w:rPr>
              <w:i/>
              <w:sz w:val="20"/>
            </w:rPr>
            <w:t>(apskaitos aktą surašiusios institucijos pavadinimas)</w:t>
          </w:r>
          <w:r>
            <w:t xml:space="preserve"> _____________________________________________________ </w:t>
          </w:r>
        </w:p>
        <w:p>
          <w:pPr>
            <w:tabs>
              <w:tab w:val="right" w:pos="9072"/>
            </w:tabs>
            <w:jc w:val="center"/>
            <w:rPr>
              <w:i/>
              <w:sz w:val="20"/>
            </w:rPr>
          </w:pPr>
          <w:r>
            <w:rPr>
              <w:i/>
              <w:sz w:val="20"/>
            </w:rPr>
            <w:t>(kodas, adresas, telefonas)</w:t>
          </w:r>
        </w:p>
        <w:p>
          <w:pPr>
            <w:jc w:val="center"/>
            <w:rPr>
              <w:b/>
            </w:rPr>
          </w:pPr>
        </w:p>
        <w:p>
          <w:pPr>
            <w:jc w:val="center"/>
            <w:rPr>
              <w:b/>
            </w:rPr>
          </w:pPr>
          <w:r>
            <w:rPr>
              <w:b/>
            </w:rPr>
            <w:t>STATINIŲ, KURIE NETURI SAVININKŲ (AR KURIŲ SAVININKAI NEŽINOMI), APSKAITOS AKTAS</w:t>
          </w:r>
        </w:p>
        <w:p>
          <w:pPr>
            <w:jc w:val="center"/>
            <w:rPr>
              <w:b/>
            </w:rPr>
          </w:pPr>
        </w:p>
        <w:p>
          <w:pPr>
            <w:tabs>
              <w:tab w:val="right" w:pos="9072"/>
            </w:tabs>
            <w:jc w:val="center"/>
          </w:pPr>
          <w:r>
            <w:t xml:space="preserve">_____________ Nr. _______ </w:t>
          </w:r>
        </w:p>
        <w:p>
          <w:pPr>
            <w:tabs>
              <w:tab w:val="center" w:pos="4200"/>
              <w:tab w:val="right" w:pos="9072"/>
            </w:tabs>
            <w:ind w:firstLine="709"/>
            <w:jc w:val="both"/>
            <w:rPr>
              <w:i/>
              <w:sz w:val="20"/>
            </w:rPr>
          </w:pPr>
          <w:r>
            <w:rPr>
              <w:i/>
            </w:rPr>
            <w:tab/>
          </w:r>
          <w:r>
            <w:rPr>
              <w:i/>
              <w:sz w:val="20"/>
            </w:rPr>
            <w:t xml:space="preserve">(data) </w:t>
          </w:r>
        </w:p>
        <w:p>
          <w:pPr>
            <w:tabs>
              <w:tab w:val="right" w:pos="9072"/>
            </w:tabs>
            <w:jc w:val="center"/>
          </w:pPr>
          <w:r>
            <w:t xml:space="preserve">______________________ </w:t>
          </w:r>
        </w:p>
        <w:p>
          <w:pPr>
            <w:tabs>
              <w:tab w:val="right" w:pos="9072"/>
            </w:tabs>
            <w:jc w:val="center"/>
            <w:rPr>
              <w:i/>
              <w:sz w:val="20"/>
            </w:rPr>
          </w:pPr>
          <w:r>
            <w:rPr>
              <w:i/>
              <w:sz w:val="20"/>
            </w:rPr>
            <w:t>(sudarymo vieta)</w:t>
          </w:r>
        </w:p>
        <w:p>
          <w:pPr>
            <w:jc w:val="center"/>
            <w:rPr>
              <w:b/>
            </w:rPr>
          </w:pPr>
        </w:p>
        <w:p>
          <w:pPr>
            <w:ind w:firstLine="709"/>
            <w:jc w:val="both"/>
          </w:pPr>
          <w:r>
            <w:t xml:space="preserve">Vadovaudamiesi Bešeimininkio, konfiskuoto, valstybės paveldėto, į valstybės pajamas perduoto turto, daiktinių įrodymų ir radinių perdavimo, apskaitymo, saugojimo, realizavimo, grąžinimo ir pripažinimo atliekomis taisyklėmis, patvirtintomis LR Vyriausybės 2004 m. gegužės 26 d. nutarimu Nr. 634, </w:t>
          </w:r>
        </w:p>
        <w:p>
          <w:pPr>
            <w:tabs>
              <w:tab w:val="right" w:leader="underscore" w:pos="9638"/>
            </w:tabs>
            <w:jc w:val="both"/>
          </w:pPr>
          <w:r>
            <w:tab/>
          </w:r>
        </w:p>
        <w:p>
          <w:pPr>
            <w:tabs>
              <w:tab w:val="right" w:leader="underscore" w:pos="9071"/>
            </w:tabs>
            <w:jc w:val="center"/>
            <w:rPr>
              <w:i/>
              <w:sz w:val="20"/>
            </w:rPr>
          </w:pPr>
          <w:r>
            <w:rPr>
              <w:i/>
              <w:sz w:val="20"/>
            </w:rPr>
            <w:t>(aktą surašančio valstybės tarnautojo arba darbuotojo, dirbančio pagal darbo sutartį, pareigos, vardas, pavardė)</w:t>
          </w:r>
        </w:p>
        <w:p>
          <w:pPr>
            <w:tabs>
              <w:tab w:val="right" w:leader="underscore" w:pos="9638"/>
            </w:tabs>
            <w:jc w:val="both"/>
          </w:pPr>
          <w:r>
            <w:t xml:space="preserve">dalyvaujant </w:t>
            <w:tab/>
          </w:r>
        </w:p>
        <w:p>
          <w:pPr>
            <w:tabs>
              <w:tab w:val="center" w:pos="5103"/>
              <w:tab w:val="right" w:leader="underscore" w:pos="9071"/>
            </w:tabs>
            <w:jc w:val="both"/>
            <w:rPr>
              <w:i/>
              <w:sz w:val="20"/>
            </w:rPr>
          </w:pPr>
          <w:r>
            <w:rPr>
              <w:i/>
            </w:rPr>
            <w:tab/>
          </w:r>
          <w:r>
            <w:rPr>
              <w:i/>
              <w:sz w:val="20"/>
            </w:rPr>
            <w:t xml:space="preserve">(surašant aktą dalyvaujančių institucijų atstovų pareigos, vardai, pavardės) </w:t>
          </w:r>
        </w:p>
        <w:p>
          <w:pPr>
            <w:tabs>
              <w:tab w:val="right" w:leader="underscore" w:pos="9638"/>
            </w:tabs>
            <w:jc w:val="both"/>
          </w:pPr>
          <w:r>
            <w:tab/>
          </w:r>
        </w:p>
        <w:p>
          <w:pPr>
            <w:jc w:val="both"/>
          </w:pPr>
          <w:r>
            <w:t>apžiūrėjo, įvertino ir apskaitė statinį (-ius), kuris (-ie) neturi savininkų (ar kurių savininkai nežinomi):</w:t>
          </w:r>
        </w:p>
        <w:p>
          <w:pPr>
            <w:ind w:firstLine="709"/>
            <w:jc w:val="both"/>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434"/>
            <w:gridCol w:w="1256"/>
            <w:gridCol w:w="722"/>
            <w:gridCol w:w="1049"/>
            <w:gridCol w:w="754"/>
            <w:gridCol w:w="668"/>
            <w:gridCol w:w="862"/>
            <w:gridCol w:w="884"/>
            <w:gridCol w:w="738"/>
            <w:gridCol w:w="738"/>
            <w:gridCol w:w="738"/>
            <w:gridCol w:w="794"/>
          </w:tblGrid>
          <w:tr>
            <w:trPr>
              <w:cantSplit/>
              <w:trHeight w:hRule="exact" w:val="306"/>
            </w:trPr>
            <w:tc>
              <w:tcPr>
                <w:tcW w:w="675" w:type="dxa"/>
                <w:vMerge w:val="restart"/>
                <w:tcBorders>
                  <w:top w:val="single" w:sz="4" w:space="0" w:color="auto"/>
                  <w:left w:val="single" w:sz="4" w:space="0" w:color="auto"/>
                  <w:bottom w:val="single" w:sz="4" w:space="0" w:color="auto"/>
                  <w:right w:val="single" w:sz="4" w:space="0" w:color="auto"/>
                </w:tcBorders>
              </w:tcPr>
              <w:p>
                <w:pPr>
                  <w:jc w:val="center"/>
                  <w:rPr>
                    <w:sz w:val="20"/>
                  </w:rPr>
                </w:pPr>
                <w:r>
                  <w:rPr>
                    <w:sz w:val="20"/>
                  </w:rPr>
                  <w:t>Eil. Nr.</w:t>
                </w:r>
              </w:p>
            </w:tc>
            <w:tc>
              <w:tcPr>
                <w:tcW w:w="1985" w:type="dxa"/>
                <w:vMerge w:val="restart"/>
                <w:tcBorders>
                  <w:top w:val="single" w:sz="4" w:space="0" w:color="auto"/>
                  <w:left w:val="single" w:sz="4" w:space="0" w:color="auto"/>
                  <w:bottom w:val="single" w:sz="4" w:space="0" w:color="auto"/>
                  <w:right w:val="single" w:sz="4" w:space="0" w:color="auto"/>
                </w:tcBorders>
              </w:tcPr>
              <w:p>
                <w:pPr>
                  <w:jc w:val="center"/>
                  <w:rPr>
                    <w:sz w:val="20"/>
                  </w:rPr>
                </w:pPr>
                <w:r>
                  <w:rPr>
                    <w:sz w:val="20"/>
                  </w:rPr>
                  <w:t>Statinio pavadinimas, paskirtis</w:t>
                </w:r>
              </w:p>
            </w:tc>
            <w:tc>
              <w:tcPr>
                <w:tcW w:w="1134" w:type="dxa"/>
                <w:vMerge w:val="restart"/>
                <w:tcBorders>
                  <w:top w:val="single" w:sz="4" w:space="0" w:color="auto"/>
                  <w:left w:val="single" w:sz="4" w:space="0" w:color="auto"/>
                  <w:bottom w:val="single" w:sz="4" w:space="0" w:color="auto"/>
                  <w:right w:val="single" w:sz="4" w:space="0" w:color="auto"/>
                </w:tcBorders>
              </w:tcPr>
              <w:p>
                <w:pPr>
                  <w:jc w:val="center"/>
                  <w:rPr>
                    <w:sz w:val="20"/>
                  </w:rPr>
                </w:pPr>
                <w:r>
                  <w:rPr>
                    <w:sz w:val="20"/>
                  </w:rPr>
                  <w:t>Statinio adresas</w:t>
                </w:r>
              </w:p>
            </w:tc>
            <w:tc>
              <w:tcPr>
                <w:tcW w:w="1655" w:type="dxa"/>
                <w:vMerge w:val="restart"/>
                <w:tcBorders>
                  <w:top w:val="single" w:sz="4" w:space="0" w:color="auto"/>
                  <w:left w:val="single" w:sz="4" w:space="0" w:color="auto"/>
                  <w:bottom w:val="single" w:sz="4" w:space="0" w:color="auto"/>
                  <w:right w:val="single" w:sz="4" w:space="0" w:color="auto"/>
                </w:tcBorders>
              </w:tcPr>
              <w:p>
                <w:pPr>
                  <w:jc w:val="center"/>
                  <w:rPr>
                    <w:sz w:val="20"/>
                  </w:rPr>
                </w:pPr>
                <w:r>
                  <w:rPr>
                    <w:sz w:val="20"/>
                  </w:rPr>
                  <w:t>Statinys realizuotinas ar nerealizuotinas</w:t>
                </w:r>
              </w:p>
            </w:tc>
            <w:tc>
              <w:tcPr>
                <w:tcW w:w="2233" w:type="dxa"/>
                <w:gridSpan w:val="2"/>
                <w:tcBorders>
                  <w:top w:val="single" w:sz="4" w:space="0" w:color="auto"/>
                  <w:left w:val="single" w:sz="4" w:space="0" w:color="auto"/>
                  <w:bottom w:val="single" w:sz="4" w:space="0" w:color="auto"/>
                  <w:right w:val="single" w:sz="4" w:space="0" w:color="auto"/>
                </w:tcBorders>
              </w:tcPr>
              <w:p>
                <w:pPr>
                  <w:jc w:val="center"/>
                  <w:rPr>
                    <w:sz w:val="20"/>
                  </w:rPr>
                </w:pPr>
                <w:r>
                  <w:rPr>
                    <w:sz w:val="20"/>
                  </w:rPr>
                  <w:t>Statinio</w:t>
                </w:r>
              </w:p>
            </w:tc>
            <w:tc>
              <w:tcPr>
                <w:tcW w:w="1357" w:type="dxa"/>
                <w:vMerge w:val="restart"/>
                <w:tcBorders>
                  <w:top w:val="single" w:sz="4" w:space="0" w:color="auto"/>
                  <w:left w:val="single" w:sz="4" w:space="0" w:color="auto"/>
                  <w:bottom w:val="single" w:sz="4" w:space="0" w:color="auto"/>
                  <w:right w:val="single" w:sz="4" w:space="0" w:color="auto"/>
                </w:tcBorders>
              </w:tcPr>
              <w:p>
                <w:pPr>
                  <w:jc w:val="center"/>
                  <w:rPr>
                    <w:sz w:val="20"/>
                  </w:rPr>
                </w:pPr>
                <w:r>
                  <w:rPr>
                    <w:sz w:val="20"/>
                  </w:rPr>
                  <w:t>Vieneto vidutinė</w:t>
                </w:r>
              </w:p>
              <w:p>
                <w:pPr>
                  <w:jc w:val="center"/>
                  <w:rPr>
                    <w:sz w:val="20"/>
                  </w:rPr>
                </w:pPr>
                <w:r>
                  <w:rPr>
                    <w:sz w:val="20"/>
                  </w:rPr>
                  <w:t>rinkos</w:t>
                </w:r>
              </w:p>
              <w:p>
                <w:pPr>
                  <w:jc w:val="center"/>
                  <w:rPr>
                    <w:sz w:val="20"/>
                  </w:rPr>
                </w:pPr>
                <w:r>
                  <w:rPr>
                    <w:sz w:val="20"/>
                  </w:rPr>
                  <w:t>kaina, Lt</w:t>
                </w:r>
              </w:p>
            </w:tc>
            <w:tc>
              <w:tcPr>
                <w:tcW w:w="1392" w:type="dxa"/>
                <w:vMerge w:val="restart"/>
                <w:tcBorders>
                  <w:top w:val="single" w:sz="4" w:space="0" w:color="auto"/>
                  <w:left w:val="single" w:sz="4" w:space="0" w:color="auto"/>
                  <w:bottom w:val="single" w:sz="4" w:space="0" w:color="auto"/>
                  <w:right w:val="single" w:sz="4" w:space="0" w:color="auto"/>
                </w:tcBorders>
              </w:tcPr>
              <w:p>
                <w:pPr>
                  <w:jc w:val="center"/>
                  <w:rPr>
                    <w:sz w:val="20"/>
                  </w:rPr>
                </w:pPr>
                <w:r>
                  <w:rPr>
                    <w:sz w:val="20"/>
                  </w:rPr>
                  <w:t>Vietovės pataisos koeficientas</w:t>
                </w:r>
              </w:p>
            </w:tc>
            <w:tc>
              <w:tcPr>
                <w:tcW w:w="1159" w:type="dxa"/>
                <w:vMerge w:val="restart"/>
                <w:tcBorders>
                  <w:top w:val="single" w:sz="4" w:space="0" w:color="auto"/>
                  <w:left w:val="single" w:sz="4" w:space="0" w:color="auto"/>
                  <w:bottom w:val="single" w:sz="4" w:space="0" w:color="auto"/>
                  <w:right w:val="single" w:sz="4" w:space="0" w:color="auto"/>
                </w:tcBorders>
              </w:tcPr>
              <w:p>
                <w:pPr>
                  <w:jc w:val="center"/>
                  <w:rPr>
                    <w:sz w:val="20"/>
                  </w:rPr>
                </w:pPr>
                <w:r>
                  <w:rPr>
                    <w:sz w:val="20"/>
                  </w:rPr>
                  <w:t>Nusidėvėjimo koeficientas</w:t>
                </w:r>
              </w:p>
              <w:p>
                <w:pPr>
                  <w:jc w:val="center"/>
                  <w:rPr>
                    <w:sz w:val="20"/>
                  </w:rPr>
                </w:pPr>
                <w:r>
                  <w:rPr>
                    <w:sz w:val="20"/>
                  </w:rPr>
                  <w:t>%:100</w:t>
                </w:r>
              </w:p>
            </w:tc>
            <w:tc>
              <w:tcPr>
                <w:tcW w:w="1159" w:type="dxa"/>
                <w:vMerge w:val="restart"/>
                <w:tcBorders>
                  <w:top w:val="single" w:sz="4" w:space="0" w:color="auto"/>
                  <w:left w:val="single" w:sz="4" w:space="0" w:color="auto"/>
                  <w:bottom w:val="single" w:sz="4" w:space="0" w:color="auto"/>
                  <w:right w:val="single" w:sz="4" w:space="0" w:color="auto"/>
                </w:tcBorders>
              </w:tcPr>
              <w:p>
                <w:pPr>
                  <w:jc w:val="center"/>
                  <w:rPr>
                    <w:sz w:val="20"/>
                  </w:rPr>
                </w:pPr>
                <w:r>
                  <w:rPr>
                    <w:sz w:val="20"/>
                  </w:rPr>
                  <w:t>Statinio vidutinė rinkos vertė, Lt</w:t>
                </w:r>
              </w:p>
            </w:tc>
            <w:tc>
              <w:tcPr>
                <w:tcW w:w="1159" w:type="dxa"/>
                <w:vMerge w:val="restart"/>
                <w:tcBorders>
                  <w:top w:val="single" w:sz="4" w:space="0" w:color="auto"/>
                  <w:left w:val="single" w:sz="4" w:space="0" w:color="auto"/>
                  <w:bottom w:val="single" w:sz="4" w:space="0" w:color="auto"/>
                  <w:right w:val="single" w:sz="4" w:space="0" w:color="auto"/>
                </w:tcBorders>
              </w:tcPr>
              <w:p>
                <w:pPr>
                  <w:jc w:val="center"/>
                  <w:rPr>
                    <w:sz w:val="20"/>
                  </w:rPr>
                </w:pPr>
                <w:r>
                  <w:rPr>
                    <w:sz w:val="20"/>
                  </w:rPr>
                  <w:t>Išlikusių konstrukcijų dalis</w:t>
                </w:r>
              </w:p>
              <w:p>
                <w:pPr>
                  <w:jc w:val="center"/>
                  <w:rPr>
                    <w:sz w:val="20"/>
                  </w:rPr>
                </w:pPr>
                <w:r>
                  <w:rPr>
                    <w:sz w:val="20"/>
                  </w:rPr>
                  <w:t>%:100</w:t>
                </w:r>
              </w:p>
            </w:tc>
            <w:tc>
              <w:tcPr>
                <w:tcW w:w="1249" w:type="dxa"/>
                <w:vMerge w:val="restart"/>
                <w:tcBorders>
                  <w:top w:val="single" w:sz="4" w:space="0" w:color="auto"/>
                  <w:left w:val="single" w:sz="4" w:space="0" w:color="auto"/>
                  <w:bottom w:val="single" w:sz="4" w:space="0" w:color="auto"/>
                  <w:right w:val="single" w:sz="4" w:space="0" w:color="auto"/>
                </w:tcBorders>
              </w:tcPr>
              <w:p>
                <w:pPr>
                  <w:jc w:val="center"/>
                  <w:rPr>
                    <w:sz w:val="20"/>
                  </w:rPr>
                </w:pPr>
                <w:r>
                  <w:rPr>
                    <w:sz w:val="20"/>
                  </w:rPr>
                  <w:t>Apskaitoma statinio vertė, Lt</w:t>
                </w:r>
              </w:p>
            </w:tc>
          </w:tr>
          <w:tr>
            <w:trPr>
              <w:cantSplit/>
              <w:trHeight w:hRule="exact" w:val="1084"/>
            </w:trPr>
            <w:tc>
              <w:tcPr>
                <w:tcW w:w="675"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134"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655"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185" w:type="dxa"/>
                <w:tcBorders>
                  <w:top w:val="single" w:sz="4" w:space="0" w:color="auto"/>
                  <w:left w:val="single" w:sz="4" w:space="0" w:color="auto"/>
                  <w:bottom w:val="single" w:sz="4" w:space="0" w:color="auto"/>
                  <w:right w:val="single" w:sz="4" w:space="0" w:color="auto"/>
                </w:tcBorders>
              </w:tcPr>
              <w:p>
                <w:pPr>
                  <w:jc w:val="center"/>
                  <w:rPr>
                    <w:sz w:val="20"/>
                    <w:vertAlign w:val="superscript"/>
                  </w:rPr>
                </w:pPr>
                <w:r>
                  <w:rPr>
                    <w:sz w:val="20"/>
                  </w:rPr>
                  <w:t>bendras plotas m</w:t>
                </w:r>
                <w:r>
                  <w:rPr>
                    <w:sz w:val="20"/>
                    <w:vertAlign w:val="superscript"/>
                  </w:rPr>
                  <w:t>2</w:t>
                </w:r>
                <w:r>
                  <w:rPr>
                    <w:sz w:val="20"/>
                  </w:rPr>
                  <w:t xml:space="preserve"> arba tūris m</w:t>
                </w:r>
                <w:r>
                  <w:rPr>
                    <w:sz w:val="20"/>
                    <w:vertAlign w:val="superscript"/>
                  </w:rPr>
                  <w:t>3</w:t>
                </w:r>
              </w:p>
            </w:tc>
            <w:tc>
              <w:tcPr>
                <w:tcW w:w="104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aukštų skaičius</w:t>
                </w:r>
              </w:p>
            </w:tc>
            <w:tc>
              <w:tcPr>
                <w:tcW w:w="1357"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392"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159"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159"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159"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249" w:type="dxa"/>
                <w:vMerge/>
                <w:tcBorders>
                  <w:top w:val="single" w:sz="4" w:space="0" w:color="auto"/>
                  <w:left w:val="single" w:sz="4" w:space="0" w:color="auto"/>
                  <w:bottom w:val="single" w:sz="4" w:space="0" w:color="auto"/>
                  <w:right w:val="single" w:sz="4" w:space="0" w:color="auto"/>
                </w:tcBorders>
                <w:vAlign w:val="center"/>
              </w:tcPr>
              <w:p>
                <w:pPr>
                  <w:rPr>
                    <w:sz w:val="20"/>
                  </w:rPr>
                </w:pPr>
              </w:p>
            </w:tc>
          </w:tr>
          <w:tr>
            <w:trPr>
              <w:cantSplit/>
            </w:trPr>
            <w:tc>
              <w:tcPr>
                <w:tcW w:w="67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w:t>
                </w:r>
              </w:p>
            </w:tc>
            <w:tc>
              <w:tcPr>
                <w:tcW w:w="198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w:t>
                </w:r>
              </w:p>
            </w:tc>
            <w:tc>
              <w:tcPr>
                <w:tcW w:w="165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4</w:t>
                </w:r>
              </w:p>
            </w:tc>
            <w:tc>
              <w:tcPr>
                <w:tcW w:w="118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w:t>
                </w:r>
              </w:p>
            </w:tc>
            <w:tc>
              <w:tcPr>
                <w:tcW w:w="104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6</w:t>
                </w:r>
              </w:p>
            </w:tc>
            <w:tc>
              <w:tcPr>
                <w:tcW w:w="1357" w:type="dxa"/>
                <w:tcBorders>
                  <w:top w:val="single" w:sz="4" w:space="0" w:color="auto"/>
                  <w:left w:val="single" w:sz="4" w:space="0" w:color="auto"/>
                  <w:bottom w:val="single" w:sz="4" w:space="0" w:color="auto"/>
                  <w:right w:val="single" w:sz="4" w:space="0" w:color="auto"/>
                </w:tcBorders>
              </w:tcPr>
              <w:p>
                <w:pPr>
                  <w:jc w:val="center"/>
                  <w:rPr>
                    <w:sz w:val="20"/>
                  </w:rPr>
                </w:pPr>
                <w:r>
                  <w:rPr>
                    <w:sz w:val="20"/>
                  </w:rPr>
                  <w:t>7</w:t>
                </w:r>
              </w:p>
            </w:tc>
            <w:tc>
              <w:tcPr>
                <w:tcW w:w="139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8</w:t>
                </w:r>
              </w:p>
            </w:tc>
            <w:tc>
              <w:tcPr>
                <w:tcW w:w="1159" w:type="dxa"/>
                <w:tcBorders>
                  <w:top w:val="single" w:sz="4" w:space="0" w:color="auto"/>
                  <w:left w:val="single" w:sz="4" w:space="0" w:color="auto"/>
                  <w:bottom w:val="single" w:sz="4" w:space="0" w:color="auto"/>
                  <w:right w:val="single" w:sz="4" w:space="0" w:color="auto"/>
                </w:tcBorders>
              </w:tcPr>
              <w:p>
                <w:pPr>
                  <w:jc w:val="center"/>
                  <w:rPr>
                    <w:sz w:val="20"/>
                  </w:rPr>
                </w:pPr>
                <w:r>
                  <w:rPr>
                    <w:sz w:val="20"/>
                  </w:rPr>
                  <w:t>9</w:t>
                </w:r>
              </w:p>
            </w:tc>
            <w:tc>
              <w:tcPr>
                <w:tcW w:w="1159"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10</w:t>
                </w:r>
              </w:p>
            </w:tc>
            <w:tc>
              <w:tcPr>
                <w:tcW w:w="1159"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11</w:t>
                </w:r>
              </w:p>
            </w:tc>
            <w:tc>
              <w:tcPr>
                <w:tcW w:w="1249"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12</w:t>
                </w:r>
              </w:p>
            </w:tc>
          </w:tr>
          <w:tr>
            <w:trPr>
              <w:cantSplit/>
            </w:trPr>
            <w:tc>
              <w:tcPr>
                <w:tcW w:w="675" w:type="dxa"/>
                <w:tcBorders>
                  <w:top w:val="single" w:sz="4" w:space="0" w:color="auto"/>
                  <w:left w:val="single" w:sz="4" w:space="0" w:color="auto"/>
                  <w:bottom w:val="single" w:sz="4" w:space="0" w:color="auto"/>
                  <w:right w:val="single" w:sz="4" w:space="0" w:color="auto"/>
                </w:tcBorders>
              </w:tcPr>
              <w:p>
                <w:pPr>
                  <w:jc w:val="center"/>
                  <w:rPr>
                    <w:sz w:val="20"/>
                  </w:rPr>
                </w:pPr>
              </w:p>
            </w:tc>
            <w:tc>
              <w:tcPr>
                <w:tcW w:w="1985" w:type="dxa"/>
                <w:tcBorders>
                  <w:top w:val="single" w:sz="4" w:space="0" w:color="auto"/>
                  <w:left w:val="single" w:sz="4" w:space="0" w:color="auto"/>
                  <w:bottom w:val="single" w:sz="4" w:space="0" w:color="auto"/>
                  <w:right w:val="single" w:sz="4" w:space="0" w:color="auto"/>
                </w:tcBorders>
              </w:tcPr>
              <w:p>
                <w:pPr>
                  <w:jc w:val="center"/>
                  <w:rPr>
                    <w:sz w:val="20"/>
                  </w:rPr>
                </w:pP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p>
            </w:tc>
            <w:tc>
              <w:tcPr>
                <w:tcW w:w="1655" w:type="dxa"/>
                <w:tcBorders>
                  <w:top w:val="single" w:sz="4" w:space="0" w:color="auto"/>
                  <w:left w:val="single" w:sz="4" w:space="0" w:color="auto"/>
                  <w:bottom w:val="single" w:sz="4" w:space="0" w:color="auto"/>
                  <w:right w:val="single" w:sz="4" w:space="0" w:color="auto"/>
                </w:tcBorders>
              </w:tcPr>
              <w:p>
                <w:pPr>
                  <w:jc w:val="center"/>
                  <w:rPr>
                    <w:sz w:val="20"/>
                  </w:rPr>
                </w:pPr>
              </w:p>
            </w:tc>
            <w:tc>
              <w:tcPr>
                <w:tcW w:w="1185" w:type="dxa"/>
                <w:tcBorders>
                  <w:top w:val="single" w:sz="4" w:space="0" w:color="auto"/>
                  <w:left w:val="single" w:sz="4" w:space="0" w:color="auto"/>
                  <w:bottom w:val="single" w:sz="4" w:space="0" w:color="auto"/>
                  <w:right w:val="single" w:sz="4" w:space="0" w:color="auto"/>
                </w:tcBorders>
              </w:tcPr>
              <w:p>
                <w:pPr>
                  <w:jc w:val="center"/>
                  <w:rPr>
                    <w:sz w:val="20"/>
                  </w:rPr>
                </w:pPr>
              </w:p>
            </w:tc>
            <w:tc>
              <w:tcPr>
                <w:tcW w:w="1048" w:type="dxa"/>
                <w:tcBorders>
                  <w:top w:val="single" w:sz="4" w:space="0" w:color="auto"/>
                  <w:left w:val="single" w:sz="4" w:space="0" w:color="auto"/>
                  <w:bottom w:val="single" w:sz="4" w:space="0" w:color="auto"/>
                  <w:right w:val="single" w:sz="4" w:space="0" w:color="auto"/>
                </w:tcBorders>
              </w:tcPr>
              <w:p>
                <w:pPr>
                  <w:jc w:val="center"/>
                  <w:rPr>
                    <w:sz w:val="20"/>
                  </w:rPr>
                </w:pPr>
              </w:p>
            </w:tc>
            <w:tc>
              <w:tcPr>
                <w:tcW w:w="1357" w:type="dxa"/>
                <w:tcBorders>
                  <w:top w:val="single" w:sz="4" w:space="0" w:color="auto"/>
                  <w:left w:val="single" w:sz="4" w:space="0" w:color="auto"/>
                  <w:bottom w:val="single" w:sz="4" w:space="0" w:color="auto"/>
                  <w:right w:val="single" w:sz="4" w:space="0" w:color="auto"/>
                </w:tcBorders>
              </w:tcPr>
              <w:p>
                <w:pPr>
                  <w:jc w:val="center"/>
                  <w:rPr>
                    <w:sz w:val="20"/>
                  </w:rPr>
                </w:pPr>
              </w:p>
            </w:tc>
            <w:tc>
              <w:tcPr>
                <w:tcW w:w="1392" w:type="dxa"/>
                <w:tcBorders>
                  <w:top w:val="single" w:sz="4" w:space="0" w:color="auto"/>
                  <w:left w:val="single" w:sz="4" w:space="0" w:color="auto"/>
                  <w:bottom w:val="single" w:sz="4" w:space="0" w:color="auto"/>
                  <w:right w:val="single" w:sz="4" w:space="0" w:color="auto"/>
                </w:tcBorders>
              </w:tcPr>
              <w:p>
                <w:pPr>
                  <w:jc w:val="center"/>
                  <w:rPr>
                    <w:sz w:val="20"/>
                  </w:rPr>
                </w:pPr>
              </w:p>
            </w:tc>
            <w:tc>
              <w:tcPr>
                <w:tcW w:w="1159" w:type="dxa"/>
                <w:tcBorders>
                  <w:top w:val="single" w:sz="4" w:space="0" w:color="auto"/>
                  <w:left w:val="single" w:sz="4" w:space="0" w:color="auto"/>
                  <w:bottom w:val="single" w:sz="4" w:space="0" w:color="auto"/>
                  <w:right w:val="single" w:sz="4" w:space="0" w:color="auto"/>
                </w:tcBorders>
              </w:tcPr>
              <w:p>
                <w:pPr>
                  <w:jc w:val="center"/>
                  <w:rPr>
                    <w:sz w:val="20"/>
                  </w:rPr>
                </w:pPr>
              </w:p>
            </w:tc>
            <w:tc>
              <w:tcPr>
                <w:tcW w:w="1159" w:type="dxa"/>
                <w:tcBorders>
                  <w:top w:val="single" w:sz="4" w:space="0" w:color="auto"/>
                  <w:left w:val="single" w:sz="4" w:space="0" w:color="auto"/>
                  <w:bottom w:val="single" w:sz="4" w:space="0" w:color="auto"/>
                  <w:right w:val="single" w:sz="4" w:space="0" w:color="auto"/>
                </w:tcBorders>
              </w:tcPr>
              <w:p>
                <w:pPr>
                  <w:jc w:val="center"/>
                  <w:rPr>
                    <w:sz w:val="20"/>
                  </w:rPr>
                </w:pPr>
              </w:p>
            </w:tc>
            <w:tc>
              <w:tcPr>
                <w:tcW w:w="1159" w:type="dxa"/>
                <w:tcBorders>
                  <w:top w:val="single" w:sz="4" w:space="0" w:color="auto"/>
                  <w:left w:val="single" w:sz="4" w:space="0" w:color="auto"/>
                  <w:bottom w:val="single" w:sz="4" w:space="0" w:color="auto"/>
                  <w:right w:val="single" w:sz="4" w:space="0" w:color="auto"/>
                </w:tcBorders>
              </w:tcPr>
              <w:p>
                <w:pPr>
                  <w:jc w:val="center"/>
                  <w:rPr>
                    <w:sz w:val="20"/>
                  </w:rPr>
                </w:pPr>
              </w:p>
            </w:tc>
            <w:tc>
              <w:tcPr>
                <w:tcW w:w="1249"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Pr>
            <w:tc>
              <w:tcPr>
                <w:tcW w:w="675" w:type="dxa"/>
                <w:tcBorders>
                  <w:top w:val="single" w:sz="4" w:space="0" w:color="auto"/>
                  <w:left w:val="single" w:sz="4" w:space="0" w:color="auto"/>
                  <w:bottom w:val="single" w:sz="4" w:space="0" w:color="auto"/>
                  <w:right w:val="single" w:sz="4" w:space="0" w:color="auto"/>
                </w:tcBorders>
              </w:tcPr>
              <w:p>
                <w:pPr>
                  <w:jc w:val="center"/>
                  <w:rPr>
                    <w:sz w:val="20"/>
                  </w:rPr>
                </w:pPr>
              </w:p>
            </w:tc>
            <w:tc>
              <w:tcPr>
                <w:tcW w:w="1985" w:type="dxa"/>
                <w:tcBorders>
                  <w:top w:val="single" w:sz="4" w:space="0" w:color="auto"/>
                  <w:left w:val="single" w:sz="4" w:space="0" w:color="auto"/>
                  <w:bottom w:val="single" w:sz="4" w:space="0" w:color="auto"/>
                  <w:right w:val="single" w:sz="4" w:space="0" w:color="auto"/>
                </w:tcBorders>
              </w:tcPr>
              <w:p>
                <w:pPr>
                  <w:jc w:val="center"/>
                  <w:rPr>
                    <w:sz w:val="20"/>
                  </w:rPr>
                </w:pP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p>
            </w:tc>
            <w:tc>
              <w:tcPr>
                <w:tcW w:w="1655" w:type="dxa"/>
                <w:tcBorders>
                  <w:top w:val="single" w:sz="4" w:space="0" w:color="auto"/>
                  <w:left w:val="single" w:sz="4" w:space="0" w:color="auto"/>
                  <w:bottom w:val="single" w:sz="4" w:space="0" w:color="auto"/>
                  <w:right w:val="single" w:sz="4" w:space="0" w:color="auto"/>
                </w:tcBorders>
              </w:tcPr>
              <w:p>
                <w:pPr>
                  <w:jc w:val="center"/>
                  <w:rPr>
                    <w:sz w:val="20"/>
                  </w:rPr>
                </w:pPr>
              </w:p>
            </w:tc>
            <w:tc>
              <w:tcPr>
                <w:tcW w:w="1185" w:type="dxa"/>
                <w:tcBorders>
                  <w:top w:val="single" w:sz="4" w:space="0" w:color="auto"/>
                  <w:left w:val="single" w:sz="4" w:space="0" w:color="auto"/>
                  <w:bottom w:val="single" w:sz="4" w:space="0" w:color="auto"/>
                  <w:right w:val="single" w:sz="4" w:space="0" w:color="auto"/>
                </w:tcBorders>
              </w:tcPr>
              <w:p>
                <w:pPr>
                  <w:jc w:val="center"/>
                  <w:rPr>
                    <w:sz w:val="20"/>
                  </w:rPr>
                </w:pPr>
              </w:p>
            </w:tc>
            <w:tc>
              <w:tcPr>
                <w:tcW w:w="1048" w:type="dxa"/>
                <w:tcBorders>
                  <w:top w:val="single" w:sz="4" w:space="0" w:color="auto"/>
                  <w:left w:val="single" w:sz="4" w:space="0" w:color="auto"/>
                  <w:bottom w:val="single" w:sz="4" w:space="0" w:color="auto"/>
                  <w:right w:val="single" w:sz="4" w:space="0" w:color="auto"/>
                </w:tcBorders>
              </w:tcPr>
              <w:p>
                <w:pPr>
                  <w:jc w:val="center"/>
                  <w:rPr>
                    <w:sz w:val="20"/>
                  </w:rPr>
                </w:pPr>
              </w:p>
            </w:tc>
            <w:tc>
              <w:tcPr>
                <w:tcW w:w="1357" w:type="dxa"/>
                <w:tcBorders>
                  <w:top w:val="single" w:sz="4" w:space="0" w:color="auto"/>
                  <w:left w:val="single" w:sz="4" w:space="0" w:color="auto"/>
                  <w:bottom w:val="single" w:sz="4" w:space="0" w:color="auto"/>
                  <w:right w:val="single" w:sz="4" w:space="0" w:color="auto"/>
                </w:tcBorders>
              </w:tcPr>
              <w:p>
                <w:pPr>
                  <w:jc w:val="center"/>
                  <w:rPr>
                    <w:sz w:val="20"/>
                  </w:rPr>
                </w:pPr>
              </w:p>
            </w:tc>
            <w:tc>
              <w:tcPr>
                <w:tcW w:w="1392" w:type="dxa"/>
                <w:tcBorders>
                  <w:top w:val="single" w:sz="4" w:space="0" w:color="auto"/>
                  <w:left w:val="single" w:sz="4" w:space="0" w:color="auto"/>
                  <w:bottom w:val="single" w:sz="4" w:space="0" w:color="auto"/>
                  <w:right w:val="single" w:sz="4" w:space="0" w:color="auto"/>
                </w:tcBorders>
              </w:tcPr>
              <w:p>
                <w:pPr>
                  <w:jc w:val="center"/>
                  <w:rPr>
                    <w:sz w:val="20"/>
                  </w:rPr>
                </w:pPr>
              </w:p>
            </w:tc>
            <w:tc>
              <w:tcPr>
                <w:tcW w:w="1159" w:type="dxa"/>
                <w:tcBorders>
                  <w:top w:val="single" w:sz="4" w:space="0" w:color="auto"/>
                  <w:left w:val="single" w:sz="4" w:space="0" w:color="auto"/>
                  <w:bottom w:val="single" w:sz="4" w:space="0" w:color="auto"/>
                  <w:right w:val="single" w:sz="4" w:space="0" w:color="auto"/>
                </w:tcBorders>
              </w:tcPr>
              <w:p>
                <w:pPr>
                  <w:jc w:val="center"/>
                  <w:rPr>
                    <w:sz w:val="20"/>
                  </w:rPr>
                </w:pPr>
              </w:p>
            </w:tc>
            <w:tc>
              <w:tcPr>
                <w:tcW w:w="1159" w:type="dxa"/>
                <w:tcBorders>
                  <w:top w:val="single" w:sz="4" w:space="0" w:color="auto"/>
                  <w:left w:val="single" w:sz="4" w:space="0" w:color="auto"/>
                  <w:bottom w:val="single" w:sz="4" w:space="0" w:color="auto"/>
                  <w:right w:val="single" w:sz="4" w:space="0" w:color="auto"/>
                </w:tcBorders>
              </w:tcPr>
              <w:p>
                <w:pPr>
                  <w:jc w:val="center"/>
                  <w:rPr>
                    <w:sz w:val="20"/>
                  </w:rPr>
                </w:pPr>
              </w:p>
            </w:tc>
            <w:tc>
              <w:tcPr>
                <w:tcW w:w="1159" w:type="dxa"/>
                <w:tcBorders>
                  <w:top w:val="single" w:sz="4" w:space="0" w:color="auto"/>
                  <w:left w:val="single" w:sz="4" w:space="0" w:color="auto"/>
                  <w:bottom w:val="single" w:sz="4" w:space="0" w:color="auto"/>
                  <w:right w:val="single" w:sz="4" w:space="0" w:color="auto"/>
                </w:tcBorders>
              </w:tcPr>
              <w:p>
                <w:pPr>
                  <w:jc w:val="center"/>
                  <w:rPr>
                    <w:sz w:val="20"/>
                  </w:rPr>
                </w:pPr>
              </w:p>
            </w:tc>
            <w:tc>
              <w:tcPr>
                <w:tcW w:w="1249"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Pr>
            <w:tc>
              <w:tcPr>
                <w:tcW w:w="675" w:type="dxa"/>
                <w:tcBorders>
                  <w:top w:val="single" w:sz="4" w:space="0" w:color="auto"/>
                  <w:left w:val="single" w:sz="4" w:space="0" w:color="auto"/>
                  <w:bottom w:val="single" w:sz="4" w:space="0" w:color="auto"/>
                  <w:right w:val="single" w:sz="4" w:space="0" w:color="auto"/>
                </w:tcBorders>
              </w:tcPr>
              <w:p>
                <w:pPr>
                  <w:jc w:val="center"/>
                  <w:rPr>
                    <w:sz w:val="20"/>
                  </w:rPr>
                </w:pPr>
              </w:p>
            </w:tc>
            <w:tc>
              <w:tcPr>
                <w:tcW w:w="1985" w:type="dxa"/>
                <w:tcBorders>
                  <w:top w:val="single" w:sz="4" w:space="0" w:color="auto"/>
                  <w:left w:val="single" w:sz="4" w:space="0" w:color="auto"/>
                  <w:bottom w:val="single" w:sz="4" w:space="0" w:color="auto"/>
                  <w:right w:val="single" w:sz="4" w:space="0" w:color="auto"/>
                </w:tcBorders>
              </w:tcPr>
              <w:p>
                <w:pPr>
                  <w:jc w:val="center"/>
                  <w:rPr>
                    <w:sz w:val="20"/>
                  </w:rPr>
                </w:pP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p>
            </w:tc>
            <w:tc>
              <w:tcPr>
                <w:tcW w:w="1655" w:type="dxa"/>
                <w:tcBorders>
                  <w:top w:val="single" w:sz="4" w:space="0" w:color="auto"/>
                  <w:left w:val="single" w:sz="4" w:space="0" w:color="auto"/>
                  <w:bottom w:val="single" w:sz="4" w:space="0" w:color="auto"/>
                  <w:right w:val="single" w:sz="4" w:space="0" w:color="auto"/>
                </w:tcBorders>
              </w:tcPr>
              <w:p>
                <w:pPr>
                  <w:jc w:val="center"/>
                  <w:rPr>
                    <w:sz w:val="20"/>
                  </w:rPr>
                </w:pPr>
              </w:p>
            </w:tc>
            <w:tc>
              <w:tcPr>
                <w:tcW w:w="1185" w:type="dxa"/>
                <w:tcBorders>
                  <w:top w:val="single" w:sz="4" w:space="0" w:color="auto"/>
                  <w:left w:val="single" w:sz="4" w:space="0" w:color="auto"/>
                  <w:bottom w:val="single" w:sz="4" w:space="0" w:color="auto"/>
                  <w:right w:val="single" w:sz="4" w:space="0" w:color="auto"/>
                </w:tcBorders>
              </w:tcPr>
              <w:p>
                <w:pPr>
                  <w:jc w:val="center"/>
                  <w:rPr>
                    <w:sz w:val="20"/>
                  </w:rPr>
                </w:pPr>
              </w:p>
            </w:tc>
            <w:tc>
              <w:tcPr>
                <w:tcW w:w="1048" w:type="dxa"/>
                <w:tcBorders>
                  <w:top w:val="single" w:sz="4" w:space="0" w:color="auto"/>
                  <w:left w:val="single" w:sz="4" w:space="0" w:color="auto"/>
                  <w:bottom w:val="single" w:sz="4" w:space="0" w:color="auto"/>
                  <w:right w:val="single" w:sz="4" w:space="0" w:color="auto"/>
                </w:tcBorders>
              </w:tcPr>
              <w:p>
                <w:pPr>
                  <w:jc w:val="center"/>
                  <w:rPr>
                    <w:sz w:val="20"/>
                  </w:rPr>
                </w:pPr>
              </w:p>
            </w:tc>
            <w:tc>
              <w:tcPr>
                <w:tcW w:w="1357" w:type="dxa"/>
                <w:tcBorders>
                  <w:top w:val="single" w:sz="4" w:space="0" w:color="auto"/>
                  <w:left w:val="single" w:sz="4" w:space="0" w:color="auto"/>
                  <w:bottom w:val="single" w:sz="4" w:space="0" w:color="auto"/>
                  <w:right w:val="single" w:sz="4" w:space="0" w:color="auto"/>
                </w:tcBorders>
              </w:tcPr>
              <w:p>
                <w:pPr>
                  <w:jc w:val="center"/>
                  <w:rPr>
                    <w:sz w:val="20"/>
                  </w:rPr>
                </w:pPr>
              </w:p>
            </w:tc>
            <w:tc>
              <w:tcPr>
                <w:tcW w:w="1392" w:type="dxa"/>
                <w:tcBorders>
                  <w:top w:val="single" w:sz="4" w:space="0" w:color="auto"/>
                  <w:left w:val="single" w:sz="4" w:space="0" w:color="auto"/>
                  <w:bottom w:val="single" w:sz="4" w:space="0" w:color="auto"/>
                  <w:right w:val="single" w:sz="4" w:space="0" w:color="auto"/>
                </w:tcBorders>
              </w:tcPr>
              <w:p>
                <w:pPr>
                  <w:jc w:val="center"/>
                  <w:rPr>
                    <w:sz w:val="20"/>
                  </w:rPr>
                </w:pPr>
              </w:p>
            </w:tc>
            <w:tc>
              <w:tcPr>
                <w:tcW w:w="1159" w:type="dxa"/>
                <w:tcBorders>
                  <w:top w:val="single" w:sz="4" w:space="0" w:color="auto"/>
                  <w:left w:val="single" w:sz="4" w:space="0" w:color="auto"/>
                  <w:bottom w:val="single" w:sz="4" w:space="0" w:color="auto"/>
                  <w:right w:val="single" w:sz="4" w:space="0" w:color="auto"/>
                </w:tcBorders>
              </w:tcPr>
              <w:p>
                <w:pPr>
                  <w:jc w:val="center"/>
                  <w:rPr>
                    <w:sz w:val="20"/>
                  </w:rPr>
                </w:pPr>
              </w:p>
            </w:tc>
            <w:tc>
              <w:tcPr>
                <w:tcW w:w="1159" w:type="dxa"/>
                <w:tcBorders>
                  <w:top w:val="single" w:sz="4" w:space="0" w:color="auto"/>
                  <w:left w:val="single" w:sz="4" w:space="0" w:color="auto"/>
                  <w:bottom w:val="single" w:sz="4" w:space="0" w:color="auto"/>
                  <w:right w:val="single" w:sz="4" w:space="0" w:color="auto"/>
                </w:tcBorders>
              </w:tcPr>
              <w:p>
                <w:pPr>
                  <w:jc w:val="center"/>
                  <w:rPr>
                    <w:sz w:val="20"/>
                  </w:rPr>
                </w:pPr>
              </w:p>
            </w:tc>
            <w:tc>
              <w:tcPr>
                <w:tcW w:w="1159" w:type="dxa"/>
                <w:tcBorders>
                  <w:top w:val="single" w:sz="4" w:space="0" w:color="auto"/>
                  <w:left w:val="single" w:sz="4" w:space="0" w:color="auto"/>
                  <w:bottom w:val="single" w:sz="4" w:space="0" w:color="auto"/>
                  <w:right w:val="single" w:sz="4" w:space="0" w:color="auto"/>
                </w:tcBorders>
              </w:tcPr>
              <w:p>
                <w:pPr>
                  <w:jc w:val="center"/>
                  <w:rPr>
                    <w:sz w:val="20"/>
                  </w:rPr>
                </w:pPr>
              </w:p>
            </w:tc>
            <w:tc>
              <w:tcPr>
                <w:tcW w:w="1249"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Pr>
            <w:tc>
              <w:tcPr>
                <w:tcW w:w="675" w:type="dxa"/>
                <w:tcBorders>
                  <w:top w:val="single" w:sz="4" w:space="0" w:color="auto"/>
                  <w:left w:val="single" w:sz="4" w:space="0" w:color="auto"/>
                  <w:bottom w:val="single" w:sz="4" w:space="0" w:color="auto"/>
                  <w:right w:val="single" w:sz="4" w:space="0" w:color="auto"/>
                </w:tcBorders>
              </w:tcPr>
              <w:p>
                <w:pPr>
                  <w:jc w:val="center"/>
                  <w:rPr>
                    <w:sz w:val="20"/>
                  </w:rPr>
                </w:pPr>
              </w:p>
            </w:tc>
            <w:tc>
              <w:tcPr>
                <w:tcW w:w="1985" w:type="dxa"/>
                <w:tcBorders>
                  <w:top w:val="single" w:sz="4" w:space="0" w:color="auto"/>
                  <w:left w:val="single" w:sz="4" w:space="0" w:color="auto"/>
                  <w:bottom w:val="single" w:sz="4" w:space="0" w:color="auto"/>
                  <w:right w:val="single" w:sz="4" w:space="0" w:color="auto"/>
                </w:tcBorders>
              </w:tcPr>
              <w:p>
                <w:pPr>
                  <w:jc w:val="center"/>
                  <w:rPr>
                    <w:sz w:val="20"/>
                  </w:rPr>
                </w:pP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p>
            </w:tc>
            <w:tc>
              <w:tcPr>
                <w:tcW w:w="1655" w:type="dxa"/>
                <w:tcBorders>
                  <w:top w:val="single" w:sz="4" w:space="0" w:color="auto"/>
                  <w:left w:val="single" w:sz="4" w:space="0" w:color="auto"/>
                  <w:bottom w:val="single" w:sz="4" w:space="0" w:color="auto"/>
                  <w:right w:val="single" w:sz="4" w:space="0" w:color="auto"/>
                </w:tcBorders>
              </w:tcPr>
              <w:p>
                <w:pPr>
                  <w:jc w:val="center"/>
                  <w:rPr>
                    <w:sz w:val="20"/>
                  </w:rPr>
                </w:pPr>
              </w:p>
            </w:tc>
            <w:tc>
              <w:tcPr>
                <w:tcW w:w="1185" w:type="dxa"/>
                <w:tcBorders>
                  <w:top w:val="single" w:sz="4" w:space="0" w:color="auto"/>
                  <w:left w:val="single" w:sz="4" w:space="0" w:color="auto"/>
                  <w:bottom w:val="single" w:sz="4" w:space="0" w:color="auto"/>
                  <w:right w:val="single" w:sz="4" w:space="0" w:color="auto"/>
                </w:tcBorders>
              </w:tcPr>
              <w:p>
                <w:pPr>
                  <w:jc w:val="center"/>
                  <w:rPr>
                    <w:sz w:val="20"/>
                  </w:rPr>
                </w:pPr>
              </w:p>
            </w:tc>
            <w:tc>
              <w:tcPr>
                <w:tcW w:w="1048" w:type="dxa"/>
                <w:tcBorders>
                  <w:top w:val="single" w:sz="4" w:space="0" w:color="auto"/>
                  <w:left w:val="single" w:sz="4" w:space="0" w:color="auto"/>
                  <w:bottom w:val="single" w:sz="4" w:space="0" w:color="auto"/>
                  <w:right w:val="single" w:sz="4" w:space="0" w:color="auto"/>
                </w:tcBorders>
              </w:tcPr>
              <w:p>
                <w:pPr>
                  <w:jc w:val="center"/>
                  <w:rPr>
                    <w:sz w:val="20"/>
                  </w:rPr>
                </w:pPr>
              </w:p>
            </w:tc>
            <w:tc>
              <w:tcPr>
                <w:tcW w:w="1357" w:type="dxa"/>
                <w:tcBorders>
                  <w:top w:val="single" w:sz="4" w:space="0" w:color="auto"/>
                  <w:left w:val="single" w:sz="4" w:space="0" w:color="auto"/>
                  <w:bottom w:val="single" w:sz="4" w:space="0" w:color="auto"/>
                  <w:right w:val="single" w:sz="4" w:space="0" w:color="auto"/>
                </w:tcBorders>
              </w:tcPr>
              <w:p>
                <w:pPr>
                  <w:jc w:val="center"/>
                  <w:rPr>
                    <w:sz w:val="20"/>
                  </w:rPr>
                </w:pPr>
              </w:p>
            </w:tc>
            <w:tc>
              <w:tcPr>
                <w:tcW w:w="1392" w:type="dxa"/>
                <w:tcBorders>
                  <w:top w:val="single" w:sz="4" w:space="0" w:color="auto"/>
                  <w:left w:val="single" w:sz="4" w:space="0" w:color="auto"/>
                  <w:bottom w:val="single" w:sz="4" w:space="0" w:color="auto"/>
                  <w:right w:val="single" w:sz="4" w:space="0" w:color="auto"/>
                </w:tcBorders>
              </w:tcPr>
              <w:p>
                <w:pPr>
                  <w:jc w:val="center"/>
                  <w:rPr>
                    <w:sz w:val="20"/>
                  </w:rPr>
                </w:pPr>
              </w:p>
            </w:tc>
            <w:tc>
              <w:tcPr>
                <w:tcW w:w="1159" w:type="dxa"/>
                <w:tcBorders>
                  <w:top w:val="single" w:sz="4" w:space="0" w:color="auto"/>
                  <w:left w:val="single" w:sz="4" w:space="0" w:color="auto"/>
                  <w:bottom w:val="single" w:sz="4" w:space="0" w:color="auto"/>
                  <w:right w:val="single" w:sz="4" w:space="0" w:color="auto"/>
                </w:tcBorders>
              </w:tcPr>
              <w:p>
                <w:pPr>
                  <w:jc w:val="center"/>
                  <w:rPr>
                    <w:sz w:val="20"/>
                  </w:rPr>
                </w:pPr>
              </w:p>
            </w:tc>
            <w:tc>
              <w:tcPr>
                <w:tcW w:w="1159" w:type="dxa"/>
                <w:tcBorders>
                  <w:top w:val="single" w:sz="4" w:space="0" w:color="auto"/>
                  <w:left w:val="single" w:sz="4" w:space="0" w:color="auto"/>
                  <w:bottom w:val="single" w:sz="4" w:space="0" w:color="auto"/>
                  <w:right w:val="single" w:sz="4" w:space="0" w:color="auto"/>
                </w:tcBorders>
              </w:tcPr>
              <w:p>
                <w:pPr>
                  <w:jc w:val="center"/>
                  <w:rPr>
                    <w:sz w:val="20"/>
                  </w:rPr>
                </w:pPr>
              </w:p>
            </w:tc>
            <w:tc>
              <w:tcPr>
                <w:tcW w:w="1159" w:type="dxa"/>
                <w:tcBorders>
                  <w:top w:val="single" w:sz="4" w:space="0" w:color="auto"/>
                  <w:left w:val="single" w:sz="4" w:space="0" w:color="auto"/>
                  <w:bottom w:val="single" w:sz="4" w:space="0" w:color="auto"/>
                  <w:right w:val="single" w:sz="4" w:space="0" w:color="auto"/>
                </w:tcBorders>
              </w:tcPr>
              <w:p>
                <w:pPr>
                  <w:jc w:val="center"/>
                  <w:rPr>
                    <w:sz w:val="20"/>
                  </w:rPr>
                </w:pPr>
              </w:p>
            </w:tc>
            <w:tc>
              <w:tcPr>
                <w:tcW w:w="1249"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Pr>
            <w:tc>
              <w:tcPr>
                <w:tcW w:w="675" w:type="dxa"/>
                <w:tcBorders>
                  <w:top w:val="single" w:sz="4" w:space="0" w:color="auto"/>
                  <w:left w:val="single" w:sz="4" w:space="0" w:color="auto"/>
                  <w:bottom w:val="single" w:sz="4" w:space="0" w:color="auto"/>
                  <w:right w:val="single" w:sz="4" w:space="0" w:color="auto"/>
                </w:tcBorders>
              </w:tcPr>
              <w:p>
                <w:pPr>
                  <w:jc w:val="center"/>
                  <w:rPr>
                    <w:sz w:val="20"/>
                  </w:rPr>
                </w:pPr>
              </w:p>
            </w:tc>
            <w:tc>
              <w:tcPr>
                <w:tcW w:w="1985" w:type="dxa"/>
                <w:tcBorders>
                  <w:top w:val="single" w:sz="4" w:space="0" w:color="auto"/>
                  <w:left w:val="single" w:sz="4" w:space="0" w:color="auto"/>
                  <w:bottom w:val="single" w:sz="4" w:space="0" w:color="auto"/>
                  <w:right w:val="single" w:sz="4" w:space="0" w:color="auto"/>
                </w:tcBorders>
              </w:tcPr>
              <w:p>
                <w:pPr>
                  <w:jc w:val="center"/>
                  <w:rPr>
                    <w:sz w:val="20"/>
                  </w:rPr>
                </w:pP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p>
            </w:tc>
            <w:tc>
              <w:tcPr>
                <w:tcW w:w="1655" w:type="dxa"/>
                <w:tcBorders>
                  <w:top w:val="single" w:sz="4" w:space="0" w:color="auto"/>
                  <w:left w:val="single" w:sz="4" w:space="0" w:color="auto"/>
                  <w:bottom w:val="single" w:sz="4" w:space="0" w:color="auto"/>
                  <w:right w:val="single" w:sz="4" w:space="0" w:color="auto"/>
                </w:tcBorders>
              </w:tcPr>
              <w:p>
                <w:pPr>
                  <w:jc w:val="center"/>
                  <w:rPr>
                    <w:sz w:val="20"/>
                  </w:rPr>
                </w:pPr>
              </w:p>
            </w:tc>
            <w:tc>
              <w:tcPr>
                <w:tcW w:w="1185" w:type="dxa"/>
                <w:tcBorders>
                  <w:top w:val="single" w:sz="4" w:space="0" w:color="auto"/>
                  <w:left w:val="single" w:sz="4" w:space="0" w:color="auto"/>
                  <w:bottom w:val="single" w:sz="4" w:space="0" w:color="auto"/>
                  <w:right w:val="single" w:sz="4" w:space="0" w:color="auto"/>
                </w:tcBorders>
              </w:tcPr>
              <w:p>
                <w:pPr>
                  <w:jc w:val="center"/>
                  <w:rPr>
                    <w:sz w:val="20"/>
                  </w:rPr>
                </w:pPr>
              </w:p>
            </w:tc>
            <w:tc>
              <w:tcPr>
                <w:tcW w:w="1048" w:type="dxa"/>
                <w:tcBorders>
                  <w:top w:val="single" w:sz="4" w:space="0" w:color="auto"/>
                  <w:left w:val="single" w:sz="4" w:space="0" w:color="auto"/>
                  <w:bottom w:val="single" w:sz="4" w:space="0" w:color="auto"/>
                  <w:right w:val="single" w:sz="4" w:space="0" w:color="auto"/>
                </w:tcBorders>
              </w:tcPr>
              <w:p>
                <w:pPr>
                  <w:jc w:val="center"/>
                  <w:rPr>
                    <w:sz w:val="20"/>
                  </w:rPr>
                </w:pPr>
              </w:p>
            </w:tc>
            <w:tc>
              <w:tcPr>
                <w:tcW w:w="1357" w:type="dxa"/>
                <w:tcBorders>
                  <w:top w:val="single" w:sz="4" w:space="0" w:color="auto"/>
                  <w:left w:val="single" w:sz="4" w:space="0" w:color="auto"/>
                  <w:bottom w:val="single" w:sz="4" w:space="0" w:color="auto"/>
                  <w:right w:val="single" w:sz="4" w:space="0" w:color="auto"/>
                </w:tcBorders>
              </w:tcPr>
              <w:p>
                <w:pPr>
                  <w:jc w:val="center"/>
                  <w:rPr>
                    <w:sz w:val="20"/>
                  </w:rPr>
                </w:pPr>
              </w:p>
            </w:tc>
            <w:tc>
              <w:tcPr>
                <w:tcW w:w="1392" w:type="dxa"/>
                <w:tcBorders>
                  <w:top w:val="single" w:sz="4" w:space="0" w:color="auto"/>
                  <w:left w:val="single" w:sz="4" w:space="0" w:color="auto"/>
                  <w:bottom w:val="single" w:sz="4" w:space="0" w:color="auto"/>
                  <w:right w:val="single" w:sz="4" w:space="0" w:color="auto"/>
                </w:tcBorders>
              </w:tcPr>
              <w:p>
                <w:pPr>
                  <w:jc w:val="center"/>
                  <w:rPr>
                    <w:sz w:val="20"/>
                  </w:rPr>
                </w:pPr>
              </w:p>
            </w:tc>
            <w:tc>
              <w:tcPr>
                <w:tcW w:w="1159" w:type="dxa"/>
                <w:tcBorders>
                  <w:top w:val="single" w:sz="4" w:space="0" w:color="auto"/>
                  <w:left w:val="single" w:sz="4" w:space="0" w:color="auto"/>
                  <w:bottom w:val="single" w:sz="4" w:space="0" w:color="auto"/>
                  <w:right w:val="single" w:sz="4" w:space="0" w:color="auto"/>
                </w:tcBorders>
              </w:tcPr>
              <w:p>
                <w:pPr>
                  <w:jc w:val="center"/>
                  <w:rPr>
                    <w:sz w:val="20"/>
                  </w:rPr>
                </w:pPr>
              </w:p>
            </w:tc>
            <w:tc>
              <w:tcPr>
                <w:tcW w:w="1159" w:type="dxa"/>
                <w:tcBorders>
                  <w:top w:val="single" w:sz="4" w:space="0" w:color="auto"/>
                  <w:left w:val="single" w:sz="4" w:space="0" w:color="auto"/>
                  <w:bottom w:val="single" w:sz="4" w:space="0" w:color="auto"/>
                  <w:right w:val="single" w:sz="4" w:space="0" w:color="auto"/>
                </w:tcBorders>
              </w:tcPr>
              <w:p>
                <w:pPr>
                  <w:jc w:val="center"/>
                  <w:rPr>
                    <w:sz w:val="20"/>
                  </w:rPr>
                </w:pPr>
              </w:p>
            </w:tc>
            <w:tc>
              <w:tcPr>
                <w:tcW w:w="1159" w:type="dxa"/>
                <w:tcBorders>
                  <w:top w:val="single" w:sz="4" w:space="0" w:color="auto"/>
                  <w:left w:val="single" w:sz="4" w:space="0" w:color="auto"/>
                  <w:bottom w:val="single" w:sz="4" w:space="0" w:color="auto"/>
                  <w:right w:val="single" w:sz="4" w:space="0" w:color="auto"/>
                </w:tcBorders>
              </w:tcPr>
              <w:p>
                <w:pPr>
                  <w:jc w:val="center"/>
                  <w:rPr>
                    <w:sz w:val="20"/>
                  </w:rPr>
                </w:pPr>
              </w:p>
            </w:tc>
            <w:tc>
              <w:tcPr>
                <w:tcW w:w="1249" w:type="dxa"/>
                <w:tcBorders>
                  <w:top w:val="single" w:sz="4" w:space="0" w:color="auto"/>
                  <w:left w:val="single" w:sz="4" w:space="0" w:color="auto"/>
                  <w:bottom w:val="single" w:sz="4" w:space="0" w:color="auto"/>
                  <w:right w:val="single" w:sz="4" w:space="0" w:color="auto"/>
                </w:tcBorders>
              </w:tcPr>
              <w:p>
                <w:pPr>
                  <w:jc w:val="center"/>
                  <w:rPr>
                    <w:sz w:val="20"/>
                  </w:rPr>
                </w:pPr>
              </w:p>
            </w:tc>
          </w:tr>
        </w:tbl>
        <w:p>
          <w:pPr>
            <w:ind w:firstLine="709"/>
            <w:jc w:val="both"/>
          </w:pPr>
        </w:p>
        <w:tbl>
          <w:tblPr>
            <w:tblW w:w="9637"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0" w:type="dxa"/>
              <w:right w:w="0" w:type="dxa"/>
            </w:tblCellMar>
            <w:tblLook w:val="0000" w:firstRow="0" w:lastRow="0" w:firstColumn="0" w:lastColumn="0" w:noHBand="0" w:noVBand="0"/>
          </w:tblPr>
          <w:tblGrid>
            <w:gridCol w:w="433"/>
            <w:gridCol w:w="1257"/>
            <w:gridCol w:w="722"/>
            <w:gridCol w:w="1049"/>
            <w:gridCol w:w="754"/>
            <w:gridCol w:w="668"/>
            <w:gridCol w:w="862"/>
            <w:gridCol w:w="884"/>
            <w:gridCol w:w="738"/>
            <w:gridCol w:w="738"/>
            <w:gridCol w:w="738"/>
            <w:gridCol w:w="794"/>
          </w:tblGrid>
          <w:tr>
            <w:trPr>
              <w:cantSplit/>
              <w:trHeight w:hRule="exact" w:val="306"/>
            </w:trPr>
            <w:tc>
              <w:tcPr>
                <w:tcW w:w="675" w:type="dxa"/>
                <w:vMerge w:val="restart"/>
                <w:tcBorders>
                  <w:top w:val="single" w:sz="2" w:space="0" w:color="auto"/>
                  <w:left w:val="single" w:sz="2" w:space="0" w:color="auto"/>
                  <w:bottom w:val="single" w:sz="2" w:space="0" w:color="auto"/>
                  <w:right w:val="single" w:sz="2" w:space="0" w:color="auto"/>
                </w:tcBorders>
              </w:tcPr>
              <w:p>
                <w:pPr>
                  <w:jc w:val="center"/>
                  <w:rPr>
                    <w:sz w:val="20"/>
                  </w:rPr>
                </w:pPr>
                <w:r>
                  <w:rPr>
                    <w:sz w:val="20"/>
                  </w:rPr>
                  <w:t>Eil. Nr.</w:t>
                </w:r>
              </w:p>
            </w:tc>
            <w:tc>
              <w:tcPr>
                <w:tcW w:w="1985" w:type="dxa"/>
                <w:vMerge w:val="restart"/>
                <w:tcBorders>
                  <w:top w:val="single" w:sz="2" w:space="0" w:color="auto"/>
                  <w:left w:val="single" w:sz="2" w:space="0" w:color="auto"/>
                  <w:bottom w:val="single" w:sz="2" w:space="0" w:color="auto"/>
                  <w:right w:val="single" w:sz="2" w:space="0" w:color="auto"/>
                </w:tcBorders>
              </w:tcPr>
              <w:p>
                <w:pPr>
                  <w:jc w:val="center"/>
                  <w:rPr>
                    <w:sz w:val="20"/>
                  </w:rPr>
                </w:pPr>
                <w:r>
                  <w:rPr>
                    <w:sz w:val="20"/>
                  </w:rPr>
                  <w:t>Statinio pavadinimas, paskirtis</w:t>
                </w:r>
              </w:p>
            </w:tc>
            <w:tc>
              <w:tcPr>
                <w:tcW w:w="1134" w:type="dxa"/>
                <w:vMerge w:val="restart"/>
                <w:tcBorders>
                  <w:top w:val="single" w:sz="2" w:space="0" w:color="auto"/>
                  <w:left w:val="single" w:sz="2" w:space="0" w:color="auto"/>
                  <w:bottom w:val="single" w:sz="2" w:space="0" w:color="auto"/>
                  <w:right w:val="single" w:sz="2" w:space="0" w:color="auto"/>
                </w:tcBorders>
              </w:tcPr>
              <w:p>
                <w:pPr>
                  <w:jc w:val="center"/>
                  <w:rPr>
                    <w:sz w:val="20"/>
                  </w:rPr>
                </w:pPr>
                <w:r>
                  <w:rPr>
                    <w:sz w:val="20"/>
                  </w:rPr>
                  <w:t>Statinio adresas</w:t>
                </w:r>
              </w:p>
            </w:tc>
            <w:tc>
              <w:tcPr>
                <w:tcW w:w="1655" w:type="dxa"/>
                <w:vMerge w:val="restart"/>
                <w:tcBorders>
                  <w:top w:val="single" w:sz="2" w:space="0" w:color="auto"/>
                  <w:left w:val="single" w:sz="2" w:space="0" w:color="auto"/>
                  <w:bottom w:val="single" w:sz="2" w:space="0" w:color="auto"/>
                  <w:right w:val="single" w:sz="2" w:space="0" w:color="auto"/>
                </w:tcBorders>
              </w:tcPr>
              <w:p>
                <w:pPr>
                  <w:jc w:val="center"/>
                  <w:rPr>
                    <w:sz w:val="20"/>
                  </w:rPr>
                </w:pPr>
                <w:r>
                  <w:rPr>
                    <w:sz w:val="20"/>
                  </w:rPr>
                  <w:t>Statinys realizuotinas ar nerealizuotinas</w:t>
                </w:r>
              </w:p>
            </w:tc>
            <w:tc>
              <w:tcPr>
                <w:tcW w:w="2233" w:type="dxa"/>
                <w:gridSpan w:val="2"/>
                <w:tcBorders>
                  <w:top w:val="single" w:sz="2" w:space="0" w:color="auto"/>
                  <w:left w:val="single" w:sz="2" w:space="0" w:color="auto"/>
                  <w:bottom w:val="single" w:sz="2" w:space="0" w:color="auto"/>
                  <w:right w:val="single" w:sz="2" w:space="0" w:color="auto"/>
                </w:tcBorders>
              </w:tcPr>
              <w:p>
                <w:pPr>
                  <w:jc w:val="center"/>
                  <w:rPr>
                    <w:sz w:val="20"/>
                  </w:rPr>
                </w:pPr>
                <w:r>
                  <w:rPr>
                    <w:sz w:val="20"/>
                  </w:rPr>
                  <w:t>Statinio</w:t>
                </w:r>
              </w:p>
            </w:tc>
            <w:tc>
              <w:tcPr>
                <w:tcW w:w="1357" w:type="dxa"/>
                <w:vMerge w:val="restart"/>
                <w:tcBorders>
                  <w:top w:val="single" w:sz="2" w:space="0" w:color="auto"/>
                  <w:left w:val="single" w:sz="2" w:space="0" w:color="auto"/>
                  <w:bottom w:val="single" w:sz="2" w:space="0" w:color="auto"/>
                  <w:right w:val="single" w:sz="2" w:space="0" w:color="auto"/>
                </w:tcBorders>
              </w:tcPr>
              <w:p>
                <w:pPr>
                  <w:jc w:val="center"/>
                  <w:rPr>
                    <w:sz w:val="20"/>
                  </w:rPr>
                </w:pPr>
                <w:r>
                  <w:rPr>
                    <w:sz w:val="20"/>
                  </w:rPr>
                  <w:t>Vieneto vidutinė</w:t>
                </w:r>
              </w:p>
              <w:p>
                <w:pPr>
                  <w:jc w:val="center"/>
                  <w:rPr>
                    <w:sz w:val="20"/>
                  </w:rPr>
                </w:pPr>
                <w:r>
                  <w:rPr>
                    <w:sz w:val="20"/>
                  </w:rPr>
                  <w:t>rinkos</w:t>
                </w:r>
              </w:p>
              <w:p>
                <w:pPr>
                  <w:jc w:val="center"/>
                  <w:rPr>
                    <w:sz w:val="20"/>
                  </w:rPr>
                </w:pPr>
                <w:r>
                  <w:rPr>
                    <w:sz w:val="20"/>
                  </w:rPr>
                  <w:t>kaina, Lt</w:t>
                </w:r>
              </w:p>
            </w:tc>
            <w:tc>
              <w:tcPr>
                <w:tcW w:w="1392" w:type="dxa"/>
                <w:vMerge w:val="restart"/>
                <w:tcBorders>
                  <w:top w:val="single" w:sz="2" w:space="0" w:color="auto"/>
                  <w:left w:val="single" w:sz="2" w:space="0" w:color="auto"/>
                  <w:bottom w:val="single" w:sz="2" w:space="0" w:color="auto"/>
                  <w:right w:val="single" w:sz="2" w:space="0" w:color="auto"/>
                </w:tcBorders>
              </w:tcPr>
              <w:p>
                <w:pPr>
                  <w:jc w:val="center"/>
                  <w:rPr>
                    <w:sz w:val="20"/>
                  </w:rPr>
                </w:pPr>
                <w:r>
                  <w:rPr>
                    <w:sz w:val="20"/>
                  </w:rPr>
                  <w:t>Vietovės pataisos koeficientas</w:t>
                </w:r>
              </w:p>
            </w:tc>
            <w:tc>
              <w:tcPr>
                <w:tcW w:w="1159" w:type="dxa"/>
                <w:vMerge w:val="restart"/>
                <w:tcBorders>
                  <w:top w:val="single" w:sz="2" w:space="0" w:color="auto"/>
                  <w:left w:val="single" w:sz="2" w:space="0" w:color="auto"/>
                  <w:bottom w:val="single" w:sz="2" w:space="0" w:color="auto"/>
                  <w:right w:val="single" w:sz="2" w:space="0" w:color="auto"/>
                </w:tcBorders>
              </w:tcPr>
              <w:p>
                <w:pPr>
                  <w:jc w:val="center"/>
                  <w:rPr>
                    <w:sz w:val="20"/>
                  </w:rPr>
                </w:pPr>
                <w:r>
                  <w:rPr>
                    <w:sz w:val="20"/>
                  </w:rPr>
                  <w:t>Nusidėvėjimo koeficientas</w:t>
                </w:r>
              </w:p>
              <w:p>
                <w:pPr>
                  <w:jc w:val="center"/>
                  <w:rPr>
                    <w:sz w:val="20"/>
                  </w:rPr>
                </w:pPr>
                <w:r>
                  <w:rPr>
                    <w:sz w:val="20"/>
                  </w:rPr>
                  <w:t>%:100</w:t>
                </w:r>
              </w:p>
            </w:tc>
            <w:tc>
              <w:tcPr>
                <w:tcW w:w="1159" w:type="dxa"/>
                <w:vMerge w:val="restart"/>
                <w:tcBorders>
                  <w:top w:val="single" w:sz="2" w:space="0" w:color="auto"/>
                  <w:left w:val="single" w:sz="2" w:space="0" w:color="auto"/>
                  <w:bottom w:val="single" w:sz="2" w:space="0" w:color="auto"/>
                  <w:right w:val="single" w:sz="2" w:space="0" w:color="auto"/>
                </w:tcBorders>
              </w:tcPr>
              <w:p>
                <w:pPr>
                  <w:jc w:val="center"/>
                  <w:rPr>
                    <w:sz w:val="20"/>
                  </w:rPr>
                </w:pPr>
                <w:r>
                  <w:rPr>
                    <w:sz w:val="20"/>
                  </w:rPr>
                  <w:t>Statinio vidutinė rinkos vertė, Lt</w:t>
                </w:r>
              </w:p>
            </w:tc>
            <w:tc>
              <w:tcPr>
                <w:tcW w:w="1159" w:type="dxa"/>
                <w:vMerge w:val="restart"/>
                <w:tcBorders>
                  <w:top w:val="single" w:sz="2" w:space="0" w:color="auto"/>
                  <w:left w:val="single" w:sz="2" w:space="0" w:color="auto"/>
                  <w:bottom w:val="single" w:sz="2" w:space="0" w:color="auto"/>
                  <w:right w:val="single" w:sz="2" w:space="0" w:color="auto"/>
                </w:tcBorders>
              </w:tcPr>
              <w:p>
                <w:pPr>
                  <w:jc w:val="center"/>
                  <w:rPr>
                    <w:sz w:val="20"/>
                  </w:rPr>
                </w:pPr>
                <w:r>
                  <w:rPr>
                    <w:sz w:val="20"/>
                  </w:rPr>
                  <w:t>Išlikusių konstrukcijų dalis</w:t>
                </w:r>
              </w:p>
              <w:p>
                <w:pPr>
                  <w:jc w:val="center"/>
                  <w:rPr>
                    <w:sz w:val="20"/>
                  </w:rPr>
                </w:pPr>
                <w:r>
                  <w:rPr>
                    <w:sz w:val="20"/>
                  </w:rPr>
                  <w:t>%:100</w:t>
                </w:r>
              </w:p>
            </w:tc>
            <w:tc>
              <w:tcPr>
                <w:tcW w:w="1249" w:type="dxa"/>
                <w:vMerge w:val="restart"/>
                <w:tcBorders>
                  <w:top w:val="single" w:sz="2" w:space="0" w:color="auto"/>
                  <w:left w:val="single" w:sz="2" w:space="0" w:color="auto"/>
                  <w:bottom w:val="single" w:sz="2" w:space="0" w:color="auto"/>
                  <w:right w:val="single" w:sz="2" w:space="0" w:color="auto"/>
                </w:tcBorders>
              </w:tcPr>
              <w:p>
                <w:pPr>
                  <w:jc w:val="center"/>
                  <w:rPr>
                    <w:sz w:val="20"/>
                  </w:rPr>
                </w:pPr>
                <w:r>
                  <w:rPr>
                    <w:sz w:val="20"/>
                  </w:rPr>
                  <w:t>Apskaitoma statinio vertė, Lt</w:t>
                </w:r>
              </w:p>
            </w:tc>
          </w:tr>
          <w:tr>
            <w:trPr>
              <w:cantSplit/>
              <w:trHeight w:hRule="exact" w:val="1084"/>
            </w:trPr>
            <w:tc>
              <w:tcPr>
                <w:tcW w:w="675" w:type="dxa"/>
                <w:vMerge/>
                <w:tcBorders>
                  <w:top w:val="single" w:sz="2" w:space="0" w:color="auto"/>
                  <w:left w:val="single" w:sz="2" w:space="0" w:color="auto"/>
                  <w:bottom w:val="single" w:sz="2" w:space="0" w:color="auto"/>
                  <w:right w:val="single" w:sz="2" w:space="0" w:color="auto"/>
                </w:tcBorders>
                <w:vAlign w:val="center"/>
              </w:tcPr>
              <w:p>
                <w:pPr>
                  <w:ind w:firstLine="709"/>
                  <w:rPr>
                    <w:sz w:val="20"/>
                  </w:rPr>
                </w:pPr>
              </w:p>
            </w:tc>
            <w:tc>
              <w:tcPr>
                <w:tcW w:w="1985" w:type="dxa"/>
                <w:vMerge/>
                <w:tcBorders>
                  <w:top w:val="single" w:sz="2" w:space="0" w:color="auto"/>
                  <w:left w:val="single" w:sz="2" w:space="0" w:color="auto"/>
                  <w:bottom w:val="single" w:sz="2" w:space="0" w:color="auto"/>
                  <w:right w:val="single" w:sz="2" w:space="0" w:color="auto"/>
                </w:tcBorders>
                <w:vAlign w:val="center"/>
              </w:tcPr>
              <w:p>
                <w:pPr>
                  <w:ind w:firstLine="709"/>
                  <w:rPr>
                    <w:sz w:val="20"/>
                  </w:rPr>
                </w:pPr>
              </w:p>
            </w:tc>
            <w:tc>
              <w:tcPr>
                <w:tcW w:w="1134" w:type="dxa"/>
                <w:vMerge/>
                <w:tcBorders>
                  <w:top w:val="single" w:sz="2" w:space="0" w:color="auto"/>
                  <w:left w:val="single" w:sz="2" w:space="0" w:color="auto"/>
                  <w:bottom w:val="single" w:sz="2" w:space="0" w:color="auto"/>
                  <w:right w:val="single" w:sz="2" w:space="0" w:color="auto"/>
                </w:tcBorders>
                <w:vAlign w:val="center"/>
              </w:tcPr>
              <w:p>
                <w:pPr>
                  <w:ind w:firstLine="709"/>
                  <w:rPr>
                    <w:sz w:val="20"/>
                  </w:rPr>
                </w:pPr>
              </w:p>
            </w:tc>
            <w:tc>
              <w:tcPr>
                <w:tcW w:w="1655" w:type="dxa"/>
                <w:vMerge/>
                <w:tcBorders>
                  <w:top w:val="single" w:sz="2" w:space="0" w:color="auto"/>
                  <w:left w:val="single" w:sz="2" w:space="0" w:color="auto"/>
                  <w:bottom w:val="single" w:sz="2" w:space="0" w:color="auto"/>
                  <w:right w:val="single" w:sz="2" w:space="0" w:color="auto"/>
                </w:tcBorders>
                <w:vAlign w:val="center"/>
              </w:tcPr>
              <w:p>
                <w:pPr>
                  <w:ind w:firstLine="709"/>
                  <w:rPr>
                    <w:sz w:val="20"/>
                  </w:rPr>
                </w:pPr>
              </w:p>
            </w:tc>
            <w:tc>
              <w:tcPr>
                <w:tcW w:w="1185" w:type="dxa"/>
                <w:tcBorders>
                  <w:top w:val="single" w:sz="2" w:space="0" w:color="auto"/>
                  <w:left w:val="single" w:sz="2" w:space="0" w:color="auto"/>
                  <w:bottom w:val="single" w:sz="2" w:space="0" w:color="auto"/>
                  <w:right w:val="single" w:sz="2" w:space="0" w:color="auto"/>
                </w:tcBorders>
              </w:tcPr>
              <w:p>
                <w:pPr>
                  <w:jc w:val="center"/>
                  <w:rPr>
                    <w:sz w:val="20"/>
                    <w:vertAlign w:val="superscript"/>
                  </w:rPr>
                </w:pPr>
                <w:r>
                  <w:rPr>
                    <w:sz w:val="20"/>
                  </w:rPr>
                  <w:t>bendras plotas m</w:t>
                </w:r>
                <w:r>
                  <w:rPr>
                    <w:sz w:val="20"/>
                    <w:vertAlign w:val="superscript"/>
                  </w:rPr>
                  <w:t>2</w:t>
                </w:r>
                <w:r>
                  <w:rPr>
                    <w:sz w:val="20"/>
                  </w:rPr>
                  <w:t xml:space="preserve"> arba tūris m</w:t>
                </w:r>
                <w:r>
                  <w:rPr>
                    <w:sz w:val="20"/>
                    <w:vertAlign w:val="superscript"/>
                  </w:rPr>
                  <w:t>3</w:t>
                </w:r>
              </w:p>
            </w:tc>
            <w:tc>
              <w:tcPr>
                <w:tcW w:w="1048" w:type="dxa"/>
                <w:tcBorders>
                  <w:top w:val="single" w:sz="2" w:space="0" w:color="auto"/>
                  <w:left w:val="single" w:sz="2" w:space="0" w:color="auto"/>
                  <w:bottom w:val="single" w:sz="2" w:space="0" w:color="auto"/>
                  <w:right w:val="single" w:sz="2" w:space="0" w:color="auto"/>
                </w:tcBorders>
              </w:tcPr>
              <w:p>
                <w:pPr>
                  <w:jc w:val="center"/>
                  <w:rPr>
                    <w:sz w:val="20"/>
                  </w:rPr>
                </w:pPr>
                <w:r>
                  <w:rPr>
                    <w:sz w:val="20"/>
                  </w:rPr>
                  <w:t>aukštų skaičius</w:t>
                </w:r>
              </w:p>
            </w:tc>
            <w:tc>
              <w:tcPr>
                <w:tcW w:w="1357" w:type="dxa"/>
                <w:vMerge/>
                <w:tcBorders>
                  <w:top w:val="single" w:sz="2" w:space="0" w:color="auto"/>
                  <w:left w:val="single" w:sz="2" w:space="0" w:color="auto"/>
                  <w:bottom w:val="single" w:sz="2" w:space="0" w:color="auto"/>
                  <w:right w:val="single" w:sz="2" w:space="0" w:color="auto"/>
                </w:tcBorders>
                <w:vAlign w:val="center"/>
              </w:tcPr>
              <w:p>
                <w:pPr>
                  <w:ind w:firstLine="709"/>
                  <w:rPr>
                    <w:sz w:val="20"/>
                  </w:rPr>
                </w:pPr>
              </w:p>
            </w:tc>
            <w:tc>
              <w:tcPr>
                <w:tcW w:w="1392" w:type="dxa"/>
                <w:vMerge/>
                <w:tcBorders>
                  <w:top w:val="single" w:sz="2" w:space="0" w:color="auto"/>
                  <w:left w:val="single" w:sz="2" w:space="0" w:color="auto"/>
                  <w:bottom w:val="single" w:sz="2" w:space="0" w:color="auto"/>
                  <w:right w:val="single" w:sz="2" w:space="0" w:color="auto"/>
                </w:tcBorders>
                <w:vAlign w:val="center"/>
              </w:tcPr>
              <w:p>
                <w:pPr>
                  <w:ind w:firstLine="709"/>
                  <w:rPr>
                    <w:sz w:val="20"/>
                  </w:rPr>
                </w:pPr>
              </w:p>
            </w:tc>
            <w:tc>
              <w:tcPr>
                <w:tcW w:w="1159" w:type="dxa"/>
                <w:vMerge/>
                <w:tcBorders>
                  <w:top w:val="single" w:sz="2" w:space="0" w:color="auto"/>
                  <w:left w:val="single" w:sz="2" w:space="0" w:color="auto"/>
                  <w:bottom w:val="single" w:sz="2" w:space="0" w:color="auto"/>
                  <w:right w:val="single" w:sz="2" w:space="0" w:color="auto"/>
                </w:tcBorders>
                <w:vAlign w:val="center"/>
              </w:tcPr>
              <w:p>
                <w:pPr>
                  <w:ind w:firstLine="709"/>
                  <w:rPr>
                    <w:sz w:val="20"/>
                  </w:rPr>
                </w:pPr>
              </w:p>
            </w:tc>
            <w:tc>
              <w:tcPr>
                <w:tcW w:w="1159" w:type="dxa"/>
                <w:vMerge/>
                <w:tcBorders>
                  <w:top w:val="single" w:sz="2" w:space="0" w:color="auto"/>
                  <w:left w:val="single" w:sz="2" w:space="0" w:color="auto"/>
                  <w:bottom w:val="single" w:sz="2" w:space="0" w:color="auto"/>
                  <w:right w:val="single" w:sz="2" w:space="0" w:color="auto"/>
                </w:tcBorders>
                <w:vAlign w:val="center"/>
              </w:tcPr>
              <w:p>
                <w:pPr>
                  <w:ind w:firstLine="709"/>
                  <w:rPr>
                    <w:sz w:val="20"/>
                  </w:rPr>
                </w:pPr>
              </w:p>
            </w:tc>
            <w:tc>
              <w:tcPr>
                <w:tcW w:w="1159" w:type="dxa"/>
                <w:vMerge/>
                <w:tcBorders>
                  <w:top w:val="single" w:sz="2" w:space="0" w:color="auto"/>
                  <w:left w:val="single" w:sz="2" w:space="0" w:color="auto"/>
                  <w:bottom w:val="single" w:sz="2" w:space="0" w:color="auto"/>
                  <w:right w:val="single" w:sz="2" w:space="0" w:color="auto"/>
                </w:tcBorders>
                <w:vAlign w:val="center"/>
              </w:tcPr>
              <w:p>
                <w:pPr>
                  <w:ind w:firstLine="709"/>
                  <w:rPr>
                    <w:sz w:val="20"/>
                  </w:rPr>
                </w:pPr>
              </w:p>
            </w:tc>
            <w:tc>
              <w:tcPr>
                <w:tcW w:w="1249" w:type="dxa"/>
                <w:vMerge/>
                <w:tcBorders>
                  <w:top w:val="single" w:sz="2" w:space="0" w:color="auto"/>
                  <w:left w:val="single" w:sz="2" w:space="0" w:color="auto"/>
                  <w:bottom w:val="single" w:sz="2" w:space="0" w:color="auto"/>
                  <w:right w:val="single" w:sz="2" w:space="0" w:color="auto"/>
                </w:tcBorders>
                <w:vAlign w:val="center"/>
              </w:tcPr>
              <w:p>
                <w:pPr>
                  <w:ind w:firstLine="709"/>
                  <w:rPr>
                    <w:sz w:val="20"/>
                  </w:rPr>
                </w:pPr>
              </w:p>
            </w:tc>
          </w:tr>
          <w:tr>
            <w:trPr>
              <w:cantSplit/>
            </w:trPr>
            <w:tc>
              <w:tcPr>
                <w:tcW w:w="675" w:type="dxa"/>
                <w:tcBorders>
                  <w:top w:val="single" w:sz="2" w:space="0" w:color="auto"/>
                  <w:left w:val="single" w:sz="2" w:space="0" w:color="auto"/>
                  <w:bottom w:val="single" w:sz="2" w:space="0" w:color="auto"/>
                  <w:right w:val="single" w:sz="2" w:space="0" w:color="auto"/>
                </w:tcBorders>
              </w:tcPr>
              <w:p>
                <w:pPr>
                  <w:jc w:val="center"/>
                  <w:rPr>
                    <w:sz w:val="20"/>
                  </w:rPr>
                </w:pPr>
                <w:r>
                  <w:rPr>
                    <w:sz w:val="20"/>
                  </w:rPr>
                  <w:t>1</w:t>
                </w:r>
              </w:p>
            </w:tc>
            <w:tc>
              <w:tcPr>
                <w:tcW w:w="1985" w:type="dxa"/>
                <w:tcBorders>
                  <w:top w:val="single" w:sz="2" w:space="0" w:color="auto"/>
                  <w:left w:val="single" w:sz="2" w:space="0" w:color="auto"/>
                  <w:bottom w:val="single" w:sz="2" w:space="0" w:color="auto"/>
                  <w:right w:val="single" w:sz="2" w:space="0" w:color="auto"/>
                </w:tcBorders>
              </w:tcPr>
              <w:p>
                <w:pPr>
                  <w:jc w:val="center"/>
                  <w:rPr>
                    <w:sz w:val="20"/>
                  </w:rPr>
                </w:pPr>
                <w:r>
                  <w:rPr>
                    <w:sz w:val="20"/>
                  </w:rPr>
                  <w:t>2</w:t>
                </w:r>
              </w:p>
            </w:tc>
            <w:tc>
              <w:tcPr>
                <w:tcW w:w="1134" w:type="dxa"/>
                <w:tcBorders>
                  <w:top w:val="single" w:sz="2" w:space="0" w:color="auto"/>
                  <w:left w:val="single" w:sz="2" w:space="0" w:color="auto"/>
                  <w:bottom w:val="single" w:sz="2" w:space="0" w:color="auto"/>
                  <w:right w:val="single" w:sz="2" w:space="0" w:color="auto"/>
                </w:tcBorders>
              </w:tcPr>
              <w:p>
                <w:pPr>
                  <w:jc w:val="center"/>
                  <w:rPr>
                    <w:sz w:val="20"/>
                  </w:rPr>
                </w:pPr>
                <w:r>
                  <w:rPr>
                    <w:sz w:val="20"/>
                  </w:rPr>
                  <w:t>3</w:t>
                </w:r>
              </w:p>
            </w:tc>
            <w:tc>
              <w:tcPr>
                <w:tcW w:w="1655" w:type="dxa"/>
                <w:tcBorders>
                  <w:top w:val="single" w:sz="2" w:space="0" w:color="auto"/>
                  <w:left w:val="single" w:sz="2" w:space="0" w:color="auto"/>
                  <w:bottom w:val="single" w:sz="2" w:space="0" w:color="auto"/>
                  <w:right w:val="single" w:sz="2" w:space="0" w:color="auto"/>
                </w:tcBorders>
              </w:tcPr>
              <w:p>
                <w:pPr>
                  <w:jc w:val="center"/>
                  <w:rPr>
                    <w:sz w:val="20"/>
                  </w:rPr>
                </w:pPr>
                <w:r>
                  <w:rPr>
                    <w:sz w:val="20"/>
                  </w:rPr>
                  <w:t>4</w:t>
                </w:r>
              </w:p>
            </w:tc>
            <w:tc>
              <w:tcPr>
                <w:tcW w:w="1185" w:type="dxa"/>
                <w:tcBorders>
                  <w:top w:val="single" w:sz="2" w:space="0" w:color="auto"/>
                  <w:left w:val="single" w:sz="2" w:space="0" w:color="auto"/>
                  <w:bottom w:val="single" w:sz="2" w:space="0" w:color="auto"/>
                  <w:right w:val="single" w:sz="2" w:space="0" w:color="auto"/>
                </w:tcBorders>
              </w:tcPr>
              <w:p>
                <w:pPr>
                  <w:jc w:val="center"/>
                  <w:rPr>
                    <w:sz w:val="20"/>
                  </w:rPr>
                </w:pPr>
                <w:r>
                  <w:rPr>
                    <w:sz w:val="20"/>
                  </w:rPr>
                  <w:t>5</w:t>
                </w:r>
              </w:p>
            </w:tc>
            <w:tc>
              <w:tcPr>
                <w:tcW w:w="1048" w:type="dxa"/>
                <w:tcBorders>
                  <w:top w:val="single" w:sz="2" w:space="0" w:color="auto"/>
                  <w:left w:val="single" w:sz="2" w:space="0" w:color="auto"/>
                  <w:bottom w:val="single" w:sz="2" w:space="0" w:color="auto"/>
                  <w:right w:val="single" w:sz="2" w:space="0" w:color="auto"/>
                </w:tcBorders>
              </w:tcPr>
              <w:p>
                <w:pPr>
                  <w:jc w:val="center"/>
                  <w:rPr>
                    <w:sz w:val="20"/>
                  </w:rPr>
                </w:pPr>
                <w:r>
                  <w:rPr>
                    <w:sz w:val="20"/>
                  </w:rPr>
                  <w:t>6</w:t>
                </w:r>
              </w:p>
            </w:tc>
            <w:tc>
              <w:tcPr>
                <w:tcW w:w="1357" w:type="dxa"/>
                <w:tcBorders>
                  <w:top w:val="single" w:sz="2" w:space="0" w:color="auto"/>
                  <w:left w:val="single" w:sz="2" w:space="0" w:color="auto"/>
                  <w:bottom w:val="single" w:sz="2" w:space="0" w:color="auto"/>
                  <w:right w:val="single" w:sz="2" w:space="0" w:color="auto"/>
                </w:tcBorders>
              </w:tcPr>
              <w:p>
                <w:pPr>
                  <w:jc w:val="center"/>
                  <w:rPr>
                    <w:sz w:val="20"/>
                  </w:rPr>
                </w:pPr>
                <w:r>
                  <w:rPr>
                    <w:sz w:val="20"/>
                  </w:rPr>
                  <w:t>7</w:t>
                </w:r>
              </w:p>
            </w:tc>
            <w:tc>
              <w:tcPr>
                <w:tcW w:w="1392" w:type="dxa"/>
                <w:tcBorders>
                  <w:top w:val="single" w:sz="2" w:space="0" w:color="auto"/>
                  <w:left w:val="single" w:sz="2" w:space="0" w:color="auto"/>
                  <w:bottom w:val="single" w:sz="2" w:space="0" w:color="auto"/>
                  <w:right w:val="single" w:sz="2" w:space="0" w:color="auto"/>
                </w:tcBorders>
              </w:tcPr>
              <w:p>
                <w:pPr>
                  <w:jc w:val="center"/>
                  <w:rPr>
                    <w:sz w:val="20"/>
                  </w:rPr>
                </w:pPr>
                <w:r>
                  <w:rPr>
                    <w:sz w:val="20"/>
                  </w:rPr>
                  <w:t>8</w:t>
                </w:r>
              </w:p>
            </w:tc>
            <w:tc>
              <w:tcPr>
                <w:tcW w:w="1159" w:type="dxa"/>
                <w:tcBorders>
                  <w:top w:val="single" w:sz="2" w:space="0" w:color="auto"/>
                  <w:left w:val="single" w:sz="2" w:space="0" w:color="auto"/>
                  <w:bottom w:val="single" w:sz="2" w:space="0" w:color="auto"/>
                  <w:right w:val="single" w:sz="2" w:space="0" w:color="auto"/>
                </w:tcBorders>
              </w:tcPr>
              <w:p>
                <w:pPr>
                  <w:jc w:val="center"/>
                  <w:rPr>
                    <w:sz w:val="20"/>
                  </w:rPr>
                </w:pPr>
                <w:r>
                  <w:rPr>
                    <w:sz w:val="20"/>
                  </w:rPr>
                  <w:t>9</w:t>
                </w:r>
              </w:p>
            </w:tc>
            <w:tc>
              <w:tcPr>
                <w:tcW w:w="1159" w:type="dxa"/>
                <w:tcBorders>
                  <w:top w:val="single" w:sz="2" w:space="0" w:color="auto"/>
                  <w:left w:val="single" w:sz="2" w:space="0" w:color="auto"/>
                  <w:bottom w:val="single" w:sz="2" w:space="0" w:color="auto"/>
                  <w:right w:val="single" w:sz="2" w:space="0" w:color="auto"/>
                </w:tcBorders>
              </w:tcPr>
              <w:p>
                <w:pPr>
                  <w:jc w:val="center"/>
                  <w:rPr>
                    <w:sz w:val="20"/>
                  </w:rPr>
                </w:pPr>
                <w:r>
                  <w:rPr>
                    <w:sz w:val="20"/>
                  </w:rPr>
                  <w:t>10</w:t>
                </w:r>
              </w:p>
            </w:tc>
            <w:tc>
              <w:tcPr>
                <w:tcW w:w="1159" w:type="dxa"/>
                <w:tcBorders>
                  <w:top w:val="single" w:sz="2" w:space="0" w:color="auto"/>
                  <w:left w:val="single" w:sz="2" w:space="0" w:color="auto"/>
                  <w:bottom w:val="single" w:sz="2" w:space="0" w:color="auto"/>
                  <w:right w:val="single" w:sz="2" w:space="0" w:color="auto"/>
                </w:tcBorders>
              </w:tcPr>
              <w:p>
                <w:pPr>
                  <w:jc w:val="center"/>
                  <w:rPr>
                    <w:sz w:val="20"/>
                  </w:rPr>
                </w:pPr>
                <w:r>
                  <w:rPr>
                    <w:sz w:val="20"/>
                  </w:rPr>
                  <w:t>11</w:t>
                </w:r>
              </w:p>
            </w:tc>
            <w:tc>
              <w:tcPr>
                <w:tcW w:w="1249" w:type="dxa"/>
                <w:tcBorders>
                  <w:top w:val="single" w:sz="2" w:space="0" w:color="auto"/>
                  <w:left w:val="single" w:sz="2" w:space="0" w:color="auto"/>
                  <w:bottom w:val="single" w:sz="2" w:space="0" w:color="auto"/>
                  <w:right w:val="single" w:sz="2" w:space="0" w:color="auto"/>
                </w:tcBorders>
              </w:tcPr>
              <w:p>
                <w:pPr>
                  <w:jc w:val="center"/>
                  <w:rPr>
                    <w:sz w:val="20"/>
                  </w:rPr>
                </w:pPr>
                <w:r>
                  <w:rPr>
                    <w:sz w:val="20"/>
                  </w:rPr>
                  <w:t>12</w:t>
                </w:r>
              </w:p>
            </w:tc>
          </w:tr>
          <w:tr>
            <w:trPr>
              <w:cantSplit/>
            </w:trPr>
            <w:tc>
              <w:tcPr>
                <w:tcW w:w="675"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985"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134"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655"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185"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048"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357"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392"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159"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159"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159"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249"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r>
          <w:tr>
            <w:trPr>
              <w:cantSplit/>
            </w:trPr>
            <w:tc>
              <w:tcPr>
                <w:tcW w:w="675"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985"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134"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655"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185"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048"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357"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392"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159"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159"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159"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249"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r>
          <w:tr>
            <w:trPr>
              <w:cantSplit/>
            </w:trPr>
            <w:tc>
              <w:tcPr>
                <w:tcW w:w="675"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985"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134"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655"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185"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048"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357"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392"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159"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159"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159"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249"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r>
          <w:tr>
            <w:trPr>
              <w:cantSplit/>
            </w:trPr>
            <w:tc>
              <w:tcPr>
                <w:tcW w:w="675"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985"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134"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655"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185"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048"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357"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392"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159"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159"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159"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249"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r>
          <w:tr>
            <w:trPr>
              <w:cantSplit/>
            </w:trPr>
            <w:tc>
              <w:tcPr>
                <w:tcW w:w="675"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985"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134"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655"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185"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048"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357"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392"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159"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159"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159"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249"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r>
          <w:tr>
            <w:trPr>
              <w:cantSplit/>
            </w:trPr>
            <w:tc>
              <w:tcPr>
                <w:tcW w:w="675"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985"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134"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655"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185"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048"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357"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392"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159"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159"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159"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249"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r>
          <w:tr>
            <w:trPr>
              <w:cantSplit/>
            </w:trPr>
            <w:tc>
              <w:tcPr>
                <w:tcW w:w="675"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985"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134"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655"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185"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048"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357"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392"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159"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159"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159"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249"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r>
          <w:tr>
            <w:trPr>
              <w:cantSplit/>
            </w:trPr>
            <w:tc>
              <w:tcPr>
                <w:tcW w:w="675"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985"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134"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655"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185"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048"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357"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392"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159"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159"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159"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249"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r>
          <w:tr>
            <w:trPr>
              <w:cantSplit/>
            </w:trPr>
            <w:tc>
              <w:tcPr>
                <w:tcW w:w="675"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985"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134"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655"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185"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048"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357"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392"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159"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159"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159"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249"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r>
          <w:tr>
            <w:trPr>
              <w:cantSplit/>
            </w:trPr>
            <w:tc>
              <w:tcPr>
                <w:tcW w:w="675"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985"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134"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655"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185"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048"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357"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392"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159"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159"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159"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249"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r>
          <w:tr>
            <w:trPr>
              <w:cantSplit/>
            </w:trPr>
            <w:tc>
              <w:tcPr>
                <w:tcW w:w="675"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985"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134"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655"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185"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048"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357"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392"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159"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159"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159"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249"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r>
          <w:tr>
            <w:trPr>
              <w:cantSplit/>
            </w:trPr>
            <w:tc>
              <w:tcPr>
                <w:tcW w:w="675"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985"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134"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655"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185"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048"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357"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392"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159"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159"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159"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249"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r>
          <w:tr>
            <w:trPr>
              <w:cantSplit/>
            </w:trPr>
            <w:tc>
              <w:tcPr>
                <w:tcW w:w="675"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985"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134"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655"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185"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048"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357"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392"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159"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159"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159"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249"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r>
          <w:tr>
            <w:trPr>
              <w:cantSplit/>
            </w:trPr>
            <w:tc>
              <w:tcPr>
                <w:tcW w:w="675"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985"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134"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655"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185"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048"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357"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392"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159"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159"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159"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249"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r>
          <w:tr>
            <w:trPr>
              <w:cantSplit/>
            </w:trPr>
            <w:tc>
              <w:tcPr>
                <w:tcW w:w="675"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985"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134"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655"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185"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048"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357"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392"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159"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159"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159"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c>
              <w:tcPr>
                <w:tcW w:w="1249" w:type="dxa"/>
                <w:tcBorders>
                  <w:top w:val="single" w:sz="2" w:space="0" w:color="auto"/>
                  <w:left w:val="single" w:sz="2" w:space="0" w:color="auto"/>
                  <w:bottom w:val="single" w:sz="2" w:space="0" w:color="auto"/>
                  <w:right w:val="single" w:sz="2" w:space="0" w:color="auto"/>
                </w:tcBorders>
              </w:tcPr>
              <w:p>
                <w:pPr>
                  <w:ind w:firstLine="709"/>
                  <w:jc w:val="center"/>
                  <w:rPr>
                    <w:sz w:val="20"/>
                  </w:rPr>
                </w:pPr>
              </w:p>
            </w:tc>
          </w:tr>
        </w:tbl>
        <w:p>
          <w:pPr>
            <w:ind w:firstLine="709"/>
            <w:jc w:val="both"/>
          </w:pPr>
        </w:p>
        <w:p>
          <w:pPr>
            <w:tabs>
              <w:tab w:val="right" w:leader="underscore" w:pos="9638"/>
            </w:tabs>
            <w:jc w:val="both"/>
          </w:pPr>
          <w:r>
            <w:t xml:space="preserve">Šiame lape apskaityta </w:t>
            <w:tab/>
            <w:t xml:space="preserve"> statinių.</w:t>
          </w:r>
        </w:p>
        <w:p>
          <w:pPr>
            <w:tabs>
              <w:tab w:val="center" w:pos="5670"/>
              <w:tab w:val="right" w:leader="underscore" w:pos="9071"/>
            </w:tabs>
            <w:jc w:val="both"/>
            <w:rPr>
              <w:i/>
              <w:sz w:val="20"/>
            </w:rPr>
          </w:pPr>
          <w:r>
            <w:rPr>
              <w:i/>
            </w:rPr>
            <w:tab/>
          </w:r>
          <w:r>
            <w:rPr>
              <w:i/>
              <w:sz w:val="20"/>
            </w:rPr>
            <w:t xml:space="preserve">(statinių skaičius skaitmenimis ir žodžiais) </w:t>
          </w:r>
        </w:p>
        <w:p>
          <w:pPr>
            <w:tabs>
              <w:tab w:val="right" w:leader="underscore" w:pos="9638"/>
            </w:tabs>
            <w:jc w:val="both"/>
          </w:pPr>
          <w:r>
            <w:t xml:space="preserve">Bendra statinių apskaityta vertė </w:t>
            <w:tab/>
            <w:t xml:space="preserve"> Lt.</w:t>
          </w:r>
        </w:p>
        <w:p>
          <w:pPr>
            <w:tabs>
              <w:tab w:val="center" w:pos="6237"/>
              <w:tab w:val="right" w:leader="underscore" w:pos="9071"/>
            </w:tabs>
            <w:jc w:val="both"/>
            <w:rPr>
              <w:i/>
              <w:sz w:val="20"/>
            </w:rPr>
          </w:pPr>
          <w:r>
            <w:rPr>
              <w:i/>
            </w:rPr>
            <w:tab/>
          </w:r>
          <w:r>
            <w:rPr>
              <w:i/>
              <w:sz w:val="20"/>
            </w:rPr>
            <w:t>(suma skaitmenimis ir žodžiais)</w:t>
          </w:r>
        </w:p>
        <w:p>
          <w:pPr>
            <w:tabs>
              <w:tab w:val="right" w:leader="underscore" w:pos="9071"/>
            </w:tabs>
            <w:jc w:val="both"/>
          </w:pPr>
        </w:p>
        <w:p>
          <w:pPr>
            <w:tabs>
              <w:tab w:val="left" w:pos="4678"/>
              <w:tab w:val="left" w:leader="underscore" w:pos="6379"/>
              <w:tab w:val="left" w:pos="7088"/>
              <w:tab w:val="right" w:leader="underscore" w:pos="9071"/>
            </w:tabs>
            <w:jc w:val="both"/>
          </w:pPr>
          <w:r>
            <w:t>_________________________________</w:t>
            <w:tab/>
            <w:tab/>
            <w:tab/>
            <w:tab/>
          </w:r>
        </w:p>
        <w:p>
          <w:pPr>
            <w:tabs>
              <w:tab w:val="center" w:pos="1985"/>
              <w:tab w:val="center" w:pos="5670"/>
              <w:tab w:val="center" w:pos="8080"/>
              <w:tab w:val="right" w:leader="underscore" w:pos="9071"/>
            </w:tabs>
            <w:jc w:val="both"/>
            <w:rPr>
              <w:i/>
              <w:sz w:val="20"/>
            </w:rPr>
          </w:pPr>
          <w:r>
            <w:rPr>
              <w:i/>
              <w:sz w:val="20"/>
            </w:rPr>
            <w:tab/>
            <w:t xml:space="preserve">(aktą surašiusio asmens pareigų pavadinimas) </w:t>
            <w:tab/>
            <w:t xml:space="preserve">(parašas) </w:t>
            <w:tab/>
            <w:t xml:space="preserve">(vardas ir pavardė) </w:t>
          </w:r>
        </w:p>
        <w:p>
          <w:pPr>
            <w:tabs>
              <w:tab w:val="left" w:pos="4678"/>
              <w:tab w:val="left" w:leader="underscore" w:pos="6379"/>
              <w:tab w:val="left" w:pos="7088"/>
              <w:tab w:val="right" w:leader="underscore" w:pos="9071"/>
            </w:tabs>
            <w:jc w:val="both"/>
          </w:pPr>
          <w:r>
            <w:t>_________________________________</w:t>
            <w:tab/>
            <w:tab/>
            <w:tab/>
            <w:tab/>
          </w:r>
        </w:p>
        <w:p>
          <w:pPr>
            <w:tabs>
              <w:tab w:val="center" w:pos="1985"/>
              <w:tab w:val="center" w:pos="5670"/>
              <w:tab w:val="center" w:pos="8080"/>
              <w:tab w:val="right" w:leader="underscore" w:pos="9071"/>
            </w:tabs>
            <w:jc w:val="both"/>
            <w:rPr>
              <w:i/>
              <w:sz w:val="20"/>
            </w:rPr>
          </w:pPr>
          <w:r>
            <w:rPr>
              <w:i/>
              <w:sz w:val="20"/>
            </w:rPr>
            <w:tab/>
            <w:t xml:space="preserve"> (institucijos atstovo pareigų pavadinimas)</w:t>
            <w:tab/>
            <w:t xml:space="preserve"> (parašas)</w:t>
            <w:tab/>
            <w:t xml:space="preserve"> (vardas ir pavardė) </w:t>
          </w:r>
        </w:p>
        <w:p>
          <w:pPr>
            <w:tabs>
              <w:tab w:val="left" w:pos="4678"/>
              <w:tab w:val="left" w:leader="underscore" w:pos="6379"/>
              <w:tab w:val="left" w:pos="7088"/>
              <w:tab w:val="right" w:leader="underscore" w:pos="9071"/>
            </w:tabs>
            <w:jc w:val="both"/>
          </w:pPr>
          <w:r>
            <w:t>_________________________________</w:t>
            <w:tab/>
            <w:tab/>
            <w:tab/>
            <w:tab/>
          </w:r>
        </w:p>
        <w:p>
          <w:pPr>
            <w:tabs>
              <w:tab w:val="center" w:pos="1985"/>
              <w:tab w:val="center" w:pos="5670"/>
              <w:tab w:val="center" w:pos="8080"/>
              <w:tab w:val="right" w:leader="underscore" w:pos="9071"/>
            </w:tabs>
            <w:jc w:val="both"/>
            <w:rPr>
              <w:i/>
              <w:sz w:val="20"/>
            </w:rPr>
          </w:pPr>
          <w:r>
            <w:rPr>
              <w:i/>
              <w:sz w:val="20"/>
            </w:rPr>
            <w:tab/>
            <w:t xml:space="preserve"> (institucijos atstovo pareigų pavadinimas)</w:t>
            <w:tab/>
            <w:t xml:space="preserve"> (parašas)</w:t>
            <w:tab/>
            <w:t xml:space="preserve"> (vardas ir pavardė) </w:t>
          </w:r>
        </w:p>
        <w:p>
          <w:pPr>
            <w:tabs>
              <w:tab w:val="left" w:pos="4678"/>
              <w:tab w:val="left" w:leader="underscore" w:pos="6379"/>
              <w:tab w:val="left" w:pos="7088"/>
              <w:tab w:val="right" w:leader="underscore" w:pos="9071"/>
            </w:tabs>
            <w:jc w:val="both"/>
          </w:pPr>
          <w:r>
            <w:t>_________________________________</w:t>
            <w:tab/>
            <w:tab/>
            <w:tab/>
            <w:tab/>
          </w:r>
        </w:p>
        <w:p>
          <w:pPr>
            <w:tabs>
              <w:tab w:val="center" w:pos="1985"/>
              <w:tab w:val="center" w:pos="5670"/>
              <w:tab w:val="center" w:pos="8080"/>
              <w:tab w:val="right" w:leader="underscore" w:pos="9071"/>
            </w:tabs>
            <w:jc w:val="both"/>
            <w:rPr>
              <w:i/>
              <w:sz w:val="20"/>
            </w:rPr>
          </w:pPr>
          <w:r>
            <w:rPr>
              <w:i/>
              <w:sz w:val="20"/>
            </w:rPr>
            <w:tab/>
            <w:t xml:space="preserve"> (institucijos atstovo pareigų pavadinimas)</w:t>
            <w:tab/>
            <w:t xml:space="preserve"> (parašas)</w:t>
            <w:tab/>
            <w:t xml:space="preserve"> (vardas ir pavardė) </w:t>
          </w:r>
        </w:p>
        <w:p>
          <w:pPr>
            <w:jc w:val="center"/>
          </w:pPr>
          <w:r>
            <w:t>______________</w:t>
          </w:r>
        </w:p>
        <w:p>
          <w:pPr>
            <w:ind w:firstLine="709"/>
            <w:jc w:val="both"/>
          </w:pPr>
        </w:p>
        <w:p>
          <w:pPr>
            <w:ind w:firstLine="709"/>
            <w:jc w:val="both"/>
          </w:pPr>
        </w:p>
      </w:sdtContent>
    </w:sdt>
    <w:sdt>
      <w:sdtPr>
        <w:alias w:val="frm."/>
        <w:tag w:val="part_88baeef38bc946ffa2fe75d71c4abb37"/>
        <w:lock w:val="sdtLocked"/>
        <w:richText/>
      </w:sdtPr>
      <w:sdtContent>
        <w:p>
          <w:pPr>
            <w:widowControl w:val="0"/>
            <w:ind w:left="4535"/>
            <w:rPr>
              <w:color w:val="000000"/>
              <w:szCs w:val="24"/>
              <w:lang w:eastAsia="lt-LT"/>
            </w:rPr>
          </w:pPr>
          <w:r>
            <w:rPr>
              <w:color w:val="000000"/>
              <w:szCs w:val="24"/>
              <w:lang w:eastAsia="lt-LT"/>
            </w:rPr>
            <w:br w:type="page"/>
            <w:t xml:space="preserve">Forma patvirtinta Lietuvos Respublikos aplinkos ministro 2005 m. rugsėjo 16 d. </w:t>
          </w:r>
        </w:p>
        <w:p>
          <w:pPr>
            <w:widowControl w:val="0"/>
            <w:ind w:left="4535"/>
            <w:rPr>
              <w:color w:val="000000"/>
              <w:szCs w:val="24"/>
              <w:lang w:eastAsia="lt-LT"/>
            </w:rPr>
          </w:pPr>
          <w:r>
            <w:rPr>
              <w:color w:val="000000"/>
              <w:szCs w:val="24"/>
              <w:lang w:eastAsia="lt-LT"/>
            </w:rPr>
            <w:t>įsakymu Nr. D1-449</w:t>
          </w:r>
        </w:p>
        <w:p>
          <w:pPr>
            <w:widowControl w:val="0"/>
            <w:ind w:left="4535"/>
            <w:rPr>
              <w:color w:val="000000"/>
              <w:szCs w:val="24"/>
              <w:lang w:eastAsia="lt-LT"/>
            </w:rPr>
          </w:pPr>
          <w:r>
            <w:rPr>
              <w:color w:val="000000"/>
              <w:szCs w:val="24"/>
              <w:lang w:eastAsia="lt-LT"/>
            </w:rPr>
            <w:t xml:space="preserve">(Lietuvos Respublikos aplinkos ministro </w:t>
          </w:r>
        </w:p>
        <w:p>
          <w:pPr>
            <w:widowControl w:val="0"/>
            <w:ind w:left="4535"/>
            <w:rPr>
              <w:color w:val="000000"/>
              <w:szCs w:val="24"/>
              <w:lang w:eastAsia="lt-LT"/>
            </w:rPr>
          </w:pPr>
          <w:r>
            <w:rPr>
              <w:color w:val="000000"/>
              <w:szCs w:val="24"/>
              <w:lang w:eastAsia="lt-LT"/>
            </w:rPr>
            <w:t>2013 m. birželio 6 d. įsakymo Nr. D1-426 redakcija)</w:t>
          </w:r>
        </w:p>
        <w:p>
          <w:pPr>
            <w:widowControl w:val="0"/>
            <w:ind w:firstLine="567"/>
            <w:jc w:val="both"/>
            <w:rPr>
              <w:color w:val="000000"/>
              <w:szCs w:val="24"/>
              <w:lang w:eastAsia="lt-LT"/>
            </w:rPr>
          </w:pPr>
        </w:p>
        <w:p>
          <w:pPr>
            <w:widowControl w:val="0"/>
            <w:jc w:val="center"/>
            <w:rPr>
              <w:b/>
              <w:bCs/>
              <w:caps/>
              <w:color w:val="000000"/>
              <w:szCs w:val="24"/>
              <w:lang w:eastAsia="lt-LT"/>
            </w:rPr>
          </w:pPr>
          <w:sdt>
            <w:sdtPr>
              <w:alias w:val="Pavadinimas"/>
              <w:tag w:val="title_88baeef38bc946ffa2fe75d71c4abb37"/>
              <w:lock w:val="sdtLocked"/>
              <w:richText/>
            </w:sdtPr>
            <w:sdtContent>
              <w:r>
                <w:rPr>
                  <w:b/>
                  <w:bCs/>
                  <w:caps/>
                  <w:color w:val="000000"/>
                  <w:szCs w:val="24"/>
                  <w:lang w:eastAsia="lt-LT"/>
                </w:rPr>
                <w:t>STATINIŲ, KURIE NETURI SAVININKŲ (AR KURIŲ SAVININKAI NEŽINOMI), APSKAITOS AKTŲ REGISTRAS (REGISTRAVIMO KNYGA)</w:t>
              </w:r>
            </w:sdtContent>
          </w:sdt>
        </w:p>
        <w:p>
          <w:pPr>
            <w:widowControl w:val="0"/>
            <w:ind w:firstLine="567"/>
            <w:jc w:val="both"/>
            <w:rPr>
              <w:color w:val="000000"/>
              <w:szCs w:val="24"/>
              <w:lang w:eastAsia="lt-LT"/>
            </w:rPr>
          </w:pPr>
        </w:p>
        <w:tbl>
          <w:tblPr>
            <w:tblW w:w="9070" w:type="dxa"/>
            <w:tblLayout w:type="fixed"/>
            <w:tblCellMar>
              <w:left w:w="0" w:type="dxa"/>
              <w:right w:w="0" w:type="dxa"/>
            </w:tblCellMar>
            <w:tblLook w:val="0000" w:firstRow="0" w:lastRow="0" w:firstColumn="0" w:lastColumn="0" w:noHBand="0" w:noVBand="0"/>
          </w:tblPr>
          <w:tblGrid>
            <w:gridCol w:w="631"/>
            <w:gridCol w:w="1835"/>
            <w:gridCol w:w="1313"/>
            <w:gridCol w:w="1053"/>
            <w:gridCol w:w="2660"/>
            <w:gridCol w:w="1578"/>
          </w:tblGrid>
          <w:tr>
            <w:trPr>
              <w:trHeight w:val="60"/>
            </w:trPr>
            <w:tc>
              <w:tcPr>
                <w:tcW w:w="67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jc w:val="center"/>
                  <w:rPr>
                    <w:color w:val="000000"/>
                    <w:szCs w:val="24"/>
                    <w:lang w:eastAsia="lt-LT"/>
                  </w:rPr>
                </w:pPr>
                <w:r>
                  <w:rPr>
                    <w:color w:val="000000"/>
                    <w:szCs w:val="24"/>
                    <w:lang w:eastAsia="lt-LT"/>
                  </w:rPr>
                  <w:t>Reg.</w:t>
                </w:r>
              </w:p>
              <w:p>
                <w:pPr>
                  <w:widowControl w:val="0"/>
                  <w:jc w:val="center"/>
                  <w:rPr>
                    <w:color w:val="000000"/>
                    <w:szCs w:val="24"/>
                    <w:lang w:eastAsia="lt-LT"/>
                  </w:rPr>
                </w:pPr>
                <w:r>
                  <w:rPr>
                    <w:color w:val="000000"/>
                    <w:szCs w:val="24"/>
                    <w:lang w:eastAsia="lt-LT"/>
                  </w:rPr>
                  <w:t>Nr.</w:t>
                </w:r>
              </w:p>
            </w:tc>
            <w:tc>
              <w:tcPr>
                <w:tcW w:w="198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jc w:val="center"/>
                  <w:rPr>
                    <w:color w:val="000000"/>
                    <w:szCs w:val="24"/>
                    <w:lang w:eastAsia="lt-LT"/>
                  </w:rPr>
                </w:pPr>
                <w:r>
                  <w:rPr>
                    <w:color w:val="000000"/>
                    <w:szCs w:val="24"/>
                    <w:lang w:eastAsia="lt-LT"/>
                  </w:rPr>
                  <w:t>Registracijos data</w:t>
                </w:r>
              </w:p>
            </w:tc>
            <w:tc>
              <w:tcPr>
                <w:tcW w:w="141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jc w:val="center"/>
                  <w:rPr>
                    <w:color w:val="000000"/>
                    <w:szCs w:val="24"/>
                    <w:lang w:eastAsia="lt-LT"/>
                  </w:rPr>
                </w:pPr>
                <w:r>
                  <w:rPr>
                    <w:color w:val="000000"/>
                    <w:szCs w:val="24"/>
                    <w:lang w:eastAsia="lt-LT"/>
                  </w:rPr>
                  <w:t>Akto lapų skaičius</w:t>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jc w:val="center"/>
                  <w:rPr>
                    <w:color w:val="000000"/>
                    <w:szCs w:val="24"/>
                    <w:lang w:eastAsia="lt-LT"/>
                  </w:rPr>
                </w:pPr>
                <w:r>
                  <w:rPr>
                    <w:color w:val="000000"/>
                    <w:szCs w:val="24"/>
                    <w:lang w:eastAsia="lt-LT"/>
                  </w:rPr>
                  <w:t>Priedų lapų skaičius</w:t>
                </w:r>
              </w:p>
            </w:tc>
            <w:tc>
              <w:tcPr>
                <w:tcW w:w="288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jc w:val="center"/>
                  <w:rPr>
                    <w:color w:val="000000"/>
                    <w:szCs w:val="24"/>
                    <w:lang w:eastAsia="lt-LT"/>
                  </w:rPr>
                </w:pPr>
                <w:r>
                  <w:rPr>
                    <w:color w:val="000000"/>
                    <w:szCs w:val="24"/>
                    <w:lang w:eastAsia="lt-LT"/>
                  </w:rPr>
                  <w:t>Apskaitos aktą surašiusio asmens vardas ir pavardė</w:t>
                </w:r>
              </w:p>
            </w:tc>
            <w:tc>
              <w:tcPr>
                <w:tcW w:w="170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jc w:val="center"/>
                  <w:rPr>
                    <w:color w:val="000000"/>
                    <w:szCs w:val="24"/>
                    <w:lang w:eastAsia="lt-LT"/>
                  </w:rPr>
                </w:pPr>
                <w:r>
                  <w:rPr>
                    <w:color w:val="000000"/>
                    <w:szCs w:val="24"/>
                    <w:lang w:eastAsia="lt-LT"/>
                  </w:rPr>
                  <w:t>Akte apskaitytų statinių skaičius</w:t>
                </w:r>
              </w:p>
            </w:tc>
          </w:tr>
          <w:tr>
            <w:trPr>
              <w:trHeight w:val="60"/>
            </w:trPr>
            <w:tc>
              <w:tcPr>
                <w:tcW w:w="67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jc w:val="center"/>
                  <w:rPr>
                    <w:color w:val="000000"/>
                    <w:szCs w:val="24"/>
                    <w:lang w:eastAsia="lt-LT"/>
                  </w:rPr>
                </w:pPr>
                <w:r>
                  <w:rPr>
                    <w:color w:val="000000"/>
                    <w:szCs w:val="24"/>
                    <w:lang w:eastAsia="lt-LT"/>
                  </w:rPr>
                  <w:t>1</w:t>
                </w:r>
              </w:p>
            </w:tc>
            <w:tc>
              <w:tcPr>
                <w:tcW w:w="198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jc w:val="center"/>
                  <w:rPr>
                    <w:color w:val="000000"/>
                    <w:szCs w:val="24"/>
                    <w:lang w:eastAsia="lt-LT"/>
                  </w:rPr>
                </w:pPr>
                <w:r>
                  <w:rPr>
                    <w:color w:val="000000"/>
                    <w:szCs w:val="24"/>
                    <w:lang w:eastAsia="lt-LT"/>
                  </w:rPr>
                  <w:t>2</w:t>
                </w:r>
              </w:p>
            </w:tc>
            <w:tc>
              <w:tcPr>
                <w:tcW w:w="141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jc w:val="center"/>
                  <w:rPr>
                    <w:color w:val="000000"/>
                    <w:szCs w:val="24"/>
                    <w:lang w:eastAsia="lt-LT"/>
                  </w:rPr>
                </w:pPr>
                <w:r>
                  <w:rPr>
                    <w:color w:val="000000"/>
                    <w:szCs w:val="24"/>
                    <w:lang w:eastAsia="lt-LT"/>
                  </w:rPr>
                  <w:t>3</w:t>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jc w:val="center"/>
                  <w:rPr>
                    <w:color w:val="000000"/>
                    <w:szCs w:val="24"/>
                    <w:lang w:eastAsia="lt-LT"/>
                  </w:rPr>
                </w:pPr>
                <w:r>
                  <w:rPr>
                    <w:color w:val="000000"/>
                    <w:szCs w:val="24"/>
                    <w:lang w:eastAsia="lt-LT"/>
                  </w:rPr>
                  <w:t>4</w:t>
                </w:r>
              </w:p>
            </w:tc>
            <w:tc>
              <w:tcPr>
                <w:tcW w:w="288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jc w:val="center"/>
                  <w:rPr>
                    <w:color w:val="000000"/>
                    <w:szCs w:val="24"/>
                    <w:lang w:eastAsia="lt-LT"/>
                  </w:rPr>
                </w:pPr>
                <w:r>
                  <w:rPr>
                    <w:color w:val="000000"/>
                    <w:szCs w:val="24"/>
                    <w:lang w:eastAsia="lt-LT"/>
                  </w:rPr>
                  <w:t>5</w:t>
                </w:r>
              </w:p>
            </w:tc>
            <w:tc>
              <w:tcPr>
                <w:tcW w:w="170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jc w:val="center"/>
                  <w:rPr>
                    <w:color w:val="000000"/>
                    <w:szCs w:val="24"/>
                    <w:lang w:eastAsia="lt-LT"/>
                  </w:rPr>
                </w:pPr>
                <w:r>
                  <w:rPr>
                    <w:color w:val="000000"/>
                    <w:szCs w:val="24"/>
                    <w:lang w:eastAsia="lt-LT"/>
                  </w:rPr>
                  <w:t>6</w:t>
                </w:r>
              </w:p>
            </w:tc>
          </w:tr>
        </w:tbl>
        <w:p>
          <w:pPr>
            <w:widowControl w:val="0"/>
            <w:ind w:firstLine="567"/>
            <w:jc w:val="both"/>
            <w:rPr>
              <w:color w:val="000000"/>
              <w:szCs w:val="24"/>
              <w:lang w:eastAsia="lt-LT"/>
            </w:rPr>
          </w:pPr>
        </w:p>
        <w:p>
          <w:pPr>
            <w:widowControl w:val="0"/>
            <w:ind w:firstLine="567"/>
            <w:jc w:val="both"/>
            <w:rPr>
              <w:color w:val="000000"/>
              <w:szCs w:val="24"/>
              <w:lang w:eastAsia="lt-LT"/>
            </w:rPr>
          </w:pPr>
          <w:r>
            <w:rPr>
              <w:color w:val="000000"/>
              <w:szCs w:val="24"/>
              <w:lang w:eastAsia="lt-LT"/>
            </w:rPr>
            <w:t>Lentelės tęsinys</w:t>
          </w:r>
        </w:p>
        <w:tbl>
          <w:tblPr>
            <w:tblW w:w="9070" w:type="dxa"/>
            <w:tblLayout w:type="fixed"/>
            <w:tblCellMar>
              <w:left w:w="0" w:type="dxa"/>
              <w:right w:w="0" w:type="dxa"/>
            </w:tblCellMar>
            <w:tblLook w:val="0000" w:firstRow="0" w:lastRow="0" w:firstColumn="0" w:lastColumn="0" w:noHBand="0" w:noVBand="0"/>
          </w:tblPr>
          <w:tblGrid>
            <w:gridCol w:w="1143"/>
            <w:gridCol w:w="1284"/>
            <w:gridCol w:w="1705"/>
            <w:gridCol w:w="1496"/>
            <w:gridCol w:w="1684"/>
            <w:gridCol w:w="1758"/>
          </w:tblGrid>
          <w:tr>
            <w:trPr>
              <w:trHeight w:val="60"/>
            </w:trPr>
            <w:tc>
              <w:tcPr>
                <w:tcW w:w="123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jc w:val="center"/>
                  <w:rPr>
                    <w:color w:val="000000"/>
                    <w:szCs w:val="24"/>
                    <w:lang w:eastAsia="lt-LT"/>
                  </w:rPr>
                </w:pPr>
                <w:r>
                  <w:rPr>
                    <w:color w:val="000000"/>
                    <w:szCs w:val="24"/>
                    <w:lang w:eastAsia="lt-LT"/>
                  </w:rPr>
                  <w:t>Bendra apskaityta suma, Lt</w:t>
                </w:r>
              </w:p>
            </w:tc>
            <w:tc>
              <w:tcPr>
                <w:tcW w:w="4844" w:type="dxa"/>
                <w:gridSpan w:val="3"/>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jc w:val="center"/>
                  <w:rPr>
                    <w:color w:val="000000"/>
                    <w:szCs w:val="24"/>
                    <w:lang w:eastAsia="lt-LT"/>
                  </w:rPr>
                </w:pPr>
                <w:r>
                  <w:rPr>
                    <w:color w:val="000000"/>
                    <w:szCs w:val="24"/>
                    <w:lang w:eastAsia="lt-LT"/>
                  </w:rPr>
                  <w:t>Savininkų paieška (kur ir kada skelbta)</w:t>
                </w:r>
              </w:p>
            </w:tc>
            <w:tc>
              <w:tcPr>
                <w:tcW w:w="182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jc w:val="center"/>
                  <w:rPr>
                    <w:color w:val="000000"/>
                    <w:szCs w:val="24"/>
                    <w:lang w:eastAsia="lt-LT"/>
                  </w:rPr>
                </w:pPr>
                <w:r>
                  <w:rPr>
                    <w:color w:val="000000"/>
                    <w:szCs w:val="24"/>
                    <w:lang w:eastAsia="lt-LT"/>
                  </w:rPr>
                  <w:t>Prašymo pateikimo teismui data</w:t>
                </w:r>
              </w:p>
            </w:tc>
            <w:tc>
              <w:tcPr>
                <w:tcW w:w="190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jc w:val="center"/>
                  <w:rPr>
                    <w:color w:val="000000"/>
                    <w:szCs w:val="24"/>
                    <w:lang w:eastAsia="lt-LT"/>
                  </w:rPr>
                </w:pPr>
                <w:r>
                  <w:rPr>
                    <w:color w:val="000000"/>
                    <w:szCs w:val="24"/>
                    <w:lang w:eastAsia="lt-LT"/>
                  </w:rPr>
                  <w:t>Teismo sprendimo priėmimo data</w:t>
                </w:r>
              </w:p>
            </w:tc>
          </w:tr>
          <w:tr>
            <w:trPr>
              <w:trHeight w:val="60"/>
            </w:trPr>
            <w:tc>
              <w:tcPr>
                <w:tcW w:w="123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szCs w:val="24"/>
                    <w:lang w:eastAsia="lt-LT"/>
                  </w:rPr>
                </w:pPr>
              </w:p>
            </w:tc>
            <w:tc>
              <w:tcPr>
                <w:tcW w:w="138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jc w:val="center"/>
                  <w:rPr>
                    <w:color w:val="000000"/>
                    <w:szCs w:val="24"/>
                    <w:lang w:eastAsia="lt-LT"/>
                  </w:rPr>
                </w:pPr>
                <w:r>
                  <w:rPr>
                    <w:color w:val="000000"/>
                    <w:szCs w:val="24"/>
                    <w:lang w:eastAsia="lt-LT"/>
                  </w:rPr>
                  <w:t>Interneto svetainėje</w:t>
                </w:r>
              </w:p>
            </w:tc>
            <w:tc>
              <w:tcPr>
                <w:tcW w:w="184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jc w:val="center"/>
                  <w:rPr>
                    <w:color w:val="000000"/>
                    <w:szCs w:val="24"/>
                    <w:lang w:eastAsia="lt-LT"/>
                  </w:rPr>
                </w:pPr>
                <w:r>
                  <w:rPr>
                    <w:color w:val="000000"/>
                    <w:szCs w:val="24"/>
                    <w:lang w:eastAsia="lt-LT"/>
                  </w:rPr>
                  <w:t>Seniūnijos informaciniame</w:t>
                </w:r>
                <w:r>
                  <w:rPr>
                    <w:b/>
                    <w:bCs/>
                    <w:color w:val="000000"/>
                    <w:szCs w:val="24"/>
                    <w:lang w:eastAsia="lt-LT"/>
                  </w:rPr>
                  <w:t xml:space="preserve"> </w:t>
                </w:r>
                <w:r>
                  <w:rPr>
                    <w:color w:val="000000"/>
                    <w:szCs w:val="24"/>
                    <w:lang w:eastAsia="lt-LT"/>
                  </w:rPr>
                  <w:t>stende</w:t>
                </w:r>
              </w:p>
            </w:tc>
            <w:tc>
              <w:tcPr>
                <w:tcW w:w="161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jc w:val="center"/>
                  <w:rPr>
                    <w:color w:val="000000"/>
                    <w:szCs w:val="24"/>
                    <w:lang w:eastAsia="lt-LT"/>
                  </w:rPr>
                </w:pPr>
                <w:r>
                  <w:rPr>
                    <w:color w:val="000000"/>
                    <w:szCs w:val="24"/>
                    <w:lang w:eastAsia="lt-LT"/>
                  </w:rPr>
                  <w:t>Nacionaliame laikraštyje</w:t>
                </w:r>
              </w:p>
            </w:tc>
            <w:tc>
              <w:tcPr>
                <w:tcW w:w="182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szCs w:val="24"/>
                    <w:lang w:eastAsia="lt-LT"/>
                  </w:rPr>
                </w:pPr>
              </w:p>
            </w:tc>
            <w:tc>
              <w:tcPr>
                <w:tcW w:w="190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szCs w:val="24"/>
                    <w:lang w:eastAsia="lt-LT"/>
                  </w:rPr>
                </w:pPr>
              </w:p>
            </w:tc>
          </w:tr>
          <w:tr>
            <w:trPr>
              <w:trHeight w:val="60"/>
            </w:trPr>
            <w:tc>
              <w:tcPr>
                <w:tcW w:w="123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jc w:val="center"/>
                  <w:rPr>
                    <w:color w:val="000000"/>
                    <w:szCs w:val="24"/>
                    <w:lang w:eastAsia="lt-LT"/>
                  </w:rPr>
                </w:pPr>
                <w:r>
                  <w:rPr>
                    <w:color w:val="000000"/>
                    <w:szCs w:val="24"/>
                    <w:lang w:eastAsia="lt-LT"/>
                  </w:rPr>
                  <w:t>7</w:t>
                </w:r>
              </w:p>
            </w:tc>
            <w:tc>
              <w:tcPr>
                <w:tcW w:w="138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jc w:val="center"/>
                  <w:rPr>
                    <w:color w:val="000000"/>
                    <w:szCs w:val="24"/>
                    <w:lang w:eastAsia="lt-LT"/>
                  </w:rPr>
                </w:pPr>
                <w:r>
                  <w:rPr>
                    <w:color w:val="000000"/>
                    <w:szCs w:val="24"/>
                    <w:lang w:eastAsia="lt-LT"/>
                  </w:rPr>
                  <w:t>8</w:t>
                </w:r>
              </w:p>
            </w:tc>
            <w:tc>
              <w:tcPr>
                <w:tcW w:w="184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jc w:val="center"/>
                  <w:rPr>
                    <w:color w:val="000000"/>
                    <w:szCs w:val="24"/>
                    <w:lang w:eastAsia="lt-LT"/>
                  </w:rPr>
                </w:pPr>
                <w:r>
                  <w:rPr>
                    <w:color w:val="000000"/>
                    <w:szCs w:val="24"/>
                    <w:lang w:eastAsia="lt-LT"/>
                  </w:rPr>
                  <w:t>9</w:t>
                </w:r>
              </w:p>
            </w:tc>
            <w:tc>
              <w:tcPr>
                <w:tcW w:w="161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jc w:val="center"/>
                  <w:rPr>
                    <w:color w:val="000000"/>
                    <w:szCs w:val="24"/>
                    <w:lang w:eastAsia="lt-LT"/>
                  </w:rPr>
                </w:pPr>
                <w:r>
                  <w:rPr>
                    <w:color w:val="000000"/>
                    <w:szCs w:val="24"/>
                    <w:lang w:eastAsia="lt-LT"/>
                  </w:rPr>
                  <w:t>10</w:t>
                </w:r>
              </w:p>
            </w:tc>
            <w:tc>
              <w:tcPr>
                <w:tcW w:w="182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jc w:val="center"/>
                  <w:rPr>
                    <w:color w:val="000000"/>
                    <w:szCs w:val="24"/>
                    <w:lang w:eastAsia="lt-LT"/>
                  </w:rPr>
                </w:pPr>
                <w:r>
                  <w:rPr>
                    <w:color w:val="000000"/>
                    <w:szCs w:val="24"/>
                    <w:lang w:eastAsia="lt-LT"/>
                  </w:rPr>
                  <w:t>11</w:t>
                </w:r>
              </w:p>
            </w:tc>
            <w:tc>
              <w:tcPr>
                <w:tcW w:w="190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jc w:val="center"/>
                  <w:rPr>
                    <w:color w:val="000000"/>
                    <w:szCs w:val="24"/>
                    <w:lang w:eastAsia="lt-LT"/>
                  </w:rPr>
                </w:pPr>
                <w:r>
                  <w:rPr>
                    <w:color w:val="000000"/>
                    <w:szCs w:val="24"/>
                    <w:lang w:eastAsia="lt-LT"/>
                  </w:rPr>
                  <w:t>12</w:t>
                </w:r>
              </w:p>
            </w:tc>
          </w:tr>
        </w:tbl>
        <w:p>
          <w:pPr>
            <w:widowControl w:val="0"/>
            <w:ind w:firstLine="567"/>
            <w:jc w:val="both"/>
            <w:rPr>
              <w:color w:val="000000"/>
              <w:szCs w:val="24"/>
              <w:lang w:eastAsia="lt-LT"/>
            </w:rPr>
          </w:pPr>
        </w:p>
        <w:sdt>
          <w:sdtPr>
            <w:alias w:val="pabaiga"/>
            <w:tag w:val="part_387f63d6f60c46c882a082af27054d8b"/>
            <w:lock w:val="sdtLocked"/>
            <w:richText/>
          </w:sdtPr>
          <w:sdtContent>
            <w:p>
              <w:pPr>
                <w:widowControl w:val="0"/>
                <w:jc w:val="center"/>
              </w:pPr>
              <w:r>
                <w:rPr>
                  <w:color w:val="000000"/>
                  <w:szCs w:val="24"/>
                  <w:lang w:eastAsia="lt-LT"/>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Formos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B3F01BB3FF">
            <w:r w:rsidRPr="00532B9F">
              <w:rPr>
                <w:rFonts w:ascii="Times New Roman" w:eastAsia="MS Mincho" w:hAnsi="Times New Roman"/>
                <w:sz w:val="20"/>
                <w:i/>
                <w:iCs/>
                <w:color w:val="0000FF" w:themeColor="hyperlink"/>
                <w:u w:val="single"/>
              </w:rPr>
              <w:t>D1-426</w:t>
            </w:r>
          </w:fldSimple>
          <w:r>
            <w:rPr>
              <w:rFonts w:ascii="Times New Roman" w:eastAsia="MS Mincho" w:hAnsi="Times New Roman"/>
              <w:sz w:val="20"/>
              <w:i/>
              <w:iCs/>
            </w:rPr>
            <w:t>,
2013-06-06,
Žin., 2013, Nr.
61-3043 (2013-06-08), i. k. 113301MISAK00D1-426            </w:t>
          </w:r>
        </w:p>
        <w:p/>
      </w:sdtContent>
    </w:sdt>
    <w:sdt>
      <w:sdtPr>
        <w:alias w:val="frm."/>
        <w:tag w:val="part_3462c701a54d4f73b34d2bbbe2a0fec0"/>
        <w:lock w:val="sdtLocked"/>
        <w:richText/>
      </w:sdtPr>
      <w:sdtContent>
        <w:p>
          <w:pPr>
            <w:ind w:firstLine="5102"/>
            <w:sectPr>
              <w:pgSz w:w="11907" w:h="16839"/>
              <w:pgMar w:top="1134" w:right="567" w:bottom="1134" w:left="1701" w:header="567" w:footer="567" w:gutter="0"/>
              <w:cols w:space="1296"/>
              <w:titlePg/>
              <w:docGrid w:linePitch="360"/>
            </w:sectPr>
          </w:pPr>
        </w:p>
        <w:p>
          <w:pPr>
            <w:ind w:firstLine="5102"/>
          </w:pPr>
          <w:r>
            <w:t>Forma patvirtinta Lietuvos Respublikos</w:t>
          </w:r>
        </w:p>
        <w:p>
          <w:pPr>
            <w:ind w:firstLine="5102"/>
          </w:pPr>
          <w:r>
            <w:t>aplinkos ministro2005 m. rugsėjo 16 d.</w:t>
          </w:r>
        </w:p>
        <w:p>
          <w:pPr>
            <w:ind w:firstLine="5102"/>
          </w:pPr>
          <w:r>
            <w:t>įsakymu Nr. D1-449</w:t>
          </w:r>
        </w:p>
        <w:p>
          <w:pPr>
            <w:ind w:firstLine="709"/>
          </w:pPr>
        </w:p>
        <w:sdt>
          <w:sdtPr>
            <w:alias w:val="Pavadinimas"/>
            <w:tag w:val="title_3462c701a54d4f73b34d2bbbe2a0fec0"/>
            <w:lock w:val="sdtLocked"/>
            <w:richText/>
          </w:sdtPr>
          <w:sdtContent>
            <w:p>
              <w:pPr>
                <w:jc w:val="center"/>
                <w:rPr>
                  <w:b/>
                </w:rPr>
              </w:pPr>
              <w:r>
                <w:rPr>
                  <w:b/>
                </w:rPr>
                <w:t xml:space="preserve">S K E L B I M A S </w:t>
              </w:r>
            </w:p>
            <w:p>
              <w:pPr>
                <w:jc w:val="center"/>
                <w:rPr>
                  <w:b/>
                </w:rPr>
              </w:pPr>
              <w:r>
                <w:rPr>
                  <w:b/>
                </w:rPr>
                <w:t xml:space="preserve">APIE SIŪLYMĄ PRIPAŽINTI STATINIUS, KURIE NETURI SAVININKŲ </w:t>
              </w:r>
            </w:p>
            <w:p>
              <w:pPr>
                <w:jc w:val="center"/>
                <w:rPr>
                  <w:b/>
                </w:rPr>
              </w:pPr>
              <w:r>
                <w:rPr>
                  <w:b/>
                </w:rPr>
                <w:t>(AR KURIŲ SAVININKAI NEŽINOMI), BEŠEIMININKIAIS</w:t>
              </w:r>
            </w:p>
          </w:sdtContent>
        </w:sdt>
        <w:p>
          <w:pPr>
            <w:jc w:val="center"/>
            <w:rPr>
              <w:b/>
            </w:rPr>
          </w:pPr>
        </w:p>
        <w:p>
          <w:pPr>
            <w:tabs>
              <w:tab w:val="right" w:leader="underscore" w:pos="9638"/>
            </w:tabs>
            <w:jc w:val="center"/>
          </w:pPr>
          <w:r>
            <w:tab/>
            <w:t xml:space="preserve"> kreipsis į teismą dėl statinių, kurie neturi</w:t>
          </w:r>
        </w:p>
        <w:p>
          <w:pPr>
            <w:tabs>
              <w:tab w:val="center" w:pos="2835"/>
              <w:tab w:val="right" w:leader="underscore" w:pos="9072"/>
            </w:tabs>
            <w:ind w:firstLine="709"/>
            <w:jc w:val="both"/>
            <w:rPr>
              <w:i/>
              <w:sz w:val="20"/>
            </w:rPr>
          </w:pPr>
          <w:r>
            <w:rPr>
              <w:i/>
              <w:sz w:val="20"/>
            </w:rPr>
            <w:tab/>
            <w:t xml:space="preserve">(skelbiančios institucijos pavadinimas) </w:t>
          </w:r>
        </w:p>
        <w:p>
          <w:pPr>
            <w:tabs>
              <w:tab w:val="right" w:leader="underscore" w:pos="9072"/>
            </w:tabs>
            <w:ind w:firstLine="709"/>
            <w:jc w:val="both"/>
          </w:pPr>
          <w:r>
            <w:t>savininkų (ar kurių savininkai nežinomi), pripažinimo bešeimininkiais ir jų perdavimo valstybės ar savivaldybės nuosavybėn, tarp jų:</w:t>
          </w:r>
        </w:p>
        <w:p>
          <w:pPr>
            <w:tabs>
              <w:tab w:val="right" w:leader="underscore" w:pos="9638"/>
            </w:tabs>
            <w:ind w:firstLine="709"/>
            <w:jc w:val="both"/>
          </w:pPr>
          <w:r>
            <w:t xml:space="preserve">1. </w:t>
            <w:tab/>
          </w:r>
        </w:p>
        <w:p>
          <w:pPr>
            <w:tabs>
              <w:tab w:val="center" w:pos="4962"/>
              <w:tab w:val="right" w:leader="underscore" w:pos="9072"/>
            </w:tabs>
            <w:ind w:firstLine="709"/>
            <w:jc w:val="both"/>
            <w:rPr>
              <w:i/>
              <w:sz w:val="20"/>
            </w:rPr>
          </w:pPr>
          <w:r>
            <w:rPr>
              <w:i/>
            </w:rPr>
            <w:tab/>
          </w:r>
          <w:r>
            <w:rPr>
              <w:i/>
              <w:sz w:val="20"/>
            </w:rPr>
            <w:t>(statinio pavadinimas, paskirtis, adresas)</w:t>
          </w:r>
        </w:p>
        <w:p>
          <w:pPr>
            <w:tabs>
              <w:tab w:val="right" w:leader="underscore" w:pos="9638"/>
            </w:tabs>
            <w:ind w:firstLine="709"/>
            <w:jc w:val="both"/>
          </w:pPr>
          <w:r>
            <w:t xml:space="preserve">2. </w:t>
            <w:tab/>
          </w:r>
        </w:p>
        <w:p>
          <w:pPr>
            <w:tabs>
              <w:tab w:val="right" w:leader="underscore" w:pos="9638"/>
            </w:tabs>
            <w:jc w:val="both"/>
          </w:pPr>
          <w:r>
            <w:tab/>
          </w:r>
        </w:p>
        <w:p>
          <w:pPr>
            <w:tabs>
              <w:tab w:val="right" w:leader="underscore" w:pos="9638"/>
            </w:tabs>
            <w:jc w:val="both"/>
          </w:pPr>
          <w:r>
            <w:t xml:space="preserve">Asmenis, turinčius turtinių teisių į šiuos statinius, prašome iki 200 m. </w:t>
            <w:tab/>
            <w:t xml:space="preserve"> d.</w:t>
          </w:r>
        </w:p>
        <w:p>
          <w:pPr>
            <w:tabs>
              <w:tab w:val="right" w:leader="underscore" w:pos="9638"/>
            </w:tabs>
            <w:jc w:val="both"/>
          </w:pPr>
          <w:r>
            <w:t xml:space="preserve">kreiptis į </w:t>
            <w:tab/>
          </w:r>
        </w:p>
        <w:p>
          <w:pPr>
            <w:tabs>
              <w:tab w:val="right" w:leader="underscore" w:pos="9072"/>
            </w:tabs>
            <w:jc w:val="center"/>
            <w:rPr>
              <w:sz w:val="20"/>
            </w:rPr>
          </w:pPr>
          <w:r>
            <w:rPr>
              <w:i/>
              <w:sz w:val="20"/>
            </w:rPr>
            <w:t>(institucijos ir jos padalinio pavadinimas)</w:t>
          </w:r>
        </w:p>
        <w:p>
          <w:pPr>
            <w:tabs>
              <w:tab w:val="right" w:leader="underscore" w:pos="9072"/>
            </w:tabs>
            <w:jc w:val="both"/>
          </w:pPr>
          <w:r>
            <w:t>adresu:,</w:t>
          </w:r>
        </w:p>
        <w:p>
          <w:pPr>
            <w:tabs>
              <w:tab w:val="center" w:pos="4820"/>
              <w:tab w:val="right" w:leader="underscore" w:pos="9072"/>
            </w:tabs>
            <w:jc w:val="both"/>
            <w:rPr>
              <w:i/>
            </w:rPr>
          </w:pPr>
          <w:r>
            <w:rPr>
              <w:i/>
            </w:rPr>
            <w:tab/>
            <w:t xml:space="preserve">(institucijos buveinės adresas, aukštas, kabineto Nr.) </w:t>
          </w:r>
        </w:p>
        <w:p>
          <w:pPr>
            <w:tabs>
              <w:tab w:val="right" w:leader="underscore" w:pos="9072"/>
            </w:tabs>
            <w:jc w:val="both"/>
          </w:pPr>
          <w:r>
            <w:t>ir pateikti dokumentus, liudijančius nuosavybės ar kitas turtines teises į šiame skelbime išvardytus statinius.</w:t>
          </w:r>
        </w:p>
        <w:p>
          <w:pPr>
            <w:tabs>
              <w:tab w:val="right" w:leader="underscore" w:pos="9072"/>
            </w:tabs>
            <w:ind w:firstLine="709"/>
            <w:jc w:val="both"/>
          </w:pPr>
        </w:p>
        <w:p>
          <w:pPr>
            <w:tabs>
              <w:tab w:val="left" w:pos="3828"/>
              <w:tab w:val="left" w:leader="underscore" w:pos="5954"/>
              <w:tab w:val="left" w:pos="6804"/>
              <w:tab w:val="right" w:leader="underscore" w:pos="9072"/>
            </w:tabs>
            <w:ind w:firstLine="709"/>
            <w:jc w:val="both"/>
          </w:pPr>
          <w:r>
            <w:t>___________________________</w:t>
            <w:tab/>
            <w:tab/>
            <w:tab/>
          </w:r>
        </w:p>
        <w:p>
          <w:pPr>
            <w:tabs>
              <w:tab w:val="center" w:pos="1560"/>
              <w:tab w:val="center" w:pos="4820"/>
              <w:tab w:val="center" w:pos="7938"/>
              <w:tab w:val="right" w:leader="underscore" w:pos="9072"/>
            </w:tabs>
            <w:ind w:firstLine="709"/>
            <w:jc w:val="both"/>
            <w:rPr>
              <w:i/>
              <w:sz w:val="20"/>
            </w:rPr>
          </w:pPr>
          <w:r>
            <w:rPr>
              <w:i/>
              <w:sz w:val="20"/>
            </w:rPr>
            <w:tab/>
            <w:t>(vadovo pareigų pavadinimas)</w:t>
            <w:tab/>
            <w:t xml:space="preserve"> (parašas) </w:t>
            <w:tab/>
            <w:t xml:space="preserve">(vardas ir pavardė) </w:t>
          </w:r>
        </w:p>
        <w:p>
          <w:pPr>
            <w:jc w:val="center"/>
          </w:pPr>
          <w:r>
            <w:t>______________</w:t>
          </w:r>
        </w:p>
      </w:sdtContent>
    </w:sdt>
    <w:sdt>
      <w:sdtPr>
        <w:alias w:val="patvirtinta"/>
        <w:tag w:val="part_e5d74bc98cd742f28d7b9e44c0d7d6da"/>
        <w:lock w:val="sdtLocked"/>
        <w:richText/>
      </w:sdtPr>
      <w:sdtContent>
        <w:p>
          <w:pPr>
            <w:ind w:firstLine="5102"/>
            <w:sectPr>
              <w:pgSz w:w="11907" w:h="16839"/>
              <w:pgMar w:top="1134" w:right="567" w:bottom="1134" w:left="1701" w:header="567" w:footer="567" w:gutter="0"/>
              <w:cols w:space="1296"/>
              <w:titlePg/>
              <w:docGrid w:linePitch="360"/>
            </w:sectPr>
          </w:pPr>
        </w:p>
        <w:p>
          <w:pPr>
            <w:ind w:firstLine="5102"/>
          </w:pPr>
          <w:r>
            <w:t>PATVIRTINTA</w:t>
          </w:r>
        </w:p>
        <w:p>
          <w:pPr>
            <w:ind w:firstLine="5102"/>
          </w:pPr>
          <w:r>
            <w:t>Lietuvos Respublikos aplinkos ministro</w:t>
          </w:r>
        </w:p>
        <w:p>
          <w:pPr>
            <w:ind w:firstLine="5102"/>
          </w:pPr>
          <w:r>
            <w:t>2005 m. rugsėjo 16 d. įsakymu Nr. D1-449</w:t>
          </w:r>
        </w:p>
        <w:p>
          <w:pPr>
            <w:ind w:firstLine="709"/>
          </w:pPr>
        </w:p>
        <w:sdt>
          <w:sdtPr>
            <w:alias w:val="Pavadinimas"/>
            <w:tag w:val="title_e5d74bc98cd742f28d7b9e44c0d7d6da"/>
            <w:lock w:val="sdtLocked"/>
            <w:richText/>
          </w:sdtPr>
          <w:sdtContent>
            <w:p>
              <w:pPr>
                <w:jc w:val="center"/>
                <w:rPr>
                  <w:b/>
                </w:rPr>
              </w:pPr>
              <w:r>
                <w:rPr>
                  <w:b/>
                </w:rPr>
                <w:t xml:space="preserve">STATINIŲ, KURIE NETURI SAVININKŲ (AR KURIŲ SAVININKAI NEŽINOMI), SĄRAŠŲ, APSKAITOS AKTŲ, JŲ REGISTRŲ (REGISTRAVIMO KNYGŲ) IR SKELBIMŲ APIE SIŪLYMĄ PRIPAŽINTI JUOS BEŠEIMININKIAIS FORMŲ PILDYMO TVARKOS </w:t>
              </w:r>
            </w:p>
            <w:p>
              <w:pPr>
                <w:jc w:val="center"/>
                <w:rPr>
                  <w:b/>
                </w:rPr>
              </w:pPr>
              <w:r>
                <w:rPr>
                  <w:b/>
                </w:rPr>
                <w:t>APRAŠAS</w:t>
              </w:r>
            </w:p>
          </w:sdtContent>
        </w:sdt>
        <w:p>
          <w:pPr>
            <w:jc w:val="center"/>
            <w:rPr>
              <w:b/>
            </w:rPr>
          </w:pPr>
        </w:p>
        <w:sdt>
          <w:sdtPr>
            <w:alias w:val="skyrius"/>
            <w:tag w:val="part_4cf711aa8a3f4d17b995f5f5b4dba199"/>
            <w:lock w:val="sdtLocked"/>
            <w:richText/>
          </w:sdtPr>
          <w:sdtContent>
            <w:p>
              <w:pPr>
                <w:jc w:val="center"/>
                <w:rPr>
                  <w:b/>
                </w:rPr>
              </w:pPr>
              <w:sdt>
                <w:sdtPr>
                  <w:alias w:val="Numeris"/>
                  <w:tag w:val="nr_4cf711aa8a3f4d17b995f5f5b4dba199"/>
                  <w:lock w:val="sdtLocked"/>
                  <w:richText/>
                </w:sdtPr>
                <w:sdtContent>
                  <w:r>
                    <w:rPr>
                      <w:b/>
                    </w:rPr>
                    <w:t>I</w:t>
                  </w:r>
                </w:sdtContent>
              </w:sdt>
              <w:r>
                <w:rPr>
                  <w:b/>
                </w:rPr>
                <w:t xml:space="preserve">. </w:t>
              </w:r>
              <w:sdt>
                <w:sdtPr>
                  <w:alias w:val="Pavadinimas"/>
                  <w:tag w:val="title_4cf711aa8a3f4d17b995f5f5b4dba199"/>
                  <w:lock w:val="sdtLocked"/>
                  <w:richText/>
                </w:sdtPr>
                <w:sdtContent>
                  <w:r>
                    <w:rPr>
                      <w:b/>
                    </w:rPr>
                    <w:t>BENDROSIOS NUOSTATOS</w:t>
                  </w:r>
                </w:sdtContent>
              </w:sdt>
            </w:p>
            <w:p>
              <w:pPr>
                <w:jc w:val="center"/>
                <w:rPr>
                  <w:b/>
                </w:rPr>
              </w:pPr>
            </w:p>
            <w:sdt>
              <w:sdtPr>
                <w:alias w:val="1 p."/>
                <w:tag w:val="part_44b2690c058e4475aaedff6b06f26adb"/>
                <w:lock w:val="sdtLocked"/>
                <w:richText/>
              </w:sdtPr>
              <w:sdtContent>
                <w:p>
                  <w:pPr>
                    <w:widowControl w:val="0"/>
                    <w:suppressAutoHyphens/>
                    <w:ind w:firstLine="709"/>
                    <w:jc w:val="both"/>
                  </w:pPr>
                  <w:sdt>
                    <w:sdtPr>
                      <w:alias w:val="Numeris"/>
                      <w:tag w:val="nr_44b2690c058e4475aaedff6b06f26adb"/>
                      <w:lock w:val="sdtLocked"/>
                      <w:richText/>
                    </w:sdtPr>
                    <w:sdtContent>
                      <w:r>
                        <w:rPr>
                          <w:color w:val="000000"/>
                          <w:spacing w:val="-2"/>
                        </w:rPr>
                        <w:t>1</w:t>
                      </w:r>
                    </w:sdtContent>
                  </w:sdt>
                  <w:r>
                    <w:rPr>
                      <w:color w:val="000000"/>
                      <w:spacing w:val="-2"/>
                    </w:rPr>
                    <w:t xml:space="preserve">. Statinių, kurie neturi savininkų ar kurių savininkai nežinomi (toliau – Statiniai), sąrašų, apskaitos aktų, jų registrų (registravimo knygų) ir skelbimų apie siūlymą pripažinti juos bešeimininkiais formas (toliau – Formos) pildo institucijų, kurioms Statybos įstatymo (Žin., 1996, Nr. </w:t>
                  </w:r>
                  <w:hyperlink r:id="rId18" w:tgtFrame="_blank" w:history="1">
                    <w:r>
                      <w:rPr>
                        <w:color w:val="0000FF" w:themeColor="hyperlink"/>
                        <w:spacing w:val="-2"/>
                        <w:u w:val="single"/>
                      </w:rPr>
                      <w:t>32-788</w:t>
                    </w:r>
                  </w:hyperlink>
                  <w:r>
                    <w:rPr>
                      <w:color w:val="000000"/>
                      <w:spacing w:val="-2"/>
                    </w:rPr>
                    <w:t xml:space="preserve">; 2001, Nr. </w:t>
                  </w:r>
                  <w:hyperlink r:id="rId19" w:tgtFrame="_blank" w:history="1">
                    <w:r>
                      <w:rPr>
                        <w:color w:val="0000FF" w:themeColor="hyperlink"/>
                        <w:spacing w:val="-2"/>
                        <w:u w:val="single"/>
                      </w:rPr>
                      <w:t>101-3597</w:t>
                    </w:r>
                  </w:hyperlink>
                  <w:r>
                    <w:rPr>
                      <w:color w:val="000000"/>
                      <w:spacing w:val="-2"/>
                    </w:rPr>
                    <w:t xml:space="preserve">; 2009, Nr. </w:t>
                  </w:r>
                  <w:hyperlink r:id="rId20" w:tgtFrame="_blank" w:history="1">
                    <w:r>
                      <w:rPr>
                        <w:color w:val="0000FF" w:themeColor="hyperlink"/>
                        <w:spacing w:val="-2"/>
                        <w:u w:val="single"/>
                      </w:rPr>
                      <w:t>144-6352</w:t>
                    </w:r>
                  </w:hyperlink>
                  <w:r>
                    <w:rPr>
                      <w:color w:val="000000"/>
                      <w:spacing w:val="-2"/>
                    </w:rPr>
                    <w:t>) 42 straipsnio 1 dalimi pavesta statinių naudojimo priežiūra, įgalioti valstybės tarnautojai arba darbuotojai, dirbantys pagal darbo sutartį (toliau – Įgalioti asmenys).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324C6FBA311">
                    <w:r w:rsidRPr="00532B9F">
                      <w:rPr>
                        <w:rFonts w:ascii="Times New Roman" w:eastAsia="MS Mincho" w:hAnsi="Times New Roman"/>
                        <w:sz w:val="20"/>
                        <w:i/>
                        <w:iCs/>
                        <w:color w:val="0000FF" w:themeColor="hyperlink"/>
                        <w:u w:val="single"/>
                      </w:rPr>
                      <w:t>D1-679</w:t>
                    </w:r>
                  </w:fldSimple>
                  <w:r>
                    <w:rPr>
                      <w:rFonts w:ascii="Times New Roman" w:eastAsia="MS Mincho" w:hAnsi="Times New Roman"/>
                      <w:sz w:val="20"/>
                      <w:i/>
                      <w:iCs/>
                    </w:rPr>
                    <w:t>,
2011-09-06,
Žin., 2011, Nr.
113-5330 (2011-09-15), i. k. 111301MISAK00D1-679            </w:t>
                  </w:r>
                </w:p>
                <w:p/>
              </w:sdtContent>
            </w:sdt>
            <w:sdt>
              <w:sdtPr>
                <w:alias w:val="2 p."/>
                <w:tag w:val="part_859ff07793b04d53b0fa99ad3eea914d"/>
                <w:lock w:val="sdtLocked"/>
                <w:richText/>
              </w:sdtPr>
              <w:sdtContent>
                <w:p>
                  <w:pPr>
                    <w:ind w:firstLine="709"/>
                    <w:jc w:val="both"/>
                  </w:pPr>
                  <w:sdt>
                    <w:sdtPr>
                      <w:alias w:val="Numeris"/>
                      <w:tag w:val="nr_859ff07793b04d53b0fa99ad3eea914d"/>
                      <w:lock w:val="sdtLocked"/>
                      <w:richText/>
                    </w:sdtPr>
                    <w:sdtContent>
                      <w:r>
                        <w:t>2</w:t>
                      </w:r>
                    </w:sdtContent>
                  </w:sdt>
                  <w:r>
                    <w:t>. Formos gali būti spausdinamos kompiuteriniu būdu arba spaustuvėje.</w:t>
                  </w:r>
                </w:p>
              </w:sdtContent>
            </w:sdt>
            <w:sdt>
              <w:sdtPr>
                <w:alias w:val="3 p."/>
                <w:tag w:val="part_3336a7dc9d234377936c59b25e62170e"/>
                <w:lock w:val="sdtLocked"/>
                <w:richText/>
              </w:sdtPr>
              <w:sdtContent>
                <w:p>
                  <w:pPr>
                    <w:ind w:firstLine="709"/>
                    <w:jc w:val="both"/>
                  </w:pPr>
                  <w:sdt>
                    <w:sdtPr>
                      <w:alias w:val="Numeris"/>
                      <w:tag w:val="nr_3336a7dc9d234377936c59b25e62170e"/>
                      <w:lock w:val="sdtLocked"/>
                      <w:richText/>
                    </w:sdtPr>
                    <w:sdtContent>
                      <w:r>
                        <w:t>3</w:t>
                      </w:r>
                    </w:sdtContent>
                  </w:sdt>
                  <w:r>
                    <w:t>. Kai Forma yra kelių lapų, jie numeruojami. Jei Forma išspausdinta ant abiejų lapo pusių, numeruojami puslapiai.</w:t>
                  </w:r>
                </w:p>
              </w:sdtContent>
            </w:sdt>
            <w:sdt>
              <w:sdtPr>
                <w:alias w:val="4 p."/>
                <w:tag w:val="part_dfb76fceada44a988b555292ae947005"/>
                <w:lock w:val="sdtLocked"/>
                <w:richText/>
              </w:sdtPr>
              <w:sdtContent>
                <w:p>
                  <w:pPr>
                    <w:ind w:firstLine="709"/>
                    <w:jc w:val="both"/>
                  </w:pPr>
                  <w:sdt>
                    <w:sdtPr>
                      <w:alias w:val="Numeris"/>
                      <w:tag w:val="nr_dfb76fceada44a988b555292ae947005"/>
                      <w:lock w:val="sdtLocked"/>
                      <w:richText/>
                    </w:sdtPr>
                    <w:sdtContent>
                      <w:r>
                        <w:t>4</w:t>
                      </w:r>
                    </w:sdtContent>
                  </w:sdt>
                  <w:r>
                    <w:t>. Formos turi būti pildomos aiškiai, įskaitomai, be trynimų ir braukymų. Kiekvienas pataisymas turi būti patvirtintas dokumentą surašiusio Įgalioto asmens parašu.</w:t>
                  </w:r>
                </w:p>
              </w:sdtContent>
            </w:sdt>
            <w:sdt>
              <w:sdtPr>
                <w:alias w:val="5 p."/>
                <w:tag w:val="part_e9c5c088d48247429282adeb89d42efd"/>
                <w:lock w:val="sdtLocked"/>
                <w:richText/>
              </w:sdtPr>
              <w:sdtContent>
                <w:p>
                  <w:pPr>
                    <w:ind w:firstLine="709"/>
                    <w:jc w:val="both"/>
                  </w:pPr>
                  <w:sdt>
                    <w:sdtPr>
                      <w:alias w:val="Numeris"/>
                      <w:tag w:val="nr_e9c5c088d48247429282adeb89d42efd"/>
                      <w:lock w:val="sdtLocked"/>
                      <w:richText/>
                    </w:sdtPr>
                    <w:sdtContent>
                      <w:r>
                        <w:t>5</w:t>
                      </w:r>
                    </w:sdtContent>
                  </w:sdt>
                  <w:r>
                    <w:t>. Statinių sąrašai, apskaitos aktai, jų registrai (registravimo knygos) bei skelbimai apie siūlymą pripažinti Statinius bešeimininkiais, kurie buvo užpildyti iki šio aprašo įsigaliojimo pagal kitokias Formas, yra galiojantys.</w:t>
                  </w:r>
                </w:p>
                <w:p>
                  <w:pPr>
                    <w:ind w:firstLine="709"/>
                    <w:jc w:val="both"/>
                  </w:pPr>
                </w:p>
              </w:sdtContent>
            </w:sdt>
          </w:sdtContent>
        </w:sdt>
        <w:sdt>
          <w:sdtPr>
            <w:alias w:val="skyrius"/>
            <w:tag w:val="part_34f41e3773494f47b9493c1bca540e10"/>
            <w:lock w:val="sdtLocked"/>
            <w:richText/>
          </w:sdtPr>
          <w:sdtContent>
            <w:p>
              <w:pPr>
                <w:jc w:val="center"/>
                <w:rPr>
                  <w:b/>
                </w:rPr>
              </w:pPr>
              <w:sdt>
                <w:sdtPr>
                  <w:alias w:val="Numeris"/>
                  <w:tag w:val="nr_34f41e3773494f47b9493c1bca540e10"/>
                  <w:lock w:val="sdtLocked"/>
                  <w:richText/>
                </w:sdtPr>
                <w:sdtContent>
                  <w:r>
                    <w:rPr>
                      <w:b/>
                    </w:rPr>
                    <w:t>II</w:t>
                  </w:r>
                </w:sdtContent>
              </w:sdt>
              <w:r>
                <w:rPr>
                  <w:b/>
                </w:rPr>
                <w:t xml:space="preserve">. </w:t>
              </w:r>
              <w:sdt>
                <w:sdtPr>
                  <w:alias w:val="Pavadinimas"/>
                  <w:tag w:val="title_34f41e3773494f47b9493c1bca540e10"/>
                  <w:lock w:val="sdtLocked"/>
                  <w:richText/>
                </w:sdtPr>
                <w:sdtContent>
                  <w:r>
                    <w:rPr>
                      <w:b/>
                    </w:rPr>
                    <w:t>SĄRAŠO FORMOS PILDYMAS</w:t>
                  </w:r>
                </w:sdtContent>
              </w:sdt>
            </w:p>
            <w:p>
              <w:pPr>
                <w:jc w:val="center"/>
                <w:rPr>
                  <w:b/>
                </w:rPr>
              </w:pPr>
            </w:p>
            <w:sdt>
              <w:sdtPr>
                <w:alias w:val="6 p."/>
                <w:tag w:val="part_0de752a03191401bb318a9fcc0b71df6"/>
                <w:lock w:val="sdtLocked"/>
                <w:richText/>
              </w:sdtPr>
              <w:sdtContent>
                <w:p>
                  <w:pPr>
                    <w:ind w:firstLine="709"/>
                    <w:jc w:val="both"/>
                  </w:pPr>
                  <w:sdt>
                    <w:sdtPr>
                      <w:alias w:val="Numeris"/>
                      <w:tag w:val="nr_0de752a03191401bb318a9fcc0b71df6"/>
                      <w:lock w:val="sdtLocked"/>
                      <w:richText/>
                    </w:sdtPr>
                    <w:sdtContent>
                      <w:r>
                        <w:t>6</w:t>
                      </w:r>
                    </w:sdtContent>
                  </w:sdt>
                  <w:r>
                    <w:t>. Į sąrašo Formą (lapą) gali būti įrašytas vienas, keli ar visi Statiniai, esantys tam tikroje teritorijoje (kaime, seniūnijoje, savivaldybėje, apskrityje ir pan.).</w:t>
                  </w:r>
                </w:p>
              </w:sdtContent>
            </w:sdt>
            <w:sdt>
              <w:sdtPr>
                <w:alias w:val="7 p."/>
                <w:tag w:val="part_0a626158d0184a3e8a1542fd217103c7"/>
                <w:lock w:val="sdtLocked"/>
                <w:richText/>
              </w:sdtPr>
              <w:sdtContent>
                <w:p>
                  <w:pPr>
                    <w:ind w:firstLine="709"/>
                    <w:jc w:val="both"/>
                  </w:pPr>
                  <w:sdt>
                    <w:sdtPr>
                      <w:alias w:val="Numeris"/>
                      <w:tag w:val="nr_0a626158d0184a3e8a1542fd217103c7"/>
                      <w:lock w:val="sdtLocked"/>
                      <w:richText/>
                    </w:sdtPr>
                    <w:sdtContent>
                      <w:r>
                        <w:t>7</w:t>
                      </w:r>
                    </w:sdtContent>
                  </w:sdt>
                  <w:r>
                    <w:t>. Statinio bendras plotas arba statinio tūris (Formos 6 skiltis) įrašomas pagal turimus kadastrinių matavimų duomenis. Kai jų nėra, Statinio bendras plotas suskaičiuojamas pagal Įgalioto asmens nustatytus statinio išorės matmenis, atmetus sienų (pertvarų) plotą. Statybinis tūris suskaičiuojamas pagal Įgalioto asmens nustatytus statinio gabaritus (ilgį, plotį, aukštį).</w:t>
                  </w:r>
                </w:p>
                <w:p>
                  <w:pPr>
                    <w:ind w:firstLine="709"/>
                    <w:jc w:val="both"/>
                  </w:pPr>
                  <w:r>
                    <w:t>Statinio bendrasis plotas arba statinio tūris skaičiuojamas atsižvelgiant į tai, kokiam mato vienetui (m</w:t>
                  </w:r>
                  <w:r>
                    <w:rPr>
                      <w:vertAlign w:val="superscript"/>
                    </w:rPr>
                    <w:t>2</w:t>
                  </w:r>
                  <w:r>
                    <w:t xml:space="preserve"> ar m</w:t>
                  </w:r>
                  <w:r>
                    <w:rPr>
                      <w:vertAlign w:val="superscript"/>
                    </w:rPr>
                    <w:t>3</w:t>
                  </w:r>
                  <w:r>
                    <w:t>) nustatyta vidutinė rinkos kaina Komisijos privalomam registruoti turtui nutarimu patvirtintomis vidutinėmis rinkos kainomis (toliau – Komisijos patvirtintos rinkos kainos), skelbiamomis kiekvieną metų ketvirtį „Valstybės žiniose“.</w:t>
                  </w:r>
                </w:p>
              </w:sdtContent>
            </w:sdt>
            <w:sdt>
              <w:sdtPr>
                <w:alias w:val="8 p."/>
                <w:tag w:val="part_7539a1407f6c486ab45e113765b78a22"/>
                <w:lock w:val="sdtLocked"/>
                <w:richText/>
              </w:sdtPr>
              <w:sdtContent>
                <w:p>
                  <w:pPr>
                    <w:ind w:firstLine="709"/>
                    <w:jc w:val="both"/>
                  </w:pPr>
                  <w:sdt>
                    <w:sdtPr>
                      <w:alias w:val="Numeris"/>
                      <w:tag w:val="nr_7539a1407f6c486ab45e113765b78a22"/>
                      <w:lock w:val="sdtLocked"/>
                      <w:richText/>
                    </w:sdtPr>
                    <w:sdtContent>
                      <w:r>
                        <w:t>8</w:t>
                      </w:r>
                    </w:sdtContent>
                  </w:sdt>
                  <w:r>
                    <w:t>. Statinio pagrindinės konstrukcijos (7) yra sienos, karkasas ir perdangos (denginys). Jų galimi tipai nurodyti Komisijos patvirtintose rinkos kainose.</w:t>
                  </w:r>
                </w:p>
              </w:sdtContent>
            </w:sdt>
            <w:sdt>
              <w:sdtPr>
                <w:alias w:val="9 p."/>
                <w:tag w:val="part_4b2c0c3f73df4ac5a67fb2cc837f4e2d"/>
                <w:lock w:val="sdtLocked"/>
                <w:richText/>
              </w:sdtPr>
              <w:sdtContent>
                <w:p>
                  <w:pPr>
                    <w:widowControl w:val="0"/>
                    <w:suppressAutoHyphens/>
                    <w:ind w:firstLine="709"/>
                    <w:jc w:val="both"/>
                  </w:pPr>
                  <w:sdt>
                    <w:sdtPr>
                      <w:alias w:val="Numeris"/>
                      <w:tag w:val="nr_4b2c0c3f73df4ac5a67fb2cc837f4e2d"/>
                      <w:lock w:val="sdtLocked"/>
                      <w:richText/>
                    </w:sdtPr>
                    <w:sdtContent>
                      <w:r>
                        <w:rPr>
                          <w:color w:val="000000"/>
                          <w:spacing w:val="-4"/>
                        </w:rPr>
                        <w:t>9</w:t>
                      </w:r>
                    </w:sdtContent>
                  </w:sdt>
                  <w:r>
                    <w:rPr>
                      <w:color w:val="000000"/>
                      <w:spacing w:val="-4"/>
                    </w:rPr>
                    <w:t xml:space="preserve">. Ypatingų statinių (8) požymiai apibrėžti statybos techniniame reglamente STR 1.01.06:2010 „Ypatingi statiniai“, patvirtintame Lietuvos Respublikos aplinkos ministro 2010 m. rugsėjo 27 d. įsakymu Nr. D1-813 (Žin., 2010, Nr. </w:t>
                  </w:r>
                  <w:hyperlink r:id="rId21" w:tgtFrame="_blank" w:history="1">
                    <w:r>
                      <w:rPr>
                        <w:color w:val="0000FF" w:themeColor="hyperlink"/>
                        <w:spacing w:val="-4"/>
                        <w:u w:val="single"/>
                      </w:rPr>
                      <w:t>115-5904</w:t>
                    </w:r>
                  </w:hyperlink>
                  <w:r>
                    <w:rPr>
                      <w:color w:val="000000"/>
                      <w:spacing w:val="-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324C6FBA311">
                    <w:r w:rsidRPr="00532B9F">
                      <w:rPr>
                        <w:rFonts w:ascii="Times New Roman" w:eastAsia="MS Mincho" w:hAnsi="Times New Roman"/>
                        <w:sz w:val="20"/>
                        <w:i/>
                        <w:iCs/>
                        <w:color w:val="0000FF" w:themeColor="hyperlink"/>
                        <w:u w:val="single"/>
                      </w:rPr>
                      <w:t>D1-679</w:t>
                    </w:r>
                  </w:fldSimple>
                  <w:r>
                    <w:rPr>
                      <w:rFonts w:ascii="Times New Roman" w:eastAsia="MS Mincho" w:hAnsi="Times New Roman"/>
                      <w:sz w:val="20"/>
                      <w:i/>
                      <w:iCs/>
                    </w:rPr>
                    <w:t>,
2011-09-06,
Žin., 2011, Nr.
113-5330 (2011-09-15), i. k. 111301MISAK00D1-679            </w:t>
                  </w:r>
                </w:p>
                <w:p/>
              </w:sdtContent>
            </w:sdt>
            <w:sdt>
              <w:sdtPr>
                <w:alias w:val="10 p."/>
                <w:tag w:val="part_8895c25c2e6e4c4596733009ed4ce12b"/>
                <w:lock w:val="sdtLocked"/>
                <w:richText/>
              </w:sdtPr>
              <w:sdtContent>
                <w:p>
                  <w:pPr>
                    <w:ind w:firstLine="709"/>
                    <w:jc w:val="both"/>
                  </w:pPr>
                  <w:sdt>
                    <w:sdtPr>
                      <w:alias w:val="Numeris"/>
                      <w:tag w:val="nr_8895c25c2e6e4c4596733009ed4ce12b"/>
                      <w:lock w:val="sdtLocked"/>
                      <w:richText/>
                    </w:sdtPr>
                    <w:sdtContent>
                      <w:r>
                        <w:t>10</w:t>
                      </w:r>
                    </w:sdtContent>
                  </w:sdt>
                  <w:r>
                    <w:t>. Statinys laikomas naudojamu (9), jei jame vykdoma kokia nors veikla.</w:t>
                  </w:r>
                </w:p>
              </w:sdtContent>
            </w:sdt>
            <w:sdt>
              <w:sdtPr>
                <w:alias w:val="11 p."/>
                <w:tag w:val="part_191302d82d194cc3bd633891e8100696"/>
                <w:lock w:val="sdtLocked"/>
                <w:richText/>
              </w:sdtPr>
              <w:sdtContent>
                <w:p>
                  <w:pPr>
                    <w:ind w:firstLine="709"/>
                    <w:jc w:val="both"/>
                  </w:pPr>
                  <w:sdt>
                    <w:sdtPr>
                      <w:alias w:val="Numeris"/>
                      <w:tag w:val="nr_191302d82d194cc3bd633891e8100696"/>
                      <w:lock w:val="sdtLocked"/>
                      <w:richText/>
                    </w:sdtPr>
                    <w:sdtContent>
                      <w:r>
                        <w:t>11</w:t>
                      </w:r>
                    </w:sdtContent>
                  </w:sdt>
                  <w:r>
                    <w:t>. Sąrašas yra informacinis dokumentas (ne teisės aktas).</w:t>
                  </w:r>
                </w:p>
                <w:p>
                  <w:pPr>
                    <w:ind w:firstLine="709"/>
                    <w:jc w:val="both"/>
                  </w:pPr>
                </w:p>
              </w:sdtContent>
            </w:sdt>
          </w:sdtContent>
        </w:sdt>
        <w:sdt>
          <w:sdtPr>
            <w:alias w:val="skyrius"/>
            <w:tag w:val="part_45fa3f2c0f0a483a9da10750c1cc4f69"/>
            <w:lock w:val="sdtLocked"/>
            <w:richText/>
          </w:sdtPr>
          <w:sdtContent>
            <w:p>
              <w:pPr>
                <w:jc w:val="center"/>
                <w:rPr>
                  <w:b/>
                </w:rPr>
              </w:pPr>
              <w:sdt>
                <w:sdtPr>
                  <w:alias w:val="Numeris"/>
                  <w:tag w:val="nr_45fa3f2c0f0a483a9da10750c1cc4f69"/>
                  <w:lock w:val="sdtLocked"/>
                  <w:richText/>
                </w:sdtPr>
                <w:sdtContent>
                  <w:r>
                    <w:rPr>
                      <w:b/>
                    </w:rPr>
                    <w:t>III</w:t>
                  </w:r>
                </w:sdtContent>
              </w:sdt>
              <w:r>
                <w:rPr>
                  <w:b/>
                </w:rPr>
                <w:t xml:space="preserve">. </w:t>
              </w:r>
              <w:sdt>
                <w:sdtPr>
                  <w:alias w:val="Pavadinimas"/>
                  <w:tag w:val="title_45fa3f2c0f0a483a9da10750c1cc4f69"/>
                  <w:lock w:val="sdtLocked"/>
                  <w:richText/>
                </w:sdtPr>
                <w:sdtContent>
                  <w:r>
                    <w:rPr>
                      <w:b/>
                    </w:rPr>
                    <w:t>STATINIŲ APSKAITOS AKTŲ PILDYMAS</w:t>
                  </w:r>
                </w:sdtContent>
              </w:sdt>
            </w:p>
            <w:p>
              <w:pPr>
                <w:jc w:val="center"/>
                <w:rPr>
                  <w:b/>
                </w:rPr>
              </w:pPr>
            </w:p>
            <w:sdt>
              <w:sdtPr>
                <w:alias w:val="12 p."/>
                <w:tag w:val="part_82937b76f0e344b8a126b1b7f60d3477"/>
                <w:lock w:val="sdtLocked"/>
                <w:richText/>
              </w:sdtPr>
              <w:sdtContent>
                <w:p>
                  <w:pPr>
                    <w:widowControl w:val="0"/>
                    <w:ind w:firstLine="709"/>
                    <w:jc w:val="both"/>
                  </w:pPr>
                  <w:sdt>
                    <w:sdtPr>
                      <w:alias w:val="Numeris"/>
                      <w:tag w:val="nr_82937b76f0e344b8a126b1b7f60d3477"/>
                      <w:lock w:val="sdtLocked"/>
                      <w:richText/>
                    </w:sdtPr>
                    <w:sdtContent>
                      <w:r>
                        <w:rPr>
                          <w:color w:val="000000"/>
                          <w:szCs w:val="24"/>
                          <w:lang w:eastAsia="lt-LT"/>
                        </w:rPr>
                        <w:t>12</w:t>
                      </w:r>
                    </w:sdtContent>
                  </w:sdt>
                  <w:r>
                    <w:rPr>
                      <w:color w:val="000000"/>
                      <w:szCs w:val="24"/>
                      <w:lang w:eastAsia="lt-LT"/>
                    </w:rPr>
                    <w:t>. Statinio apskaitos aktas yra pagrindinis juridinis dokumentas, teikiamas teismui prašant pripažinti Statinį bešeimininkiu ir jį perduoti valstybės ar savivaldybės nuosavybėn.</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B3F01BB3FF">
                    <w:r w:rsidRPr="00532B9F">
                      <w:rPr>
                        <w:rFonts w:ascii="Times New Roman" w:eastAsia="MS Mincho" w:hAnsi="Times New Roman"/>
                        <w:sz w:val="20"/>
                        <w:i/>
                        <w:iCs/>
                        <w:color w:val="0000FF" w:themeColor="hyperlink"/>
                        <w:u w:val="single"/>
                      </w:rPr>
                      <w:t>D1-426</w:t>
                    </w:r>
                  </w:fldSimple>
                  <w:r>
                    <w:rPr>
                      <w:rFonts w:ascii="Times New Roman" w:eastAsia="MS Mincho" w:hAnsi="Times New Roman"/>
                      <w:sz w:val="20"/>
                      <w:i/>
                      <w:iCs/>
                    </w:rPr>
                    <w:t>,
2013-06-06,
Žin., 2013, Nr.
61-3043 (2013-06-08), i. k. 113301MISAK00D1-426            </w:t>
                  </w:r>
                </w:p>
                <w:p/>
              </w:sdtContent>
            </w:sdt>
            <w:sdt>
              <w:sdtPr>
                <w:alias w:val="13 p."/>
                <w:tag w:val="part_884ed041fe6b436a85b42bd4aa2c05b1"/>
                <w:lock w:val="sdtLocked"/>
                <w:richText/>
              </w:sdtPr>
              <w:sdtContent>
                <w:p>
                  <w:pPr>
                    <w:widowControl w:val="0"/>
                    <w:ind w:firstLine="709"/>
                    <w:jc w:val="both"/>
                  </w:pPr>
                  <w:sdt>
                    <w:sdtPr>
                      <w:alias w:val="Numeris"/>
                      <w:tag w:val="nr_884ed041fe6b436a85b42bd4aa2c05b1"/>
                      <w:lock w:val="sdtLocked"/>
                      <w:richText/>
                    </w:sdtPr>
                    <w:sdtContent>
                      <w:r>
                        <w:rPr>
                          <w:color w:val="000000"/>
                          <w:szCs w:val="24"/>
                          <w:lang w:eastAsia="lt-LT"/>
                        </w:rPr>
                        <w:t>13</w:t>
                      </w:r>
                    </w:sdtContent>
                  </w:sdt>
                  <w:r>
                    <w:rPr>
                      <w:color w:val="000000"/>
                      <w:szCs w:val="24"/>
                      <w:lang w:eastAsia="lt-LT"/>
                    </w:rPr>
                    <w:t>. Statinio apskaitos akte įrašoma, ar statinys yra realizuotinas, ar nerealizuotinas (4).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B3F01BB3FF">
                    <w:r w:rsidRPr="00532B9F">
                      <w:rPr>
                        <w:rFonts w:ascii="Times New Roman" w:eastAsia="MS Mincho" w:hAnsi="Times New Roman"/>
                        <w:sz w:val="20"/>
                        <w:i/>
                        <w:iCs/>
                        <w:color w:val="0000FF" w:themeColor="hyperlink"/>
                        <w:u w:val="single"/>
                      </w:rPr>
                      <w:t>D1-426</w:t>
                    </w:r>
                  </w:fldSimple>
                  <w:r>
                    <w:rPr>
                      <w:rFonts w:ascii="Times New Roman" w:eastAsia="MS Mincho" w:hAnsi="Times New Roman"/>
                      <w:sz w:val="20"/>
                      <w:i/>
                      <w:iCs/>
                    </w:rPr>
                    <w:t>,
2013-06-06,
Žin., 2013, Nr.
61-3043 (2013-06-08), i. k. 113301MISAK00D1-426            </w:t>
                  </w:r>
                </w:p>
                <w:p/>
              </w:sdtContent>
            </w:sdt>
            <w:sdt>
              <w:sdtPr>
                <w:alias w:val="14 p."/>
                <w:tag w:val="part_c75bf8790a974068a190754703e8d39b"/>
                <w:lock w:val="sdtLocked"/>
                <w:richText/>
              </w:sdtPr>
              <w:sdtContent>
                <w:p>
                  <w:pPr>
                    <w:ind w:firstLine="709"/>
                    <w:jc w:val="both"/>
                  </w:pPr>
                  <w:sdt>
                    <w:sdtPr>
                      <w:alias w:val="Numeris"/>
                      <w:tag w:val="nr_c75bf8790a974068a190754703e8d39b"/>
                      <w:lock w:val="sdtLocked"/>
                      <w:richText/>
                    </w:sdtPr>
                    <w:sdtContent>
                      <w:r>
                        <w:t>14</w:t>
                      </w:r>
                    </w:sdtContent>
                  </w:sdt>
                  <w:r>
                    <w:t>. Statinio bendras plotas arba Statinio tūris (5) įrašomas šio aprašo 7 punktu nustatyta tvarka.</w:t>
                  </w:r>
                </w:p>
              </w:sdtContent>
            </w:sdt>
            <w:sdt>
              <w:sdtPr>
                <w:alias w:val="15 p."/>
                <w:tag w:val="part_256703702eac459394d5af494144de3b"/>
                <w:lock w:val="sdtLocked"/>
                <w:richText/>
              </w:sdtPr>
              <w:sdtContent>
                <w:p>
                  <w:pPr>
                    <w:ind w:firstLine="709"/>
                    <w:jc w:val="both"/>
                  </w:pPr>
                  <w:sdt>
                    <w:sdtPr>
                      <w:alias w:val="Numeris"/>
                      <w:tag w:val="nr_256703702eac459394d5af494144de3b"/>
                      <w:lock w:val="sdtLocked"/>
                      <w:richText/>
                    </w:sdtPr>
                    <w:sdtContent>
                      <w:r>
                        <w:t>15</w:t>
                      </w:r>
                    </w:sdtContent>
                  </w:sdt>
                  <w:r>
                    <w:t>. Statinio 1 m</w:t>
                  </w:r>
                  <w:r>
                    <w:rPr>
                      <w:vertAlign w:val="superscript"/>
                    </w:rPr>
                    <w:t>2</w:t>
                  </w:r>
                  <w:r>
                    <w:t xml:space="preserve"> ar 1 m</w:t>
                  </w:r>
                  <w:r>
                    <w:rPr>
                      <w:vertAlign w:val="superscript"/>
                    </w:rPr>
                    <w:t>3</w:t>
                  </w:r>
                  <w:r>
                    <w:t xml:space="preserve"> vidutinė rinkos kaina (7), vietovės pataisos koeficientas (8) ir Statinio nusidėvėjimo koeficientas (9) (nusidėvėjimas procentas, padalytas iš 100) nustatomas pagal akto surašymo metu galiojantį Komisijos privalomam registruoti turtui nutarimą, kuriuo patvirtintos šių rodiklių reikšmės.</w:t>
                  </w:r>
                </w:p>
              </w:sdtContent>
            </w:sdt>
            <w:sdt>
              <w:sdtPr>
                <w:alias w:val="16 p."/>
                <w:tag w:val="part_7365fbf95b3e4fbc984e3f5bd34cc7bd"/>
                <w:lock w:val="sdtLocked"/>
                <w:richText/>
              </w:sdtPr>
              <w:sdtContent>
                <w:p>
                  <w:pPr>
                    <w:ind w:firstLine="709"/>
                    <w:jc w:val="both"/>
                  </w:pPr>
                  <w:sdt>
                    <w:sdtPr>
                      <w:alias w:val="Numeris"/>
                      <w:tag w:val="nr_7365fbf95b3e4fbc984e3f5bd34cc7bd"/>
                      <w:lock w:val="sdtLocked"/>
                      <w:richText/>
                    </w:sdtPr>
                    <w:sdtContent>
                      <w:r>
                        <w:t>16</w:t>
                      </w:r>
                    </w:sdtContent>
                  </w:sdt>
                  <w:r>
                    <w:t>. Statinio vidutinė rinkos vertė (10) lygi (5), (7), (8) ir (9) rodiklių sandaugai.</w:t>
                  </w:r>
                </w:p>
              </w:sdtContent>
            </w:sdt>
            <w:sdt>
              <w:sdtPr>
                <w:alias w:val="17 p."/>
                <w:tag w:val="part_2ac7932618aa496a8e2940d3e38c34c6"/>
                <w:lock w:val="sdtLocked"/>
                <w:richText/>
              </w:sdtPr>
              <w:sdtContent>
                <w:p>
                  <w:pPr>
                    <w:ind w:firstLine="709"/>
                    <w:jc w:val="both"/>
                  </w:pPr>
                  <w:sdt>
                    <w:sdtPr>
                      <w:alias w:val="Numeris"/>
                      <w:tag w:val="nr_2ac7932618aa496a8e2940d3e38c34c6"/>
                      <w:lock w:val="sdtLocked"/>
                      <w:richText/>
                    </w:sdtPr>
                    <w:sdtContent>
                      <w:r>
                        <w:t>17</w:t>
                      </w:r>
                    </w:sdtContent>
                  </w:sdt>
                  <w:r>
                    <w:t>. Kai Statinys apgriuvęs arba sugriuvęs, apskaitos aktą surašantis Įgaliotas asmuo apytikriai nustato išlikusių konstrukcijų, kurios gali būti išardytos, o jų statybos produktai parduoti, procentą bei koeficientą (11) (išlikusių konstrukcijų procentai, padalyti iš 100).</w:t>
                  </w:r>
                </w:p>
              </w:sdtContent>
            </w:sdt>
            <w:sdt>
              <w:sdtPr>
                <w:alias w:val="18 p."/>
                <w:tag w:val="part_553753a3fbf04f8db295d1e275e17b25"/>
                <w:lock w:val="sdtLocked"/>
                <w:richText/>
              </w:sdtPr>
              <w:sdtContent>
                <w:p>
                  <w:pPr>
                    <w:ind w:firstLine="709"/>
                    <w:jc w:val="both"/>
                  </w:pPr>
                  <w:sdt>
                    <w:sdtPr>
                      <w:alias w:val="Numeris"/>
                      <w:tag w:val="nr_553753a3fbf04f8db295d1e275e17b25"/>
                      <w:lock w:val="sdtLocked"/>
                      <w:richText/>
                    </w:sdtPr>
                    <w:sdtContent>
                      <w:r>
                        <w:t>18</w:t>
                      </w:r>
                    </w:sdtContent>
                  </w:sdt>
                  <w:r>
                    <w:t>. Realizuotino Statinio apskaitoma vertė (12) lygi Statinio vidutinei rinkos vertei (10). Nerealizuotino Statinio apskaitoma vertė (12) lygi jo vidutinei rinkos vertei (10), padaugintai iš išlikusių konstrukcijų koeficiento (11). Kadangi nerealizuotino Statinio apskaityta vertė finansinėms operacijoms nenaudojama, ji nustatoma apytikriai.</w:t>
                  </w:r>
                </w:p>
              </w:sdtContent>
            </w:sdt>
            <w:sdt>
              <w:sdtPr>
                <w:alias w:val="19 p."/>
                <w:tag w:val="part_99552e1ac9644390831fc0d4fa01600e"/>
                <w:lock w:val="sdtLocked"/>
                <w:richText/>
              </w:sdtPr>
              <w:sdtContent>
                <w:p>
                  <w:pPr>
                    <w:ind w:firstLine="709"/>
                    <w:jc w:val="both"/>
                  </w:pPr>
                  <w:sdt>
                    <w:sdtPr>
                      <w:alias w:val="Numeris"/>
                      <w:tag w:val="nr_99552e1ac9644390831fc0d4fa01600e"/>
                      <w:lock w:val="sdtLocked"/>
                      <w:richText/>
                    </w:sdtPr>
                    <w:sdtContent>
                      <w:r>
                        <w:t>19</w:t>
                      </w:r>
                    </w:sdtContent>
                  </w:sdt>
                  <w:r>
                    <w:t>. Statinio apskaitos aktas surašomas dviem egzemplioriais, kurių vienas 10 metų saugomas jį surašiusioje institucijoje, kitas siunčiamas teismui su prašymu pripažinti Statinį bešeimininkiu ir perduoti jį valstybės ar savivaldybės nuosavybėn.</w:t>
                  </w:r>
                </w:p>
              </w:sdtContent>
            </w:sdt>
            <w:sdt>
              <w:sdtPr>
                <w:alias w:val="20 p."/>
                <w:tag w:val="part_df734c279fc945a6af623bffffda9526"/>
                <w:lock w:val="sdtLocked"/>
                <w:richText/>
              </w:sdtPr>
              <w:sdtContent>
                <w:p>
                  <w:pPr>
                    <w:ind w:firstLine="709"/>
                    <w:jc w:val="both"/>
                  </w:pPr>
                  <w:sdt>
                    <w:sdtPr>
                      <w:alias w:val="Numeris"/>
                      <w:tag w:val="nr_df734c279fc945a6af623bffffda9526"/>
                      <w:lock w:val="sdtLocked"/>
                      <w:richText/>
                    </w:sdtPr>
                    <w:sdtContent>
                      <w:r>
                        <w:t>20</w:t>
                      </w:r>
                    </w:sdtContent>
                  </w:sdt>
                  <w:r>
                    <w:t>. Statinio apskaitos aktą pasirašo jį surašęs Įgaliotas asmuo ir visi Atstovai, dalyvavę jį surašant. Jei kuris nors Atstovas akto nepasirašo, Įgaliotas asmuo akte įrašo jo nepasirašymo priežastį. Statinio apskaitymo data yra jo apskaitos akto surašymo data.</w:t>
                  </w:r>
                </w:p>
              </w:sdtContent>
            </w:sdt>
            <w:sdt>
              <w:sdtPr>
                <w:alias w:val="21 p."/>
                <w:tag w:val="part_3cda2ea0263845ca93daa3272325b582"/>
                <w:lock w:val="sdtLocked"/>
                <w:richText/>
              </w:sdtPr>
              <w:sdtContent>
                <w:p>
                  <w:pPr>
                    <w:ind w:firstLine="709"/>
                    <w:jc w:val="both"/>
                  </w:pPr>
                  <w:sdt>
                    <w:sdtPr>
                      <w:alias w:val="Numeris"/>
                      <w:tag w:val="nr_3cda2ea0263845ca93daa3272325b582"/>
                      <w:lock w:val="sdtLocked"/>
                      <w:richText/>
                    </w:sdtPr>
                    <w:sdtContent>
                      <w:r>
                        <w:t>21</w:t>
                      </w:r>
                    </w:sdtContent>
                  </w:sdt>
                  <w:r>
                    <w:t>. Statinio apskaitos akto formoje data ir Nr. įrašomi statinių apskaitos aktų registre (registravimo knygoje) įrašyti registracijos data (2) ir registracijos Nr. (1).</w:t>
                  </w:r>
                </w:p>
                <w:p>
                  <w:pPr>
                    <w:ind w:firstLine="709"/>
                    <w:jc w:val="both"/>
                  </w:pPr>
                </w:p>
              </w:sdtContent>
            </w:sdt>
          </w:sdtContent>
        </w:sdt>
        <w:sdt>
          <w:sdtPr>
            <w:alias w:val="skyrius"/>
            <w:tag w:val="part_c791b087695d4e31af1561e51c790bda"/>
            <w:lock w:val="sdtLocked"/>
            <w:richText/>
          </w:sdtPr>
          <w:sdtContent>
            <w:p>
              <w:pPr>
                <w:jc w:val="center"/>
                <w:rPr>
                  <w:b/>
                </w:rPr>
              </w:pPr>
              <w:sdt>
                <w:sdtPr>
                  <w:alias w:val="Numeris"/>
                  <w:tag w:val="nr_c791b087695d4e31af1561e51c790bda"/>
                  <w:lock w:val="sdtLocked"/>
                  <w:richText/>
                </w:sdtPr>
                <w:sdtContent>
                  <w:r>
                    <w:rPr>
                      <w:b/>
                    </w:rPr>
                    <w:t>IV</w:t>
                  </w:r>
                </w:sdtContent>
              </w:sdt>
              <w:r>
                <w:rPr>
                  <w:b/>
                </w:rPr>
                <w:t xml:space="preserve">. </w:t>
              </w:r>
              <w:sdt>
                <w:sdtPr>
                  <w:alias w:val="Pavadinimas"/>
                  <w:tag w:val="title_c791b087695d4e31af1561e51c790bda"/>
                  <w:lock w:val="sdtLocked"/>
                  <w:richText/>
                </w:sdtPr>
                <w:sdtContent>
                  <w:r>
                    <w:rPr>
                      <w:b/>
                    </w:rPr>
                    <w:t>STATINIŲ APSKAITOS AKTŲ REGISTRAVIMAS</w:t>
                  </w:r>
                </w:sdtContent>
              </w:sdt>
            </w:p>
            <w:p>
              <w:pPr>
                <w:jc w:val="center"/>
                <w:rPr>
                  <w:b/>
                </w:rPr>
              </w:pPr>
            </w:p>
            <w:sdt>
              <w:sdtPr>
                <w:alias w:val="22 p."/>
                <w:tag w:val="part_5d577c79569c4255bb938cdfc6f3facc"/>
                <w:lock w:val="sdtLocked"/>
                <w:richText/>
              </w:sdtPr>
              <w:sdtContent>
                <w:p>
                  <w:pPr>
                    <w:ind w:firstLine="709"/>
                    <w:jc w:val="both"/>
                  </w:pPr>
                  <w:sdt>
                    <w:sdtPr>
                      <w:alias w:val="Numeris"/>
                      <w:tag w:val="nr_5d577c79569c4255bb938cdfc6f3facc"/>
                      <w:lock w:val="sdtLocked"/>
                      <w:richText/>
                    </w:sdtPr>
                    <w:sdtContent>
                      <w:r>
                        <w:t>22</w:t>
                      </w:r>
                    </w:sdtContent>
                  </w:sdt>
                  <w:r>
                    <w:t>. Statinių apskaitos aktus nustatytos formos registre (knygoje) registruoja juos surašiusios institucijos vadovo įsakymu paskirtas Įgaliotas asmuo.</w:t>
                  </w:r>
                </w:p>
              </w:sdtContent>
            </w:sdt>
            <w:sdt>
              <w:sdtPr>
                <w:alias w:val="23 p."/>
                <w:tag w:val="part_a3ecf3f2303a41e9aad751ef838a9034"/>
                <w:lock w:val="sdtLocked"/>
                <w:richText/>
              </w:sdtPr>
              <w:sdtContent>
                <w:p>
                  <w:pPr>
                    <w:ind w:firstLine="709"/>
                    <w:jc w:val="both"/>
                  </w:pPr>
                  <w:sdt>
                    <w:sdtPr>
                      <w:alias w:val="Numeris"/>
                      <w:tag w:val="nr_a3ecf3f2303a41e9aad751ef838a9034"/>
                      <w:lock w:val="sdtLocked"/>
                      <w:richText/>
                    </w:sdtPr>
                    <w:sdtContent>
                      <w:r>
                        <w:t>23</w:t>
                      </w:r>
                    </w:sdtContent>
                  </w:sdt>
                  <w:r>
                    <w:t>. Priedai prie Statinių apskaitos aktų (jeigu jų yra) atskirai neregistruojami, tačiau nurodomas jų lapų skaičius (4).</w:t>
                  </w:r>
                </w:p>
              </w:sdtContent>
            </w:sdt>
            <w:sdt>
              <w:sdtPr>
                <w:alias w:val="24 p."/>
                <w:tag w:val="part_89838c2d7ba34408b1ea097966b74233"/>
                <w:lock w:val="sdtLocked"/>
                <w:richText/>
              </w:sdtPr>
              <w:sdtContent>
                <w:p>
                  <w:pPr>
                    <w:widowControl w:val="0"/>
                    <w:ind w:firstLine="709"/>
                    <w:jc w:val="both"/>
                  </w:pPr>
                  <w:sdt>
                    <w:sdtPr>
                      <w:alias w:val="Numeris"/>
                      <w:tag w:val="nr_89838c2d7ba34408b1ea097966b74233"/>
                      <w:lock w:val="sdtLocked"/>
                      <w:richText/>
                    </w:sdtPr>
                    <w:sdtContent>
                      <w:r>
                        <w:rPr>
                          <w:color w:val="000000"/>
                          <w:szCs w:val="24"/>
                          <w:lang w:eastAsia="lt-LT"/>
                        </w:rPr>
                        <w:t>24</w:t>
                      </w:r>
                    </w:sdtContent>
                  </w:sdt>
                  <w:r>
                    <w:rPr>
                      <w:color w:val="000000"/>
                      <w:szCs w:val="24"/>
                      <w:lang w:eastAsia="lt-LT"/>
                    </w:rPr>
                    <w:t>. Įrašai apie savininkų paiešką (8), (9), (10) įrašomi ne registruojant Statinių apskaitos aktą, o paskelbus apie siūlymą pripažinti Statinius bešeimininkiais Statinių apskaitos aktą surašiusio subjekto interneto svetainėje, seniūnijos, kurios teritorijoje yra statinys, informaciniame stende, nacionaliniame laikraštyje.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B3F01BB3FF">
                    <w:r w:rsidRPr="00532B9F">
                      <w:rPr>
                        <w:rFonts w:ascii="Times New Roman" w:eastAsia="MS Mincho" w:hAnsi="Times New Roman"/>
                        <w:sz w:val="20"/>
                        <w:i/>
                        <w:iCs/>
                        <w:color w:val="0000FF" w:themeColor="hyperlink"/>
                        <w:u w:val="single"/>
                      </w:rPr>
                      <w:t>D1-426</w:t>
                    </w:r>
                  </w:fldSimple>
                  <w:r>
                    <w:rPr>
                      <w:rFonts w:ascii="Times New Roman" w:eastAsia="MS Mincho" w:hAnsi="Times New Roman"/>
                      <w:sz w:val="20"/>
                      <w:i/>
                      <w:iCs/>
                    </w:rPr>
                    <w:t>,
2013-06-06,
Žin., 2013, Nr.
61-3043 (2013-06-08), i. k. 113301MISAK00D1-426            </w:t>
                  </w:r>
                </w:p>
                <w:p/>
              </w:sdtContent>
            </w:sdt>
            <w:sdt>
              <w:sdtPr>
                <w:alias w:val="25 p."/>
                <w:tag w:val="part_0188f6c8135646ee88af756d4489f5e5"/>
                <w:lock w:val="sdtLocked"/>
                <w:richText/>
              </w:sdtPr>
              <w:sdtContent>
                <w:p>
                  <w:pPr>
                    <w:ind w:firstLine="709"/>
                    <w:jc w:val="both"/>
                  </w:pPr>
                  <w:sdt>
                    <w:sdtPr>
                      <w:alias w:val="Numeris"/>
                      <w:tag w:val="nr_0188f6c8135646ee88af756d4489f5e5"/>
                      <w:lock w:val="sdtLocked"/>
                      <w:richText/>
                    </w:sdtPr>
                    <w:sdtContent>
                      <w:r>
                        <w:t>25</w:t>
                      </w:r>
                    </w:sdtContent>
                  </w:sdt>
                  <w:r>
                    <w:t>. Įrašas apie siūlymo pripažinti Statinius bešeimininkiais pateikimą teismui (11) įrašomas ta data, kai teismas priima prašymą nagrinėjimui. Teismui baigus nagrinėti bylą, įrašoma jo sprendimo priėmimo data (12).</w:t>
                  </w:r>
                </w:p>
              </w:sdtContent>
            </w:sdt>
            <w:sdt>
              <w:sdtPr>
                <w:alias w:val="26 p."/>
                <w:tag w:val="part_1adf9b17115e42a4a312e4c9def7e7a4"/>
                <w:lock w:val="sdtLocked"/>
                <w:richText/>
              </w:sdtPr>
              <w:sdtContent>
                <w:p>
                  <w:pPr>
                    <w:ind w:firstLine="709"/>
                    <w:jc w:val="both"/>
                  </w:pPr>
                  <w:sdt>
                    <w:sdtPr>
                      <w:alias w:val="Numeris"/>
                      <w:tag w:val="nr_1adf9b17115e42a4a312e4c9def7e7a4"/>
                      <w:lock w:val="sdtLocked"/>
                      <w:richText/>
                    </w:sdtPr>
                    <w:sdtContent>
                      <w:r>
                        <w:t>26</w:t>
                      </w:r>
                    </w:sdtContent>
                  </w:sdt>
                  <w:r>
                    <w:t>. Statinių apskaitos aktų registras (registravimo knyga) (jo lapai) spausdinami kompiuteriniu būdu arba spaustuvėje, įrišama (perrišama) ir tvirtinama institucijos vadovo parašu bei antspaudu.</w:t>
                  </w:r>
                </w:p>
              </w:sdtContent>
            </w:sdt>
            <w:sdt>
              <w:sdtPr>
                <w:alias w:val="27 p."/>
                <w:tag w:val="part_9f01305ffb684f52baf4ab5dcc8d34ae"/>
                <w:lock w:val="sdtLocked"/>
                <w:richText/>
              </w:sdtPr>
              <w:sdtContent>
                <w:p>
                  <w:pPr>
                    <w:ind w:firstLine="709"/>
                    <w:jc w:val="both"/>
                  </w:pPr>
                  <w:sdt>
                    <w:sdtPr>
                      <w:alias w:val="Numeris"/>
                      <w:tag w:val="nr_9f01305ffb684f52baf4ab5dcc8d34ae"/>
                      <w:lock w:val="sdtLocked"/>
                      <w:richText/>
                    </w:sdtPr>
                    <w:sdtContent>
                      <w:r>
                        <w:t>27</w:t>
                      </w:r>
                    </w:sdtContent>
                  </w:sdt>
                  <w:r>
                    <w:t>. Statinių apskaitos aktų registras (registravimo knyga) ir jame įregistruoti dokumentai turi būti saugomi Lietuvos archyvų departamento prie Lietuvos Respublikos Vyriausybės nustatyta tvarka.</w:t>
                  </w:r>
                </w:p>
                <w:p>
                  <w:pPr>
                    <w:ind w:firstLine="709"/>
                    <w:jc w:val="both"/>
                  </w:pPr>
                </w:p>
              </w:sdtContent>
            </w:sdt>
          </w:sdtContent>
        </w:sdt>
        <w:sdt>
          <w:sdtPr>
            <w:alias w:val="skyrius"/>
            <w:tag w:val="part_f9fa7876710743a6806e2fc0176fd98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w:t>
              </w:r>
              <w:r>
                <w:rPr>
                  <w:rFonts w:ascii="Times New Roman" w:hAnsi="Times New Roman"/>
                  <w:b/>
                  <w:sz w:val="22"/>
                </w:rPr>
                <w:t xml:space="preserve"> skyrius.</w:t>
              </w:r>
              <w:r>
                <w:rPr>
                  <w:rFonts w:ascii="Times New Roman" w:eastAsia="MS Mincho" w:hAnsi="Times New Roman"/>
                  <w:sz w:val="20"/>
                  <w:i/>
                  <w:iCs/>
                </w:rPr>
                <w:t xml:space="preserve"> Neteko galios nuo 2013-06-09</w:t>
              </w:r>
            </w:p>
            <w:p>
              <w:pPr>
                <w:pStyle w:val="PlainText"/>
                <w:rPr>
                  <w:rFonts w:ascii="Times New Roman" w:eastAsia="MS Mincho" w:hAnsi="Times New Roman"/>
                  <w:sz w:val="20"/>
                  <w:i/>
                  <w:iCs/>
                </w:rPr>
              </w:pPr>
              <w:r>
                <w:rPr>
                  <w:rFonts w:ascii="Times New Roman" w:eastAsia="MS Mincho" w:hAnsi="Times New Roman"/>
                  <w:sz w:val="20"/>
                  <w:i/>
                  <w:iCs/>
                </w:rPr>
                <w:t>Skyriaus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B3F01BB3FF">
                <w:r w:rsidRPr="00532B9F">
                  <w:rPr>
                    <w:rFonts w:ascii="Times New Roman" w:eastAsia="MS Mincho" w:hAnsi="Times New Roman"/>
                    <w:sz w:val="20"/>
                    <w:i/>
                    <w:iCs/>
                    <w:color w:val="0000FF" w:themeColor="hyperlink"/>
                    <w:u w:val="single"/>
                  </w:rPr>
                  <w:t>D1-426</w:t>
                </w:r>
              </w:fldSimple>
              <w:r>
                <w:rPr>
                  <w:rFonts w:ascii="Times New Roman" w:eastAsia="MS Mincho" w:hAnsi="Times New Roman"/>
                  <w:sz w:val="20"/>
                  <w:i/>
                  <w:iCs/>
                </w:rPr>
                <w:t>,
2013-06-06,
Žin. 2013,
Nr.
61-3043 (2013-06-08), i. k. 113301MISAK00D1-426        </w:t>
              </w:r>
            </w:p>
            <w:p/>
          </w:sdtContent>
        </w:sdt>
        <w:sdt>
          <w:sdtPr>
            <w:alias w:val="skyrius"/>
            <w:tag w:val="part_a9f946410fc34bfd84fa93c18ee29aa0"/>
            <w:lock w:val="sdtLocked"/>
            <w:richText/>
          </w:sdtPr>
          <w:sdtContent>
            <w:p>
              <w:pPr>
                <w:jc w:val="center"/>
                <w:rPr>
                  <w:b/>
                </w:rPr>
              </w:pPr>
              <w:sdt>
                <w:sdtPr>
                  <w:alias w:val="Numeris"/>
                  <w:tag w:val="nr_a9f946410fc34bfd84fa93c18ee29aa0"/>
                  <w:lock w:val="sdtLocked"/>
                  <w:richText/>
                </w:sdtPr>
                <w:sdtContent>
                  <w:r>
                    <w:rPr>
                      <w:b/>
                    </w:rPr>
                    <w:t>VI</w:t>
                  </w:r>
                </w:sdtContent>
              </w:sdt>
              <w:r>
                <w:rPr>
                  <w:b/>
                </w:rPr>
                <w:t xml:space="preserve">. </w:t>
              </w:r>
              <w:sdt>
                <w:sdtPr>
                  <w:alias w:val="Pavadinimas"/>
                  <w:tag w:val="title_a9f946410fc34bfd84fa93c18ee29aa0"/>
                  <w:lock w:val="sdtLocked"/>
                  <w:richText/>
                </w:sdtPr>
                <w:sdtContent>
                  <w:r>
                    <w:rPr>
                      <w:b/>
                    </w:rPr>
                    <w:t>BAIGIAMOSIOS NUOSTATOS</w:t>
                  </w:r>
                </w:sdtContent>
              </w:sdt>
            </w:p>
            <w:p>
              <w:pPr>
                <w:jc w:val="center"/>
                <w:rPr>
                  <w:b/>
                </w:rPr>
              </w:pPr>
            </w:p>
            <w:sdt>
              <w:sdtPr>
                <w:alias w:val="30 p."/>
                <w:tag w:val="part_950a9c875e494b4a87c275bb5d78b09e"/>
                <w:lock w:val="sdtLocked"/>
                <w:richText/>
              </w:sdtPr>
              <w:sdtContent>
                <w:p>
                  <w:pPr>
                    <w:ind w:firstLine="709"/>
                    <w:jc w:val="both"/>
                  </w:pPr>
                  <w:sdt>
                    <w:sdtPr>
                      <w:alias w:val="Numeris"/>
                      <w:tag w:val="nr_950a9c875e494b4a87c275bb5d78b09e"/>
                      <w:lock w:val="sdtLocked"/>
                      <w:richText/>
                    </w:sdtPr>
                    <w:sdtContent>
                      <w:r>
                        <w:t>30</w:t>
                      </w:r>
                    </w:sdtContent>
                  </w:sdt>
                  <w:r>
                    <w:t>. Už šio Aprašo nuostatų pažeidimą institucijų, pagal kompetenciją atliekančių statinių naudojimo priežiūrą, vadovai valstybės tarnautojams gali taikyti Valstybės tarnybos įstatymo ir kitų teisės aktų nustatytas nuobaudas, darbuotojams, dirbantiems pagal darbo sutartį, gali taikyti Darbo kodekso ir kitų teisės aktų nustatytas nuobaudas.</w:t>
                  </w:r>
                </w:p>
                <w:p>
                  <w:pPr>
                    <w:jc w:val="center"/>
                  </w:pPr>
                  <w:r>
                    <w:t>______________</w:t>
                  </w:r>
                </w:p>
              </w:sdtContent>
            </w:sdt>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324C6FBA311">
            <w:r w:rsidRPr="00532B9F">
              <w:rPr>
                <w:rFonts w:ascii="Times New Roman" w:eastAsia="MS Mincho" w:hAnsi="Times New Roman"/>
                <w:sz w:val="20"/>
                <w:iCs/>
                <w:color w:val="0000FF" w:themeColor="hyperlink"/>
                <w:u w:val="single"/>
              </w:rPr>
              <w:t>D1-679</w:t>
            </w:r>
          </w:fldSimple>
          <w:r>
            <w:rPr>
              <w:rFonts w:ascii="Times New Roman" w:eastAsia="MS Mincho" w:hAnsi="Times New Roman"/>
              <w:sz w:val="20"/>
              <w:iCs/>
            </w:rPr>
            <w:t>,
2011-09-06,
Žin., 2011, Nr.
113-5330 (2011-09-15), i. k. 111301MISAK00D1-679                </w:t>
          </w:r>
        </w:p>
        <w:p>
          <w:pPr>
            <w:jc w:val="both"/>
            <w:rPr>
              <w:rFonts w:ascii="Times New Roman" w:hAnsi="Times New Roman"/>
            </w:rPr>
          </w:pPr>
          <w:r>
            <w:rPr>
              <w:rFonts w:ascii="Times New Roman" w:hAnsi="Times New Roman"/>
              <w:sz w:val="20"/>
            </w:rPr>
            <w:t>Dėl Lietuvos Respublikos aplinkos ministro 2005 m. rugsėjo 16 d. įsakymo Nr. D1-449 "Dėl Statinių, kurie neturi savininkų (ar kurių savininkai nežinomi), sąrašų, apskaitos aktų, jų registrų (registravimo knygų), skelbimų apie siūlymą pripažinti juos bešeimininkiais formų ir jų pildymo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FB3F01BB3FF">
            <w:r w:rsidRPr="00532B9F">
              <w:rPr>
                <w:rFonts w:ascii="Times New Roman" w:eastAsia="MS Mincho" w:hAnsi="Times New Roman"/>
                <w:sz w:val="20"/>
                <w:iCs/>
                <w:color w:val="0000FF" w:themeColor="hyperlink"/>
                <w:u w:val="single"/>
              </w:rPr>
              <w:t>D1-426</w:t>
            </w:r>
          </w:fldSimple>
          <w:r>
            <w:rPr>
              <w:rFonts w:ascii="Times New Roman" w:eastAsia="MS Mincho" w:hAnsi="Times New Roman"/>
              <w:sz w:val="20"/>
              <w:iCs/>
            </w:rPr>
            <w:t>,
2013-06-06,
Žin., 2013, Nr.
61-3043 (2013-06-08), i. k. 113301MISAK00D1-426                </w:t>
          </w:r>
        </w:p>
        <w:p>
          <w:pPr>
            <w:jc w:val="both"/>
            <w:rPr>
              <w:rFonts w:ascii="Times New Roman" w:hAnsi="Times New Roman"/>
            </w:rPr>
          </w:pPr>
          <w:r>
            <w:rPr>
              <w:rFonts w:ascii="Times New Roman" w:hAnsi="Times New Roman"/>
              <w:sz w:val="20"/>
            </w:rPr>
            <w:t>Dėl Lietuvos Respublikos aplinkos ministro 2005 m. rugsėjo 16 d. įsakymo Nr. D1-449 "Dėl Statinių, kurie neturi savininkų (ar kurių savininkai nežinomi), sąrašų, apskaitos aktų, jų registrų (registravimo knygų), skelbimų apie siūlymą pripažinti juos bešeimininkiais formų ir jų pildymo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032C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7274A60B"/>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527061142">
      <w:bodyDiv w:val="1"/>
      <w:marLeft w:val="0"/>
      <w:marRight w:val="0"/>
      <w:marTop w:val="0"/>
      <w:marBottom w:val="0"/>
      <w:divBdr>
        <w:top w:val="none" w:sz="0" w:space="0" w:color="auto"/>
        <w:left w:val="none" w:sz="0" w:space="0" w:color="auto"/>
        <w:bottom w:val="none" w:sz="0" w:space="0" w:color="auto"/>
        <w:right w:val="none" w:sz="0" w:space="0" w:color="auto"/>
      </w:divBdr>
    </w:div>
    <w:div w:id="8142197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2.xml"/>
  <Relationship Id="rId11" Type="http://schemas.openxmlformats.org/officeDocument/2006/relationships/hyperlink" TargetMode="External" Target="https://www.e-tar.lt/portal/lt/legalAct/TAR.3E00562E367F"/>
  <Relationship Id="rId12" Type="http://schemas.openxmlformats.org/officeDocument/2006/relationships/header" Target="header4.xml"/>
  <Relationship Id="rId13" Type="http://schemas.openxmlformats.org/officeDocument/2006/relationships/header" Target="header5.xml"/>
  <Relationship Id="rId14" Type="http://schemas.openxmlformats.org/officeDocument/2006/relationships/footer" Target="footer4.xml"/>
  <Relationship Id="rId15" Type="http://schemas.openxmlformats.org/officeDocument/2006/relationships/footer" Target="footer5.xml"/>
  <Relationship Id="rId16" Type="http://schemas.openxmlformats.org/officeDocument/2006/relationships/header" Target="header6.xml"/>
  <Relationship Id="rId17" Type="http://schemas.openxmlformats.org/officeDocument/2006/relationships/footer" Target="footer6.xml"/>
  <Relationship Id="rId18" Type="http://schemas.openxmlformats.org/officeDocument/2006/relationships/hyperlink" TargetMode="External" Target="https://www.e-tar.lt/portal/lt/legalAct/TAR.F31E79DEC55D"/>
  <Relationship Id="rId19" Type="http://schemas.openxmlformats.org/officeDocument/2006/relationships/hyperlink" TargetMode="External" Target="https://www.e-tar.lt/portal/lt/legalAct/TAR.80A638E6C263"/>
  <Relationship Id="rId2" Type="http://schemas.openxmlformats.org/officeDocument/2006/relationships/fontTable" Target="fontTable.xml"/>
  <Relationship Id="rId20" Type="http://schemas.openxmlformats.org/officeDocument/2006/relationships/hyperlink" TargetMode="External" Target="https://www.e-tar.lt/portal/lt/legalAct/TAR.A9F34394E9C6"/>
  <Relationship Id="rId21" Type="http://schemas.openxmlformats.org/officeDocument/2006/relationships/hyperlink" TargetMode="External" Target="https://www.e-tar.lt/portal/lt/legalAct/TAR.26F602F9D89C"/>
  <Relationship Id="rId22"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wmf"/>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44abde9143443e0995b9177ea40302f" PartId="4a15e44c36404330a48c6b7e27941705">
    <Part Type="preambule" DocPartId="9bb6688a2669453ea4f72de02e2bd494" PartId="551a1fe6ffd948e4a024213115d4b839"/>
    <Part Type="pastraipa" DocPartId="39da3c2f98064592beea025f535f7df6" PartId="b3b9ba5e204643f38e77080a2db70bd3"/>
    <Part Type="punktas" Nr="1" Abbr="1 p." DocPartId="96702701d44c45308e9c8e2ad70054f1" PartId="0b05644d975e4f469412e8f2b40bea0c"/>
    <Part Type="punktas" Nr="2" Abbr="2 p." DocPartId="0abc754e5921437588d9dfcb93df4878" PartId="bbcf683461b44d00841d9b0140d55901"/>
    <Part Type="punktas" Nr="3" Abbr="3 p." DocPartId="38d69351c2dd40c48b3594a5c9b3ed69" PartId="0ed56c648caf453e845727d69d19516b"/>
    <Part Type="punktas" Nr="4" Abbr="4 p." DocPartId="995614b8ff064b4d8947c54fb385296a" PartId="be35feb5ae4849b0b743669c359889a8"/>
    <Part Type="punktas" Nr="5" Abbr="5 p." DocPartId="d9ed2f3b45da44b7b71454c7e23dd515" PartId="82867f743f40441ead1336fc9e01deab"/>
    <Part Type="signatura" DocPartId="12d76dffd4824f4fa0c38e33f8f95c61" PartId="cac8e826f9444c2ba85e08318da80b8f"/>
  </Part>
  <Part Type="forma" Abbr="frm." DocPartId="553a667195fb4563b66bd997b9782e6f" PartId="852e2d2514ef436fbe0d80d5682c42cf"/>
  <Part Type="forma" Abbr="frm." DocPartId="c4eda0622f6b4d1788847bde296c71bd" PartId="bdeee736db0c4a4bbe66bb05b73f3061"/>
  <Part Type="forma" Abbr="frm." Title="STATINIŲ, KURIE NETURI SAVININKŲ (AR KURIŲ SAVININKAI NEŽINOMI), APSKAITOS AKTŲ REGISTRAS (REGISTRAVIMO KNYGA)" DocPartId="3efcbcce18e345c89aa1c1b722d9db94" PartId="88baeef38bc946ffa2fe75d71c4abb37">
    <Part Type="pabaiga" DocPartId="06c139ce9cfb437a8c1f715d9f3d5648" PartId="387f63d6f60c46c882a082af27054d8b"/>
  </Part>
  <Part Type="forma" Abbr="frm." Title="S K E L B I M A S APIE SIŪLYMĄ PRIPAŽINTI STATINIUS, KURIE NETURI SAVININKŲ (AR KURIŲ SAVININKAI NEŽINOMI), BEŠEIMININKIAIS" DocPartId="f32dd21fd7d34c40b82ead657ab4443d" PartId="3462c701a54d4f73b34d2bbbe2a0fec0"/>
  <Part Type="patvirtinta" Title="STATINIŲ, KURIE NETURI SAVININKŲ (AR KURIŲ SAVININKAI NEŽINOMI), SĄRAŠŲ, APSKAITOS AKTŲ, JŲ REGISTRŲ (REGISTRAVIMO KNYGŲ) IR SKELBIMŲ APIE SIŪLYMĄ PRIPAŽINTI JUOS BEŠEIMININKIAIS FORMŲ PILDYMO TVARKOS APRAŠAS" DocPartId="3b0860f37c634004ab4b88d70b0211fa" PartId="e5d74bc98cd742f28d7b9e44c0d7d6da">
    <Part Type="skyrius" Nr="1" Title="BENDROSIOS NUOSTATOS" DocPartId="67f964c8086d4c3bb04d4e0280e02791" PartId="4cf711aa8a3f4d17b995f5f5b4dba199">
      <Part Type="punktas" Nr="1" Abbr="1 p." DocPartId="8bdab7f8f0344c24b01d173167d5174d" PartId="44b2690c058e4475aaedff6b06f26adb"/>
      <Part Type="punktas" Nr="2" Abbr="2 p." DocPartId="3dd3fbc86fc74c1d9d469f6e46d7b798" PartId="859ff07793b04d53b0fa99ad3eea914d"/>
      <Part Type="punktas" Nr="3" Abbr="3 p." DocPartId="b57265a500e34f2ab3318f2d23dd8ac8" PartId="3336a7dc9d234377936c59b25e62170e"/>
      <Part Type="punktas" Nr="4" Abbr="4 p." DocPartId="f9197a6cfe8741b593a24c75185b64eb" PartId="dfb76fceada44a988b555292ae947005"/>
      <Part Type="punktas" Nr="5" Abbr="5 p." DocPartId="f2bcd8528945451a904b5a93cc9310cd" PartId="e9c5c088d48247429282adeb89d42efd"/>
    </Part>
    <Part Type="skyrius" Nr="2" Title="SĄRAŠO FORMOS PILDYMAS" DocPartId="07911bc011e64ced9b13a55d33c7e8aa" PartId="34f41e3773494f47b9493c1bca540e10">
      <Part Type="punktas" Nr="6" Abbr="6 p." DocPartId="d86e04b372a64741b8fcae19e1c6f1ea" PartId="0de752a03191401bb318a9fcc0b71df6"/>
      <Part Type="punktas" Nr="7" Abbr="7 p." DocPartId="b2037fffc4bd4c47a762c85fa18df272" PartId="0a626158d0184a3e8a1542fd217103c7"/>
      <Part Type="punktas" Nr="8" Abbr="8 p." DocPartId="8a41081d638c4f2f846f0587d159db56" PartId="7539a1407f6c486ab45e113765b78a22"/>
      <Part Type="punktas" Nr="9" Abbr="9 p." DocPartId="2ce9a5eb13ca4ddd97cf0ed5e8d559ef" PartId="4b2c0c3f73df4ac5a67fb2cc837f4e2d"/>
      <Part Type="punktas" Nr="10" Abbr="10 p." DocPartId="22203f951f4d4d0c84c8cfb33f3208e3" PartId="8895c25c2e6e4c4596733009ed4ce12b"/>
      <Part Type="punktas" Nr="11" Abbr="11 p." DocPartId="724a3ca8dd654d70b65f30482704dd1c" PartId="191302d82d194cc3bd633891e8100696"/>
    </Part>
    <Part Type="skyrius" Nr="3" Title="STATINIŲ APSKAITOS AKTŲ PILDYMAS" DocPartId="1ed56750d0e14bc28d6f83a08f1f85b3" PartId="45fa3f2c0f0a483a9da10750c1cc4f69">
      <Part Type="punktas" Nr="12" Abbr="12 p." DocPartId="d1254fa10a964556bc7c680a1827f416" PartId="82937b76f0e344b8a126b1b7f60d3477"/>
      <Part Type="punktas" Nr="13" Abbr="13 p." DocPartId="ff2767ac8b324b52b30c3875dc76babd" PartId="884ed041fe6b436a85b42bd4aa2c05b1"/>
      <Part Type="punktas" Nr="14" Abbr="14 p." DocPartId="513a1c7c8a814d4eb420505a05f8b76e" PartId="c75bf8790a974068a190754703e8d39b"/>
      <Part Type="punktas" Nr="15" Abbr="15 p." DocPartId="7074a88d8506487487ea98c304fb0147" PartId="256703702eac459394d5af494144de3b"/>
      <Part Type="punktas" Nr="16" Abbr="16 p." DocPartId="b4ec01b2861740e89cf9fb5219e02db4" PartId="7365fbf95b3e4fbc984e3f5bd34cc7bd"/>
      <Part Type="punktas" Nr="17" Abbr="17 p." DocPartId="865a177c816042768593bcaa50d31ec8" PartId="2ac7932618aa496a8e2940d3e38c34c6"/>
      <Part Type="punktas" Nr="18" Abbr="18 p." DocPartId="844fb8978c2b45cf9ad083a62701c833" PartId="553753a3fbf04f8db295d1e275e17b25"/>
      <Part Type="punktas" Nr="19" Abbr="19 p." DocPartId="0671baf560ed436eb31b5d873228cf85" PartId="99552e1ac9644390831fc0d4fa01600e"/>
      <Part Type="punktas" Nr="20" Abbr="20 p." DocPartId="f2afffa6c86540babf9d46586adcdfe1" PartId="df734c279fc945a6af623bffffda9526"/>
      <Part Type="punktas" Nr="21" Abbr="21 p." DocPartId="6d08ee090ca04e0f9409425c0029810f" PartId="3cda2ea0263845ca93daa3272325b582"/>
    </Part>
    <Part Type="skyrius" Nr="4" Title="STATINIŲ APSKAITOS AKTŲ REGISTRAVIMAS" DocPartId="6d9b5485790e4241ab707315c76c64d8" PartId="c791b087695d4e31af1561e51c790bda">
      <Part Type="punktas" Nr="22" Abbr="22 p." DocPartId="06c451e12762441c98ff744c14e90df7" PartId="5d577c79569c4255bb938cdfc6f3facc"/>
      <Part Type="punktas" Nr="23" Abbr="23 p." DocPartId="57ab1fbbe25e45e6af3422102437a598" PartId="a3ecf3f2303a41e9aad751ef838a9034"/>
      <Part Type="punktas" Nr="24" Abbr="24 p." DocPartId="e76735eb77da4e7fa636172427404c35" PartId="89838c2d7ba34408b1ea097966b74233"/>
      <Part Type="punktas" Nr="25" Abbr="25 p." DocPartId="bc6ef3f8007c4769b6aca87192089414" PartId="0188f6c8135646ee88af756d4489f5e5"/>
      <Part Type="punktas" Nr="26" Abbr="26 p." DocPartId="b18a01ab506f4d109d6d9a306ce83388" PartId="1adf9b17115e42a4a312e4c9def7e7a4"/>
      <Part Type="punktas" Nr="27" Abbr="27 p." DocPartId="24b6f826830b40d7aafbe329dde5b9ac" PartId="9f01305ffb684f52baf4ab5dcc8d34ae"/>
    </Part>
    <Part Type="skyrius" Nr="5" Title="SKELBIMŲ APIE SIŪLYMĄ PRIPAŽINTI STATINIUS BEŠEIMININKIAIS PILDYMAS IR SKELBIMAS" DocPartId="fc41714e1c7e4b04ae39e49c34c2942f" PartId="f9fa7876710743a6806e2fc0176fd983"/>
    <Part Type="skyrius" Nr="6" Title="BAIGIAMOSIOS NUOSTATOS" DocPartId="3f43cfb368bf487ebdacc9d1eb0ada31" PartId="a9f946410fc34bfd84fa93c18ee29aa0">
      <Part Type="punktas" Nr="30" Abbr="30 p." DocPartId="f54d159be6e6417d873b8aa1ccf36e2c" PartId="950a9c875e494b4a87c275bb5d78b09e"/>
    </Part>
  </Part>
</Parts>
</file>

<file path=customXml/itemProps1.xml><?xml version="1.0" encoding="utf-8"?>
<ds:datastoreItem xmlns:ds="http://schemas.openxmlformats.org/officeDocument/2006/customXml" ds:itemID="{07EF5755-7ACF-4654-ABA7-96DA2E29D569}">
  <ds:schemaRefs>
    <ds:schemaRef ds:uri="http://lrs.lt/TAIS/DocParts"/>
  </ds:schemaRefs>
</ds:datastoreItem>
</file>

<file path=docProps/app.xml><?xml version="1.0" encoding="utf-8"?>
<Properties xmlns="http://schemas.openxmlformats.org/officeDocument/2006/extended-properties">
  <Template>Normal.dotm</Template>
  <TotalTime>6</TotalTime>
  <Pages>9</Pages>
  <Words>10609</Words>
  <Characters>6048</Characters>
  <Application>Microsoft Office Word</Application>
  <DocSecurity>0</DocSecurity>
  <Lines>50</Lines>
  <Paragraphs>33</Paragraphs>
  <ScaleCrop>false</ScaleCrop>
  <Company/>
  <LinksUpToDate>false</LinksUpToDate>
  <CharactersWithSpaces>16624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2015-06-22T00:32:00Z</dcterms:created>
  <dc:creator>User</dc:creator>
  <lastModifiedBy>JUOSPONIENĖ Karolina</lastModifiedBy>
  <dcterms:modified xsi:type="dcterms:W3CDTF">2018-08-03T12:13:00Z</dcterms:modified>
  <revision>7</revision>
</coreProperties>
</file>