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1faf92bb8b9d41b891463c179a93eaa9"/>
        <w:lock w:val="sdtLocked"/>
        <w:richText/>
      </w:sdtPr>
      <w:sdtContent>
        <w:p>
          <w:pPr>
            <w:rPr>
              <w:rFonts w:ascii="Times New Roman" w:hAnsi="Times New Roman"/>
              <w:b/>
              <w:i/>
            </w:rPr>
          </w:pPr>
          <w:r>
            <w:rPr>
              <w:rFonts w:ascii="Times New Roman" w:hAnsi="Times New Roman"/>
              <w:b/>
              <w:i/>
            </w:rPr>
            <w:t>Įsakymas netenka galios 2027-01-01:</w:t>
          </w:r>
        </w:p>
        <w:p>
          <w:pPr>
            <w:jc w:val="both"/>
            <w:rPr>
              <w:rFonts w:ascii="Times New Roman" w:hAnsi="Times New Roman"/>
              <w:i/>
            </w:rPr>
          </w:pPr>
          <w:r>
            <w:rPr>
              <w:rFonts w:ascii="Times New Roman" w:hAnsi="Times New Roman"/>
              <w:sz w:val="20"/>
              <w:i/>
            </w:rPr>
            <w:t>
                    Lietuvos Respublikos aplinkos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753873807a8c11f1b53dfa020e517810">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Cs/>
              <w:i/>
            </w:rPr>
            <w:t>,
2026-07-08,
paskelbta TAR 2026-07-08, i. k. 2026-11645                </w:t>
          </w:r>
        </w:p>
        <w:p>
          <w:pPr>
            <w:jc w:val="both"/>
            <w:rPr>
              <w:rFonts w:ascii="Times New Roman" w:hAnsi="Times New Roman"/>
              <w:i/>
            </w:rPr>
          </w:pPr>
          <w:r>
            <w:rPr>
              <w:rFonts w:ascii="Times New Roman" w:hAnsi="Times New Roman"/>
              <w:sz w:val="20"/>
              <w:i/>
            </w:rPr>
            <w:t>Dėl statybos techninio reglamento STR 2.02.12:2026 „Pastatai“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2018-02-08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1faf92bb8b9d41b891463c179a93eaa9"/>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d57b2988e60b46dfa37d0950d848df88"/>
            <w:lock w:val="sdtLocked"/>
            <w:richText/>
          </w:sdtPr>
          <w:sdtContent>
            <w:p>
              <w:pPr>
                <w:ind w:firstLine="567"/>
                <w:jc w:val="both"/>
                <w:rPr>
                  <w:color w:val="000000"/>
                  <w:lang w:eastAsia="lt-LT"/>
                </w:rPr>
              </w:pPr>
              <w:r>
                <w:rPr>
                  <w:szCs w:val="24"/>
                </w:rPr>
                <w:t>Vadovaudamasis Lietuvos Respublikos statybos įstatymo 8 straipsnio 5 dalimi ir Lietuvos Respublikos Vyriausybės 2004 m. spalio 21 d. nutarimo Nr. 1316 „Dėl normatyvinių statinio saugos ir paskirties dokumentų normavimo sričių paskirstymo tarp valstybės institucijų“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0038bdc8688546939c249e3ffb108891"/>
                <w:lock w:val="sdtLocked"/>
                <w:richText/>
              </w:sdtPr>
              <w:sdtContent>
                <w:p>
                  <w:pPr>
                    <w:ind w:firstLine="709"/>
                    <w:jc w:val="both"/>
                  </w:pPr>
                  <w:sdt>
                    <w:sdtPr>
                      <w:alias w:val="Numeris"/>
                      <w:tag w:val="nr_0038bdc8688546939c249e3ffb108891"/>
                      <w:lock w:val="sdtLocked"/>
                      <w:richText/>
                    </w:sdtPr>
                    <w:sdtContent>
                      <w:r>
                        <w:rPr>
                          <w:szCs w:val="24"/>
                        </w:rPr>
                        <w:t>5</w:t>
                      </w:r>
                    </w:sdtContent>
                  </w:sdt>
                  <w:r>
                    <w:rPr>
                      <w:szCs w:val="24"/>
                    </w:rPr>
                    <w:t>. Projektinius sprendinius, kurių Reglamentas nenustato, priima Namo projekto rengėjas [6.1.1] vadovaudamasis profesine kvalifikacija ir patirtimi kartu su statytoju.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1 p."/>
                <w:tag w:val="part_89359c3af7de4cfe810f6a812c2acfec"/>
                <w:lock w:val="sdtLocked"/>
                <w:richText/>
              </w:sdtPr>
              <w:sdtContent>
                <w:p>
                  <w:pPr>
                    <w:ind w:firstLine="709"/>
                    <w:jc w:val="both"/>
                    <w:rPr>
                      <w:color w:val="000000"/>
                      <w:szCs w:val="8"/>
                      <w:lang w:eastAsia="lt-LT"/>
                    </w:rPr>
                  </w:pPr>
                  <w:sdt>
                    <w:sdtPr>
                      <w:alias w:val="Numeris"/>
                      <w:tag w:val="nr_89359c3af7de4cfe810f6a812c2acfec"/>
                      <w:lock w:val="sdtLocked"/>
                      <w:richText/>
                    </w:sdtPr>
                    <w:sdtContent>
                      <w:r>
                        <w:rPr>
                          <w:szCs w:val="24"/>
                        </w:rPr>
                        <w:t>5</w:t>
                      </w:r>
                      <w:r>
                        <w:rPr>
                          <w:szCs w:val="24"/>
                          <w:vertAlign w:val="superscript"/>
                        </w:rPr>
                        <w:t>1</w:t>
                      </w:r>
                    </w:sdtContent>
                  </w:sdt>
                  <w:r>
                    <w:rPr>
                      <w:szCs w:val="24"/>
                    </w:rPr>
                    <w:t>. Namo ir jo priklausinių gaisrinės saugos projektiniai sprendiniai parenkami vadovaujantis Gaisrinės saugos pagrindinių reikalavimų [6.6.3] ir Gyvenamųjų pastatų gaisrinės saugos taisyklių [6.6.4]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0904f740d78f41c4b679323f4adc5b51"/>
                    <w:lock w:val="sdtLocked"/>
                    <w:richText/>
                  </w:sdtPr>
                  <w:sdtContent>
                    <w:p>
                      <w:pPr>
                        <w:ind w:firstLine="709"/>
                        <w:jc w:val="both"/>
                        <w:rPr>
                          <w:color w:val="000000"/>
                          <w:lang w:eastAsia="lt-LT"/>
                        </w:rPr>
                      </w:pPr>
                      <w:sdt>
                        <w:sdtPr>
                          <w:alias w:val="Numeris"/>
                          <w:tag w:val="nr_0904f740d78f41c4b679323f4adc5b51"/>
                          <w:lock w:val="sdtLocked"/>
                          <w:richText/>
                        </w:sdtPr>
                        <w:sdtContent>
                          <w:r>
                            <w:rPr>
                              <w:color w:val="000000"/>
                              <w:szCs w:val="22"/>
                              <w:lang w:eastAsia="lt-LT"/>
                            </w:rPr>
                            <w:t>6.1</w:t>
                          </w:r>
                        </w:sdtContent>
                      </w:sdt>
                      <w:r>
                        <w:rPr>
                          <w:color w:val="000000"/>
                          <w:szCs w:val="22"/>
                          <w:lang w:eastAsia="lt-LT"/>
                        </w:rPr>
                        <w:t xml:space="preserve">. </w:t>
                      </w:r>
                      <w:r>
                        <w:rPr>
                          <w:b/>
                          <w:szCs w:val="24"/>
                        </w:rPr>
                        <w:t xml:space="preserve">įstatymus, Vyriausybės nutarimus, </w:t>
                      </w:r>
                      <w:r>
                        <w:rPr>
                          <w:b/>
                          <w:bCs/>
                          <w:szCs w:val="24"/>
                        </w:rPr>
                        <w:t>Europos Sąjungos teisės aktus</w:t>
                      </w:r>
                      <w:r>
                        <w:rPr>
                          <w:color w:val="000000"/>
                          <w:szCs w:val="22"/>
                          <w:lang w:eastAsia="lt-LT"/>
                        </w:rPr>
                        <w:t>:</w:t>
                      </w:r>
                    </w:p>
                    <w:sdt>
                      <w:sdtPr>
                        <w:alias w:val="6.1.1 p."/>
                        <w:tag w:val="part_83efb51709e04377819d733133ce3bef"/>
                        <w:lock w:val="sdtLocked"/>
                        <w:richText/>
                      </w:sdtPr>
                      <w:sdtContent>
                        <w:p>
                          <w:pPr>
                            <w:ind w:firstLine="709"/>
                            <w:jc w:val="both"/>
                            <w:rPr>
                              <w:color w:val="000000"/>
                              <w:lang w:eastAsia="lt-LT"/>
                            </w:rPr>
                          </w:pPr>
                          <w:sdt>
                            <w:sdtPr>
                              <w:alias w:val="Numeris"/>
                              <w:tag w:val="nr_83efb51709e04377819d733133ce3bef"/>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62" w:tgtFrame="_blank" w:history="1">
                            <w:r>
                              <w:rPr>
                                <w:color w:val="0000FF" w:themeColor="hyperlink"/>
                                <w:szCs w:val="22"/>
                                <w:u w:val="single"/>
                                <w:lang w:eastAsia="lt-LT"/>
                              </w:rPr>
                              <w:t>32-788</w:t>
                            </w:r>
                          </w:hyperlink>
                          <w:r>
                            <w:rPr>
                              <w:color w:val="000000"/>
                              <w:szCs w:val="22"/>
                              <w:lang w:eastAsia="lt-LT"/>
                            </w:rPr>
                            <w:t xml:space="preserve">; 2001, Nr. </w:t>
                          </w:r>
                          <w:hyperlink r:id="rId63"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422a003cc0a04c64b4c9dee90a3c43d4"/>
                        <w:lock w:val="sdtLocked"/>
                        <w:richText/>
                      </w:sdtPr>
                      <w:sdtContent>
                        <w:p>
                          <w:pPr>
                            <w:ind w:firstLine="709"/>
                            <w:jc w:val="both"/>
                            <w:rPr>
                              <w:color w:val="000000"/>
                              <w:lang w:eastAsia="lt-LT"/>
                            </w:rPr>
                          </w:pPr>
                          <w:sdt>
                            <w:sdtPr>
                              <w:alias w:val="Numeris"/>
                              <w:tag w:val="nr_422a003cc0a04c64b4c9dee90a3c43d4"/>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64" w:tgtFrame="_blank" w:history="1">
                            <w:r>
                              <w:rPr>
                                <w:color w:val="0000FF" w:themeColor="hyperlink"/>
                                <w:szCs w:val="22"/>
                                <w:u w:val="single"/>
                                <w:lang w:eastAsia="lt-LT"/>
                              </w:rPr>
                              <w:t>107-2391</w:t>
                            </w:r>
                          </w:hyperlink>
                          <w:r>
                            <w:rPr>
                              <w:color w:val="000000"/>
                              <w:szCs w:val="22"/>
                              <w:lang w:eastAsia="lt-LT"/>
                            </w:rPr>
                            <w:t xml:space="preserve">; 2004, Nr. </w:t>
                          </w:r>
                          <w:hyperlink r:id="rId65"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dca2db86f7c14755bde3722b787101ec"/>
                        <w:lock w:val="sdtLocked"/>
                        <w:richText/>
                      </w:sdtPr>
                      <w:sdtContent>
                        <w:p>
                          <w:pPr>
                            <w:ind w:firstLine="709"/>
                            <w:jc w:val="both"/>
                            <w:rPr>
                              <w:color w:val="000000"/>
                              <w:lang w:eastAsia="lt-LT"/>
                            </w:rPr>
                          </w:pPr>
                          <w:sdt>
                            <w:sdtPr>
                              <w:alias w:val="Numeris"/>
                              <w:tag w:val="nr_dca2db86f7c14755bde3722b787101ec"/>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66" w:tgtFrame="_blank" w:history="1">
                            <w:r>
                              <w:rPr>
                                <w:color w:val="0000FF" w:themeColor="hyperlink"/>
                                <w:szCs w:val="22"/>
                                <w:u w:val="single"/>
                                <w:lang w:eastAsia="lt-LT"/>
                              </w:rPr>
                              <w:t>63-1188</w:t>
                            </w:r>
                          </w:hyperlink>
                          <w:r>
                            <w:rPr>
                              <w:color w:val="000000"/>
                              <w:szCs w:val="22"/>
                              <w:lang w:eastAsia="lt-LT"/>
                            </w:rPr>
                            <w:t xml:space="preserve">; 2001, Nr. </w:t>
                          </w:r>
                          <w:hyperlink r:id="rId67"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7694da4789924e6b9aa9c9abcc4d28da"/>
                        <w:lock w:val="sdtLocked"/>
                        <w:richText/>
                      </w:sdtPr>
                      <w:sdtContent>
                        <w:p>
                          <w:pPr>
                            <w:ind w:firstLine="709"/>
                            <w:jc w:val="both"/>
                            <w:rPr>
                              <w:color w:val="000000"/>
                              <w:lang w:eastAsia="lt-LT"/>
                            </w:rPr>
                          </w:pPr>
                          <w:sdt>
                            <w:sdtPr>
                              <w:alias w:val="Numeris"/>
                              <w:tag w:val="nr_7694da4789924e6b9aa9c9abcc4d28da"/>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68" w:tgtFrame="_blank" w:history="1">
                            <w:r>
                              <w:rPr>
                                <w:color w:val="0000FF" w:themeColor="hyperlink"/>
                                <w:szCs w:val="22"/>
                                <w:u w:val="single"/>
                                <w:lang w:eastAsia="lt-LT"/>
                              </w:rPr>
                              <w:t>3-37</w:t>
                            </w:r>
                          </w:hyperlink>
                          <w:r>
                            <w:rPr>
                              <w:color w:val="000000"/>
                              <w:szCs w:val="22"/>
                              <w:lang w:eastAsia="lt-LT"/>
                            </w:rPr>
                            <w:t xml:space="preserve">; 2004, Nr. </w:t>
                          </w:r>
                          <w:hyperlink r:id="rId69"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bd34106a4b0b423aae96f08665202516"/>
                        <w:lock w:val="sdtLocked"/>
                        <w:richText/>
                      </w:sdtPr>
                      <w:sdtContent>
                        <w:p>
                          <w:pPr>
                            <w:ind w:firstLine="709"/>
                            <w:jc w:val="both"/>
                          </w:pPr>
                          <w:sdt>
                            <w:sdtPr>
                              <w:alias w:val="Numeris"/>
                              <w:tag w:val="nr_bd34106a4b0b423aae96f08665202516"/>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70" w:tgtFrame="_blank" w:history="1">
                            <w:r>
                              <w:rPr>
                                <w:color w:val="0000FF" w:themeColor="hyperlink"/>
                                <w:szCs w:val="22"/>
                                <w:u w:val="single"/>
                                <w:lang w:eastAsia="lt-LT"/>
                              </w:rPr>
                              <w:t>22-652</w:t>
                            </w:r>
                          </w:hyperlink>
                          <w:r>
                            <w:rPr>
                              <w:color w:val="000000"/>
                              <w:szCs w:val="22"/>
                              <w:lang w:eastAsia="lt-LT"/>
                            </w:rPr>
                            <w:t>);</w:t>
                          </w:r>
                        </w:p>
                      </w:sdtContent>
                    </w:sdt>
                    <w:sdt>
                      <w:sdtPr>
                        <w:alias w:val="6.1.6 p."/>
                        <w:tag w:val="part_dec3d70a8258456eba3a268685662e78"/>
                        <w:lock w:val="sdtLocked"/>
                        <w:richText/>
                      </w:sdtPr>
                      <w:sdtContent>
                        <w:p>
                          <w:pPr>
                            <w:ind w:firstLine="709"/>
                            <w:jc w:val="both"/>
                          </w:pPr>
                          <w:sdt>
                            <w:sdtPr>
                              <w:alias w:val="Numeris"/>
                              <w:tag w:val="nr_dec3d70a8258456eba3a268685662e78"/>
                              <w:lock w:val="sdtLocked"/>
                              <w:richText/>
                            </w:sdtPr>
                            <w:sdtContent>
                              <w:r>
                                <w:rPr>
                                  <w:szCs w:val="24"/>
                                </w:rPr>
                                <w:t>6.1.6</w:t>
                              </w:r>
                            </w:sdtContent>
                          </w:sdt>
                          <w:r>
                            <w:rPr>
                              <w:szCs w:val="24"/>
                            </w:rPr>
                            <w:t>. 2011 m. kovo 9 d. Europos Parlamento ir Tarybos reglamentą (ES) Nr. 305/2011, kuriuo nustatomos suderintos statybos produktų rinkodaros sąlygos ir panaikinama Tarybos direktyva 89/106/EEB (OL 2011 L 88, p. 5–43);</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1.7 pp."/>
                        <w:tag w:val="part_a422bbd326424c2fa0c8254a9d6be0cc"/>
                        <w:lock w:val="sdtLocked"/>
                        <w:richText/>
                      </w:sdtPr>
                      <w:sdtContent>
                        <w:p>
                          <w:pPr>
                            <w:ind w:firstLine="709"/>
                            <w:jc w:val="both"/>
                            <w:rPr>
                              <w:color w:val="000000"/>
                              <w:lang w:eastAsia="lt-LT"/>
                            </w:rPr>
                          </w:pPr>
                          <w:sdt>
                            <w:sdtPr>
                              <w:alias w:val="Numeris"/>
                              <w:tag w:val="nr_a422bbd326424c2fa0c8254a9d6be0cc"/>
                              <w:lock w:val="sdtLocked"/>
                              <w:richText/>
                            </w:sdtPr>
                            <w:sdtContent>
                              <w:r>
                                <w:rPr>
                                  <w:szCs w:val="24"/>
                                </w:rPr>
                                <w:t>6.1.7</w:t>
                              </w:r>
                            </w:sdtContent>
                          </w:sdt>
                          <w:r>
                            <w:rPr>
                              <w:szCs w:val="24"/>
                            </w:rPr>
                            <w:t>. Lietuvos Respublikos Vyriausybės 1996 m. rugsėjo 18 d. nutarimą Nr. 1097 „Dėl Visuomenės informavimo, konsultavimo ir dalyvavimo priimant sprendimus dėl teritorijų planavimo nuostatų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bd7bfea0cb4c03afb0800f74cbdf4b"/>
                        <w:lock w:val="sdtLocked"/>
                        <w:richText/>
                      </w:sdtPr>
                      <w:sdtContent>
                        <w:p>
                          <w:pPr>
                            <w:widowControl w:val="0"/>
                            <w:ind w:firstLine="709"/>
                            <w:jc w:val="both"/>
                            <w:rPr>
                              <w:color w:val="000000"/>
                              <w:lang w:eastAsia="lt-LT"/>
                            </w:rPr>
                          </w:pPr>
                          <w:sdt>
                            <w:sdtPr>
                              <w:alias w:val="Numeris"/>
                              <w:tag w:val="nr_47bd7bfea0cb4c03afb0800f74cbdf4b"/>
                              <w:lock w:val="sdtLocked"/>
                              <w:richText/>
                            </w:sdtPr>
                            <w:sdtContent>
                              <w:r>
                                <w:rPr>
                                  <w:color w:val="000000"/>
                                  <w:szCs w:val="24"/>
                                  <w:lang w:eastAsia="lt-LT"/>
                                </w:rPr>
                                <w:t>6.2.1</w:t>
                              </w:r>
                            </w:sdtContent>
                          </w:sdt>
                          <w:r>
                            <w:rPr>
                              <w:color w:val="000000"/>
                              <w:szCs w:val="24"/>
                              <w:lang w:eastAsia="lt-LT"/>
                            </w:rPr>
                            <w:t xml:space="preserve">. STR 1.05.06:2010„Statinio projektavimas“ (Žin., 2005, Nr. </w:t>
                          </w:r>
                          <w:hyperlink r:id="rId18" w:tgtFrame="_blank" w:history="1">
                            <w:r>
                              <w:rPr>
                                <w:color w:val="0000FF" w:themeColor="hyperlink"/>
                                <w:szCs w:val="24"/>
                                <w:u w:val="single"/>
                                <w:lang w:eastAsia="lt-LT"/>
                              </w:rPr>
                              <w:t>4-80</w:t>
                            </w:r>
                          </w:hyperlink>
                          <w:r>
                            <w:rPr>
                              <w:color w:val="000000"/>
                              <w:szCs w:val="24"/>
                              <w:lang w:eastAsia="lt-LT"/>
                            </w:rPr>
                            <w:t>;</w:t>
                          </w:r>
                          <w:r>
                            <w:rPr>
                              <w:b/>
                              <w:bCs/>
                              <w:color w:val="000000"/>
                              <w:szCs w:val="24"/>
                              <w:lang w:eastAsia="lt-LT"/>
                            </w:rPr>
                            <w:t xml:space="preserve"> </w:t>
                          </w:r>
                          <w:r>
                            <w:rPr>
                              <w:color w:val="000000"/>
                              <w:szCs w:val="24"/>
                              <w:lang w:eastAsia="lt-LT"/>
                            </w:rPr>
                            <w:t xml:space="preserve">2010, Nr. </w:t>
                          </w:r>
                          <w:hyperlink r:id="rId19" w:tgtFrame="_blank" w:history="1">
                            <w:r>
                              <w:rPr>
                                <w:color w:val="0000FF" w:themeColor="hyperlink"/>
                                <w:szCs w:val="24"/>
                                <w:u w:val="single"/>
                                <w:lang w:eastAsia="lt-LT"/>
                              </w:rPr>
                              <w:t>115-5902</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f33246b627274d438d5f08374b3698b3"/>
                        <w:lock w:val="sdtLocked"/>
                        <w:richText/>
                      </w:sdtPr>
                      <w:sdtContent>
                        <w:p>
                          <w:pPr>
                            <w:pStyle w:val="PlainText"/>
                            <w:ind w:firstLine="567"/>
                            <w:jc w:val="both"/>
                            <w:rPr>
                              <w:rFonts w:ascii="Times New Roman" w:hAnsi="Times New Roman"/>
                              <w:b/>
                              <w:bCs/>
                              <w:sz w:val="22"/>
                            </w:rPr>
                          </w:pPr>
                          <w:r>
                            <w:rPr>
                              <w:rFonts w:ascii="Times New Roman" w:hAnsi="Times New Roman"/>
                              <w:sz w:val="22"/>
                            </w:rPr>
                            <w:t>6.2.2</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a6669026811d4650835d394ce4cc0d0e"/>
                        <w:lock w:val="sdtLocked"/>
                        <w:richText/>
                      </w:sdtPr>
                      <w:sdtContent>
                        <w:p>
                          <w:pPr>
                            <w:ind w:firstLine="709"/>
                            <w:jc w:val="both"/>
                            <w:rPr>
                              <w:color w:val="000000"/>
                              <w:lang w:eastAsia="lt-LT"/>
                            </w:rPr>
                          </w:pPr>
                          <w:sdt>
                            <w:sdtPr>
                              <w:alias w:val="Numeris"/>
                              <w:tag w:val="nr_a6669026811d4650835d394ce4cc0d0e"/>
                              <w:lock w:val="sdtLocked"/>
                              <w:richText/>
                            </w:sdtPr>
                            <w:sdtContent>
                              <w:r>
                                <w:rPr>
                                  <w:szCs w:val="24"/>
                                </w:rPr>
                                <w:t>6.2.2</w:t>
                              </w:r>
                            </w:sdtContent>
                          </w:sdt>
                          <w:r>
                            <w:rPr>
                              <w:szCs w:val="24"/>
                            </w:rPr>
                            <w:t>. STR 1.07.01:2010 „Statybą leidžiantys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20"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77b75852e0f14dbba978502197ea032b"/>
                        <w:lock w:val="sdtLocked"/>
                        <w:richText/>
                      </w:sdtPr>
                      <w:sdtContent>
                        <w:p>
                          <w:pPr>
                            <w:ind w:firstLine="709"/>
                            <w:jc w:val="both"/>
                            <w:rPr>
                              <w:color w:val="000000"/>
                              <w:lang w:eastAsia="lt-LT"/>
                            </w:rPr>
                          </w:pPr>
                          <w:sdt>
                            <w:sdtPr>
                              <w:alias w:val="Numeris"/>
                              <w:tag w:val="nr_77b75852e0f14dbba978502197ea032b"/>
                              <w:lock w:val="sdtLocked"/>
                              <w:richText/>
                            </w:sdtPr>
                            <w:sdtContent>
                              <w:r>
                                <w:rPr>
                                  <w:szCs w:val="24"/>
                                </w:rPr>
                                <w:t>6.2.4</w:t>
                              </w:r>
                            </w:sdtContent>
                          </w:sdt>
                          <w:r>
                            <w:rPr>
                              <w:szCs w:val="24"/>
                            </w:rPr>
                            <w:t>. STR 2.02.01:2004 „Gyvenamieji pastatai“, patvirtintą Lietuvos Respublikos aplinkos ministro 2003 m. gruodžio 24 d. įsakymu Nr. 705 „Dėl statybos techninio reglamento STR 2.02.01:2004 „Gyvenamieji pastatai“;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5 p."/>
                        <w:tag w:val="part_8a80e967826742759d5042208fd2bafb"/>
                        <w:lock w:val="sdtLocked"/>
                        <w:richText/>
                      </w:sdtPr>
                      <w:sdtContent>
                        <w:p>
                          <w:pPr>
                            <w:widowControl w:val="0"/>
                            <w:ind w:firstLine="709"/>
                            <w:jc w:val="both"/>
                            <w:rPr>
                              <w:color w:val="000000"/>
                              <w:lang w:eastAsia="lt-LT"/>
                            </w:rPr>
                          </w:pPr>
                          <w:sdt>
                            <w:sdtPr>
                              <w:alias w:val="Numeris"/>
                              <w:tag w:val="nr_8a80e967826742759d5042208fd2bafb"/>
                              <w:lock w:val="sdtLocked"/>
                              <w:richText/>
                            </w:sdtPr>
                            <w:sdtContent>
                              <w:r>
                                <w:rPr>
                                  <w:color w:val="000000"/>
                                  <w:szCs w:val="24"/>
                                  <w:lang w:eastAsia="lt-LT"/>
                                </w:rPr>
                                <w:t>6.2.5</w:t>
                              </w:r>
                            </w:sdtContent>
                          </w:sdt>
                          <w:r>
                            <w:rPr>
                              <w:color w:val="000000"/>
                              <w:szCs w:val="24"/>
                              <w:lang w:eastAsia="lt-LT"/>
                            </w:rPr>
                            <w:t xml:space="preserve">. STR1.01.07:2010 „Nesudėtingi statiniai (Žin., 2010, Nr. </w:t>
                          </w:r>
                          <w:hyperlink r:id="rId21" w:tgtFrame="_blank" w:history="1">
                            <w:r>
                              <w:rPr>
                                <w:color w:val="0000FF" w:themeColor="hyperlink"/>
                                <w:szCs w:val="24"/>
                                <w:u w:val="single"/>
                                <w:lang w:eastAsia="lt-LT"/>
                              </w:rPr>
                              <w:t>115-5903</w:t>
                            </w:r>
                          </w:hyperlink>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6 p."/>
                        <w:tag w:val="part_83baf3f257e54814851768474d3345e5"/>
                        <w:lock w:val="sdtLocked"/>
                        <w:richText/>
                      </w:sdtPr>
                      <w:sdtContent>
                        <w:p>
                          <w:pPr>
                            <w:pStyle w:val="PlainText"/>
                            <w:ind w:firstLine="567"/>
                            <w:jc w:val="both"/>
                            <w:rPr>
                              <w:rFonts w:ascii="Times New Roman" w:hAnsi="Times New Roman"/>
                              <w:b/>
                              <w:bCs/>
                              <w:sz w:val="22"/>
                            </w:rPr>
                          </w:pPr>
                          <w:r>
                            <w:rPr>
                              <w:rFonts w:ascii="Times New Roman" w:hAnsi="Times New Roman"/>
                              <w:sz w:val="22"/>
                            </w:rPr>
                            <w:t>6.2.6</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1836129287b64efc9baac1e353482d60"/>
                        <w:lock w:val="sdtLocked"/>
                        <w:richText/>
                      </w:sdtPr>
                      <w:sdtContent>
                        <w:p>
                          <w:pPr>
                            <w:pStyle w:val="PlainText"/>
                            <w:ind w:firstLine="567"/>
                            <w:jc w:val="both"/>
                            <w:rPr>
                              <w:rFonts w:ascii="Times New Roman" w:hAnsi="Times New Roman"/>
                              <w:b/>
                              <w:bCs/>
                              <w:sz w:val="22"/>
                            </w:rPr>
                          </w:pPr>
                          <w:r>
                            <w:rPr>
                              <w:rFonts w:ascii="Times New Roman" w:hAnsi="Times New Roman"/>
                              <w:sz w:val="22"/>
                            </w:rPr>
                            <w:t>6.2.7</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8 p."/>
                        <w:tag w:val="part_db6a7522a0ea4fa881bcd16a6ded5869"/>
                        <w:lock w:val="sdtLocked"/>
                        <w:richText/>
                      </w:sdtPr>
                      <w:sdtContent>
                        <w:p>
                          <w:pPr>
                            <w:pStyle w:val="PlainText"/>
                            <w:ind w:firstLine="567"/>
                            <w:jc w:val="both"/>
                            <w:rPr>
                              <w:rFonts w:ascii="Times New Roman" w:hAnsi="Times New Roman"/>
                              <w:b/>
                              <w:bCs/>
                              <w:sz w:val="22"/>
                            </w:rPr>
                          </w:pPr>
                          <w:r>
                            <w:rPr>
                              <w:rFonts w:ascii="Times New Roman" w:hAnsi="Times New Roman"/>
                              <w:sz w:val="22"/>
                            </w:rPr>
                            <w:t>6.2.8</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9 p."/>
                        <w:tag w:val="part_06380d67283d4bd0b2036e5f98ae845a"/>
                        <w:lock w:val="sdtLocked"/>
                        <w:richText/>
                      </w:sdtPr>
                      <w:sdtContent>
                        <w:p>
                          <w:pPr>
                            <w:pStyle w:val="PlainText"/>
                            <w:ind w:firstLine="567"/>
                            <w:jc w:val="both"/>
                            <w:rPr>
                              <w:rFonts w:ascii="Times New Roman" w:hAnsi="Times New Roman"/>
                              <w:b/>
                              <w:bCs/>
                              <w:sz w:val="22"/>
                            </w:rPr>
                          </w:pPr>
                          <w:r>
                            <w:rPr>
                              <w:rFonts w:ascii="Times New Roman" w:hAnsi="Times New Roman"/>
                              <w:sz w:val="22"/>
                            </w:rPr>
                            <w:t>6.2.9</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2325b3124f914ab1afd16c6668483986"/>
                        <w:lock w:val="sdtLocked"/>
                        <w:richText/>
                      </w:sdtPr>
                      <w:sdtContent>
                        <w:p>
                          <w:pPr>
                            <w:pStyle w:val="PlainText"/>
                            <w:ind w:firstLine="567"/>
                            <w:jc w:val="both"/>
                            <w:rPr>
                              <w:rFonts w:ascii="Times New Roman" w:hAnsi="Times New Roman"/>
                              <w:b/>
                              <w:bCs/>
                              <w:sz w:val="22"/>
                            </w:rPr>
                          </w:pPr>
                          <w:r>
                            <w:rPr>
                              <w:rFonts w:ascii="Times New Roman" w:hAnsi="Times New Roman"/>
                              <w:sz w:val="22"/>
                            </w:rPr>
                            <w:t>6.2.10</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6b4d4a854c1c4a7e89052074f4b0b234"/>
                        <w:lock w:val="sdtLocked"/>
                        <w:richText/>
                      </w:sdtPr>
                      <w:sdtContent>
                        <w:p>
                          <w:pPr>
                            <w:pStyle w:val="PlainText"/>
                            <w:ind w:firstLine="567"/>
                            <w:jc w:val="both"/>
                            <w:rPr>
                              <w:rFonts w:ascii="Times New Roman" w:hAnsi="Times New Roman"/>
                              <w:b/>
                              <w:bCs/>
                              <w:sz w:val="22"/>
                            </w:rPr>
                          </w:pPr>
                          <w:r>
                            <w:rPr>
                              <w:rFonts w:ascii="Times New Roman" w:hAnsi="Times New Roman"/>
                              <w:sz w:val="22"/>
                            </w:rPr>
                            <w:t>6.2.11</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b8a57309eb724bc6bd0a7e137a1727d6"/>
                        <w:lock w:val="sdtLocked"/>
                        <w:richText/>
                      </w:sdtPr>
                      <w:sdtContent>
                        <w:p>
                          <w:pPr>
                            <w:widowControl w:val="0"/>
                            <w:suppressAutoHyphens/>
                            <w:ind w:firstLine="567"/>
                            <w:jc w:val="both"/>
                            <w:rPr>
                              <w:i/>
                              <w:color w:val="000000"/>
                              <w:sz w:val="20"/>
                            </w:rPr>
                          </w:pPr>
                          <w:sdt>
                            <w:sdtPr>
                              <w:alias w:val="Numeris"/>
                              <w:tag w:val="nr_b8a57309eb724bc6bd0a7e137a1727d6"/>
                              <w:lock w:val="sdtLocked"/>
                              <w:richText/>
                            </w:sdtPr>
                            <w:sdtContent>
                              <w:r>
                                <w:rPr>
                                  <w:color w:val="000000"/>
                                  <w:sz w:val="22"/>
                                </w:rPr>
                                <w:t>6.2.12</w:t>
                              </w:r>
                            </w:sdtContent>
                          </w:sdt>
                          <w:r>
                            <w:rPr>
                              <w:color w:val="000000"/>
                            </w:rPr>
                            <w:t xml:space="preserve">. </w:t>
                          </w:r>
                          <w:r>
                            <w:rPr>
                              <w:i/>
                              <w:sz w:val="20"/>
                            </w:rPr>
                            <w:t>Neteko galios nuo</w:t>
                          </w:r>
                          <w:r>
                            <w:rPr>
                              <w:i/>
                              <w:color w:val="000000"/>
                              <w:sz w:val="20"/>
                            </w:rPr>
                            <w:t xml:space="preserve"> 2011-04-14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22"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23"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24"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25"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26"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27"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28"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d8064d2a949e4e7ead71ec7637bbc176"/>
                        <w:lock w:val="sdtLocked"/>
                        <w:richText/>
                      </w:sdtPr>
                      <w:sdtContent>
                        <w:p>
                          <w:pPr>
                            <w:widowControl w:val="0"/>
                            <w:suppressAutoHyphens/>
                            <w:ind w:firstLine="709"/>
                            <w:jc w:val="both"/>
                            <w:rPr>
                              <w:color w:val="000000"/>
                              <w:lang w:eastAsia="lt-LT"/>
                            </w:rPr>
                          </w:pPr>
                          <w:sdt>
                            <w:sdtPr>
                              <w:alias w:val="Numeris"/>
                              <w:tag w:val="nr_d8064d2a949e4e7ead71ec7637bbc176"/>
                              <w:lock w:val="sdtLocked"/>
                              <w:richText/>
                            </w:sdtPr>
                            <w:sdtContent>
                              <w:r>
                                <w:rPr>
                                  <w:color w:val="000000"/>
                                </w:rPr>
                                <w:t>6.2.20</w:t>
                              </w:r>
                            </w:sdtContent>
                          </w:sdt>
                          <w:r>
                            <w:rPr>
                              <w:color w:val="000000"/>
                            </w:rPr>
                            <w:t xml:space="preserve">. </w:t>
                          </w:r>
                          <w:r>
                            <w:rPr>
                              <w:szCs w:val="24"/>
                            </w:rPr>
                            <w:t>STR 2.05.01:2013 „Pastatų energinio naudingumo projektavimas“, patvirtintą Lietuvos Respublikos aplinkos ministro 2013 m. gruodžio 9 d. įsakymu Nr. D1-909 „Dėl statybos techninio reglamento STR 2.05.01:2013 „Pastatų energinio naudingumo projektavimas“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29"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30"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31"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cb48b505a25a4dba88a1e6fd5aa85ed7"/>
                        <w:lock w:val="sdtLocked"/>
                        <w:richText/>
                      </w:sdtPr>
                      <w:sdtContent>
                        <w:p>
                          <w:pPr>
                            <w:pStyle w:val="PlainText"/>
                            <w:ind w:firstLine="567"/>
                            <w:jc w:val="both"/>
                            <w:rPr>
                              <w:rFonts w:ascii="Times New Roman" w:hAnsi="Times New Roman"/>
                              <w:b/>
                              <w:bCs/>
                              <w:sz w:val="22"/>
                            </w:rPr>
                          </w:pPr>
                          <w:r>
                            <w:rPr>
                              <w:rFonts w:ascii="Times New Roman" w:hAnsi="Times New Roman"/>
                              <w:sz w:val="22"/>
                            </w:rPr>
                            <w:t>6.2.24</w:t>
                          </w:r>
                          <w:r>
                            <w:rPr>
                              <w:rFonts w:ascii="Times New Roman" w:hAnsi="Times New Roman"/>
                              <w:sz w:val="22"/>
                            </w:rPr>
                            <w:t>.</w:t>
                          </w:r>
                          <w:r>
                            <w:rPr>
                              <w:rFonts w:ascii="Times New Roman" w:eastAsia="MS Mincho" w:hAnsi="Times New Roman"/>
                              <w:sz w:val="20"/>
                              <w:i/>
                              <w:iCs/>
                            </w:rPr>
                            <w:t xml:space="preserve"> Neteko galios nuo 2016-07-15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32"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9156a24e1c494eef9779e9ab8572f863"/>
                        <w:lock w:val="sdtLocked"/>
                        <w:richText/>
                      </w:sdtPr>
                      <w:sdtContent>
                        <w:p>
                          <w:pPr>
                            <w:widowControl w:val="0"/>
                            <w:ind w:firstLine="709"/>
                            <w:jc w:val="both"/>
                            <w:rPr>
                              <w:color w:val="000000"/>
                              <w:lang w:eastAsia="lt-LT"/>
                            </w:rPr>
                          </w:pPr>
                          <w:sdt>
                            <w:sdtPr>
                              <w:alias w:val="Numeris"/>
                              <w:tag w:val="nr_9156a24e1c494eef9779e9ab8572f863"/>
                              <w:lock w:val="sdtLocked"/>
                              <w:richText/>
                            </w:sdtPr>
                            <w:sdtContent>
                              <w:r>
                                <w:rPr>
                                  <w:color w:val="000000"/>
                                  <w:szCs w:val="24"/>
                                  <w:lang w:eastAsia="lt-LT"/>
                                </w:rPr>
                                <w:t>6.2.26</w:t>
                              </w:r>
                            </w:sdtContent>
                          </w:sdt>
                          <w:r>
                            <w:rPr>
                              <w:color w:val="000000"/>
                              <w:szCs w:val="24"/>
                              <w:lang w:eastAsia="lt-LT"/>
                            </w:rPr>
                            <w:t xml:space="preserve">. Dujų sistemų pastatuose įrengimo taisykles, patvirtintas Lietuvos Respublikos energetikos ministro 2012 m. sausio 2 d. įsakymu Nr. 1-2 „Dėl Dujų sistemų pastatuose įrengimo taisyklių patvirtinimo“ (Žin., 2012, Nr. </w:t>
                          </w:r>
                          <w:hyperlink r:id="rId33" w:tgtFrame="_blank" w:history="1">
                            <w:r>
                              <w:rPr>
                                <w:color w:val="0000FF" w:themeColor="hyperlink"/>
                                <w:szCs w:val="24"/>
                                <w:u w:val="single"/>
                                <w:lang w:eastAsia="lt-LT"/>
                              </w:rPr>
                              <w:t>3-96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7 p."/>
                        <w:tag w:val="part_792afc14432143c3b1ae837cc4b71e94"/>
                        <w:lock w:val="sdtLocked"/>
                        <w:richText/>
                      </w:sdtPr>
                      <w:sdtContent>
                        <w:p>
                          <w:pPr>
                            <w:widowControl w:val="0"/>
                            <w:ind w:firstLine="709"/>
                            <w:jc w:val="both"/>
                            <w:rPr>
                              <w:color w:val="000000"/>
                              <w:lang w:eastAsia="lt-LT"/>
                            </w:rPr>
                          </w:pPr>
                          <w:sdt>
                            <w:sdtPr>
                              <w:alias w:val="Numeris"/>
                              <w:tag w:val="nr_792afc14432143c3b1ae837cc4b71e94"/>
                              <w:lock w:val="sdtLocked"/>
                              <w:richText/>
                            </w:sdtPr>
                            <w:sdtContent>
                              <w:r>
                                <w:rPr>
                                  <w:color w:val="000000"/>
                                  <w:szCs w:val="24"/>
                                  <w:lang w:eastAsia="lt-LT"/>
                                </w:rPr>
                                <w:t>6.2.27</w:t>
                              </w:r>
                            </w:sdtContent>
                          </w:sdt>
                          <w:r>
                            <w:rPr>
                              <w:color w:val="000000"/>
                              <w:szCs w:val="24"/>
                              <w:lang w:eastAsia="lt-LT"/>
                            </w:rPr>
                            <w:t xml:space="preserve">. STR 1.04.02:2011 „Inžineriniai geologiniai ir geotechniniai tyrimai“ (Žin., 2012, Nr. </w:t>
                          </w:r>
                          <w:hyperlink r:id="rId34" w:tgtFrame="_blank" w:history="1">
                            <w:r>
                              <w:rPr>
                                <w:color w:val="0000FF" w:themeColor="hyperlink"/>
                                <w:szCs w:val="24"/>
                                <w:u w:val="single"/>
                                <w:lang w:eastAsia="lt-LT"/>
                              </w:rPr>
                              <w:t>5-144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8 p."/>
                        <w:tag w:val="part_62dc738a00e64d2ea935c6c574d525cb"/>
                        <w:lock w:val="sdtLocked"/>
                        <w:richText/>
                      </w:sdtPr>
                      <w:sdtContent>
                        <w:p>
                          <w:pPr>
                            <w:ind w:firstLine="709"/>
                            <w:jc w:val="both"/>
                            <w:rPr>
                              <w:color w:val="000000"/>
                              <w:lang w:eastAsia="lt-LT"/>
                            </w:rPr>
                          </w:pPr>
                          <w:sdt>
                            <w:sdtPr>
                              <w:alias w:val="Numeris"/>
                              <w:tag w:val="nr_62dc738a00e64d2ea935c6c574d525cb"/>
                              <w:lock w:val="sdtLocked"/>
                              <w:richText/>
                            </w:sdtPr>
                            <w:sdtContent>
                              <w:r>
                                <w:rPr>
                                  <w:color w:val="000000"/>
                                  <w:szCs w:val="22"/>
                                  <w:lang w:eastAsia="lt-LT"/>
                                </w:rPr>
                                <w:t>6.2.28</w:t>
                              </w:r>
                            </w:sdtContent>
                          </w:sdt>
                          <w:r>
                            <w:rPr>
                              <w:color w:val="000000"/>
                              <w:szCs w:val="22"/>
                              <w:lang w:eastAsia="lt-LT"/>
                            </w:rPr>
                            <w:t>. STR 2.02.08:</w:t>
                          </w:r>
                          <w:r>
                            <w:rPr>
                              <w:color w:val="000000"/>
                              <w:szCs w:val="24"/>
                              <w:lang w:eastAsia="lt-LT"/>
                            </w:rPr>
                            <w:t>2012</w:t>
                          </w:r>
                          <w:r>
                            <w:rPr>
                              <w:color w:val="000000"/>
                              <w:szCs w:val="22"/>
                              <w:lang w:eastAsia="lt-LT"/>
                            </w:rPr>
                            <w:t xml:space="preserve"> „Automobilių saugyklų projektavimas“ (Žin., 2005, Nr. </w:t>
                          </w:r>
                          <w:hyperlink r:id="rId35" w:tgtFrame="_blank" w:history="1">
                            <w:r>
                              <w:rPr>
                                <w:color w:val="0000FF" w:themeColor="hyperlink"/>
                                <w:szCs w:val="22"/>
                                <w:u w:val="single"/>
                                <w:lang w:eastAsia="lt-LT"/>
                              </w:rPr>
                              <w:t>24-787</w:t>
                            </w:r>
                          </w:hyperlink>
                          <w:r>
                            <w:rPr>
                              <w:color w:val="0000FF" w:themeColor="hyperlink"/>
                              <w:szCs w:val="22"/>
                              <w:u w:val="single"/>
                              <w:lang w:eastAsia="lt-LT"/>
                            </w:rPr>
                            <w:t xml:space="preserve">; </w:t>
                          </w:r>
                          <w:r>
                            <w:rPr>
                              <w:color w:val="000000"/>
                              <w:szCs w:val="24"/>
                              <w:lang w:eastAsia="lt-LT"/>
                            </w:rPr>
                            <w:t>2012, Nr. 50-2495</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36"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37"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38"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39"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40"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f26ffe614d2f41728782314733e09885"/>
                        <w:lock w:val="sdtLocked"/>
                        <w:richText/>
                      </w:sdtPr>
                      <w:sdtContent>
                        <w:p>
                          <w:pPr>
                            <w:widowControl w:val="0"/>
                            <w:ind w:firstLine="709"/>
                            <w:jc w:val="both"/>
                            <w:rPr>
                              <w:color w:val="000000"/>
                              <w:lang w:eastAsia="lt-LT"/>
                            </w:rPr>
                          </w:pPr>
                          <w:sdt>
                            <w:sdtPr>
                              <w:alias w:val="Numeris"/>
                              <w:tag w:val="nr_f26ffe614d2f41728782314733e09885"/>
                              <w:lock w:val="sdtLocked"/>
                              <w:richText/>
                            </w:sdtPr>
                            <w:sdtContent>
                              <w:r>
                                <w:rPr>
                                  <w:color w:val="000000"/>
                                  <w:szCs w:val="24"/>
                                  <w:lang w:eastAsia="lt-LT"/>
                                </w:rPr>
                                <w:t>6.3.2</w:t>
                              </w:r>
                            </w:sdtContent>
                          </w:sdt>
                          <w:r>
                            <w:rPr>
                              <w:color w:val="000000"/>
                              <w:szCs w:val="24"/>
                              <w:lang w:eastAsia="lt-LT"/>
                            </w:rPr>
                            <w:t>. Nuotekų filtravimo sistemų įrengimo aplinkosaugos taisykles, patvirtintas Lietuvos Respublikos aplinkos ministro 2012 m. balandžio 2 d. įsakymu Nr. D1-281 (Žin., 2012, Nr. 41-2007);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41"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42"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5 p."/>
                        <w:tag w:val="part_b5376d24e160431f970a8337ed02b2cb"/>
                        <w:lock w:val="sdtLocked"/>
                        <w:richText/>
                      </w:sdtPr>
                      <w:sdtContent>
                        <w:p>
                          <w:pPr>
                            <w:widowControl w:val="0"/>
                            <w:suppressAutoHyphens/>
                            <w:ind w:firstLine="709"/>
                            <w:jc w:val="both"/>
                            <w:rPr>
                              <w:color w:val="000000"/>
                              <w:lang w:eastAsia="lt-LT"/>
                            </w:rPr>
                          </w:pPr>
                          <w:sdt>
                            <w:sdtPr>
                              <w:alias w:val="Numeris"/>
                              <w:tag w:val="nr_b5376d24e160431f970a8337ed02b2cb"/>
                              <w:lock w:val="sdtLocked"/>
                              <w:richText/>
                            </w:sdtPr>
                            <w:sdtContent>
                              <w:r>
                                <w:rPr>
                                  <w:color w:val="000000"/>
                                </w:rPr>
                                <w:t>6.3.5</w:t>
                              </w:r>
                            </w:sdtContent>
                          </w:sdt>
                          <w:r>
                            <w:rPr>
                              <w:color w:val="000000"/>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61" w:tgtFrame="_blank" w:history="1">
                            <w:r>
                              <w:rPr>
                                <w:color w:val="0000FF" w:themeColor="hyperlink"/>
                                <w:u w:val="single"/>
                              </w:rPr>
                              <w:t>137-5624</w:t>
                            </w:r>
                          </w:hyperlink>
                          <w:r>
                            <w:rPr>
                              <w:color w:val="000000"/>
                            </w:rPr>
                            <w:t>)</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f0fcdc5e26144840ab4e2165098e808c"/>
                        <w:lock w:val="sdtLocked"/>
                        <w:richText/>
                      </w:sdtPr>
                      <w:sdtContent>
                        <w:p>
                          <w:pPr>
                            <w:widowControl w:val="0"/>
                            <w:ind w:firstLine="709"/>
                            <w:jc w:val="both"/>
                            <w:rPr>
                              <w:color w:val="000000"/>
                              <w:lang w:eastAsia="lt-LT"/>
                            </w:rPr>
                          </w:pPr>
                          <w:sdt>
                            <w:sdtPr>
                              <w:alias w:val="Numeris"/>
                              <w:tag w:val="nr_f0fcdc5e26144840ab4e2165098e808c"/>
                              <w:lock w:val="sdtLocked"/>
                              <w:richText/>
                            </w:sdtPr>
                            <w:sdtContent>
                              <w:r>
                                <w:rPr>
                                  <w:color w:val="000000"/>
                                  <w:szCs w:val="24"/>
                                  <w:lang w:eastAsia="lt-LT"/>
                                </w:rPr>
                                <w:t>6.4.1</w:t>
                              </w:r>
                            </w:sdtContent>
                          </w:sdt>
                          <w:r>
                            <w:rPr>
                              <w:color w:val="000000"/>
                              <w:szCs w:val="24"/>
                              <w:lang w:eastAsia="lt-LT"/>
                            </w:rPr>
                            <w:t xml:space="preserve">. HN 33:2011 „Triukšmo ribiniai dydžiai gyvenamuosiuose ir visuomeninės paskirties pastatuose bei jų aplinkoje“ (Žin., 2011, Nr. </w:t>
                          </w:r>
                          <w:hyperlink r:id="rId47" w:tgtFrame="_blank" w:history="1">
                            <w:r>
                              <w:rPr>
                                <w:color w:val="0000FF" w:themeColor="hyperlink"/>
                                <w:szCs w:val="24"/>
                                <w:u w:val="single"/>
                                <w:lang w:eastAsia="lt-LT"/>
                              </w:rPr>
                              <w:t>75-3638</w:t>
                            </w:r>
                          </w:hyperlink>
                          <w:r>
                            <w:rPr>
                              <w:color w:val="000000"/>
                              <w:szCs w:val="24"/>
                              <w:lang w:eastAsia="lt-LT"/>
                            </w:rPr>
                            <w:t xml:space="preserve"> );</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48"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49"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50"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3c28b25cafc340d697351dc029f43080"/>
                        <w:lock w:val="sdtLocked"/>
                        <w:richText/>
                      </w:sdtPr>
                      <w:sdtContent>
                        <w:p>
                          <w:pPr>
                            <w:widowControl w:val="0"/>
                            <w:ind w:firstLine="709"/>
                            <w:jc w:val="both"/>
                            <w:rPr>
                              <w:color w:val="000000"/>
                              <w:lang w:eastAsia="lt-LT"/>
                            </w:rPr>
                          </w:pPr>
                          <w:sdt>
                            <w:sdtPr>
                              <w:alias w:val="Numeris"/>
                              <w:tag w:val="nr_3c28b25cafc340d697351dc029f43080"/>
                              <w:lock w:val="sdtLocked"/>
                              <w:richText/>
                            </w:sdtPr>
                            <w:sdtContent>
                              <w:r>
                                <w:rPr>
                                  <w:color w:val="000000"/>
                                  <w:szCs w:val="24"/>
                                  <w:lang w:eastAsia="lt-LT"/>
                                </w:rPr>
                                <w:t>6.4.6</w:t>
                              </w:r>
                            </w:sdtContent>
                          </w:sdt>
                          <w:r>
                            <w:rPr>
                              <w:color w:val="000000"/>
                              <w:szCs w:val="24"/>
                              <w:lang w:eastAsia="lt-LT"/>
                            </w:rPr>
                            <w:t xml:space="preserve">. HN 80:2011 „Elektromagnetinis laukas darbo vietose ir gyvenamojoje aplinkoje. Parametrų normuojamos vertės ir matavimo reikalavimai 10 kHz-300 GHz radijo dažnių juostoje“ (Žin., 2011, Nr. </w:t>
                          </w:r>
                          <w:hyperlink r:id="rId51" w:tgtFrame="_blank" w:history="1">
                            <w:r>
                              <w:rPr>
                                <w:color w:val="0000FF" w:themeColor="hyperlink"/>
                                <w:szCs w:val="24"/>
                                <w:u w:val="single"/>
                                <w:lang w:eastAsia="lt-LT"/>
                              </w:rPr>
                              <w:t>29-1374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52"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53"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54"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c3ebcbeda2a74d8cb99e7b0329a3cdf2"/>
                        <w:lock w:val="sdtLocked"/>
                        <w:richText/>
                      </w:sdtPr>
                      <w:sdtContent>
                        <w:p>
                          <w:pPr>
                            <w:pStyle w:val="PlainText"/>
                            <w:ind w:firstLine="567"/>
                            <w:jc w:val="both"/>
                            <w:rPr>
                              <w:rFonts w:ascii="Times New Roman" w:hAnsi="Times New Roman"/>
                              <w:b/>
                              <w:bCs/>
                              <w:sz w:val="22"/>
                            </w:rPr>
                          </w:pPr>
                          <w:r>
                            <w:rPr>
                              <w:rFonts w:ascii="Times New Roman" w:hAnsi="Times New Roman"/>
                              <w:sz w:val="22"/>
                            </w:rPr>
                            <w:t>6.4.10</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55"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56"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a316799420a9429eb81f207622ac03c5"/>
                        <w:lock w:val="sdtLocked"/>
                        <w:richText/>
                      </w:sdtPr>
                      <w:sdtContent>
                        <w:p>
                          <w:pPr>
                            <w:widowControl w:val="0"/>
                            <w:suppressAutoHyphens/>
                            <w:ind w:firstLine="709"/>
                            <w:jc w:val="both"/>
                            <w:rPr>
                              <w:color w:val="000000"/>
                              <w:lang w:eastAsia="lt-LT"/>
                            </w:rPr>
                          </w:pPr>
                          <w:sdt>
                            <w:sdtPr>
                              <w:alias w:val="Numeris"/>
                              <w:tag w:val="nr_a316799420a9429eb81f207622ac03c5"/>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57" w:tgtFrame="_blank" w:history="1">
                            <w:r>
                              <w:rPr>
                                <w:color w:val="0000FF" w:themeColor="hyperlink"/>
                                <w:u w:val="single"/>
                              </w:rPr>
                              <w:t>3-47</w:t>
                            </w:r>
                          </w:hyperlink>
                          <w:r>
                            <w:rPr>
                              <w:color w:val="0000FF" w:themeColor="hyperlink"/>
                              <w:u w:val="single"/>
                            </w:rPr>
                            <w:t xml:space="preserve">; </w:t>
                          </w:r>
                          <w:r>
                            <w:rPr>
                              <w:color w:val="000000"/>
                              <w:szCs w:val="24"/>
                              <w:lang w:eastAsia="lt-LT"/>
                            </w:rPr>
                            <w:t>2010, Nr. 14-680</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f6e5db6121749f18fd69adf9717567e"/>
                        <w:lock w:val="sdtLocked"/>
                        <w:richText/>
                      </w:sdtPr>
                      <w:sdtContent>
                        <w:p>
                          <w:pPr>
                            <w:widowControl w:val="0"/>
                            <w:ind w:firstLine="709"/>
                            <w:jc w:val="both"/>
                            <w:rPr>
                              <w:color w:val="000000"/>
                              <w:lang w:eastAsia="lt-LT"/>
                            </w:rPr>
                          </w:pPr>
                          <w:sdt>
                            <w:sdtPr>
                              <w:alias w:val="Numeris"/>
                              <w:tag w:val="nr_1f6e5db6121749f18fd69adf9717567e"/>
                              <w:lock w:val="sdtLocked"/>
                              <w:richText/>
                            </w:sdtPr>
                            <w:sdtContent>
                              <w:r>
                                <w:rPr>
                                  <w:color w:val="000000"/>
                                  <w:szCs w:val="24"/>
                                  <w:lang w:eastAsia="lt-LT"/>
                                </w:rPr>
                                <w:t>6.5.1</w:t>
                              </w:r>
                            </w:sdtContent>
                          </w:sdt>
                          <w:r>
                            <w:rPr>
                              <w:color w:val="000000"/>
                              <w:szCs w:val="24"/>
                              <w:lang w:eastAsia="lt-LT"/>
                            </w:rPr>
                            <w:t>.</w:t>
                          </w:r>
                          <w:r>
                            <w:rPr>
                              <w:b/>
                              <w:bCs/>
                              <w:color w:val="000000"/>
                              <w:szCs w:val="24"/>
                              <w:lang w:eastAsia="lt-LT"/>
                            </w:rPr>
                            <w:t xml:space="preserve"> </w:t>
                          </w:r>
                          <w:r>
                            <w:rPr>
                              <w:color w:val="000000"/>
                              <w:szCs w:val="24"/>
                              <w:lang w:eastAsia="lt-LT"/>
                            </w:rPr>
                            <w:t>Elektros įrenginių įrengimo bendrąsias taisykles, patvirtintas Lietuvos Respublikos energetikos ministro 2012 m. vasario 3 d. įsakymu Nr. 1-22</w:t>
                          </w:r>
                          <w:r>
                            <w:rPr>
                              <w:b/>
                              <w:bCs/>
                              <w:color w:val="000000"/>
                              <w:szCs w:val="24"/>
                              <w:lang w:eastAsia="lt-LT"/>
                            </w:rPr>
                            <w:t xml:space="preserve"> </w:t>
                          </w:r>
                          <w:r>
                            <w:rPr>
                              <w:color w:val="000000"/>
                              <w:szCs w:val="24"/>
                              <w:lang w:eastAsia="lt-LT"/>
                            </w:rPr>
                            <w:t xml:space="preserve">(Žin., 2012, Nr. </w:t>
                          </w:r>
                          <w:hyperlink r:id="rId43" w:tgtFrame="_blank" w:history="1">
                            <w:r>
                              <w:rPr>
                                <w:color w:val="0000FF" w:themeColor="hyperlink"/>
                                <w:szCs w:val="24"/>
                                <w:u w:val="single"/>
                                <w:lang w:eastAsia="lt-LT"/>
                              </w:rPr>
                              <w:t>18-816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2 p."/>
                        <w:tag w:val="part_b412474fc940454b868d489f74f4e05b"/>
                        <w:lock w:val="sdtLocked"/>
                        <w:richText/>
                      </w:sdtPr>
                      <w:sdtContent>
                        <w:p>
                          <w:pPr>
                            <w:widowControl w:val="0"/>
                            <w:ind w:firstLine="709"/>
                            <w:jc w:val="both"/>
                            <w:rPr>
                              <w:color w:val="000000"/>
                              <w:lang w:eastAsia="lt-LT"/>
                            </w:rPr>
                          </w:pPr>
                          <w:sdt>
                            <w:sdtPr>
                              <w:alias w:val="Numeris"/>
                              <w:tag w:val="nr_b412474fc940454b868d489f74f4e05b"/>
                              <w:lock w:val="sdtLocked"/>
                              <w:richText/>
                            </w:sdtPr>
                            <w:sdtContent>
                              <w:r>
                                <w:rPr>
                                  <w:color w:val="000000"/>
                                  <w:szCs w:val="24"/>
                                  <w:lang w:eastAsia="lt-LT"/>
                                </w:rPr>
                                <w:t>6.5.2</w:t>
                              </w:r>
                            </w:sdtContent>
                          </w:sdt>
                          <w:r>
                            <w:rPr>
                              <w:color w:val="000000"/>
                              <w:szCs w:val="24"/>
                              <w:lang w:eastAsia="lt-LT"/>
                            </w:rPr>
                            <w:t>.</w:t>
                          </w:r>
                          <w:r>
                            <w:rPr>
                              <w:b/>
                              <w:bCs/>
                              <w:color w:val="000000"/>
                              <w:szCs w:val="24"/>
                              <w:lang w:eastAsia="lt-LT"/>
                            </w:rPr>
                            <w:t xml:space="preserve"> </w:t>
                          </w:r>
                          <w:r>
                            <w:rPr>
                              <w:color w:val="000000"/>
                              <w:szCs w:val="24"/>
                              <w:lang w:eastAsia="lt-LT"/>
                            </w:rPr>
                            <w:t xml:space="preserve">Elektros linijų ir instaliacijos įrengimo taisykles, patvirtintas Lietuvos Respublikos energetikos ministro 2012 m. gruodžio 12 d. įsakymu Nr. 1-268 (Žin., 2012, Nr. </w:t>
                          </w:r>
                          <w:hyperlink r:id="rId44" w:tgtFrame="_blank" w:history="1">
                            <w:r>
                              <w:rPr>
                                <w:color w:val="0000FF" w:themeColor="hyperlink"/>
                                <w:szCs w:val="24"/>
                                <w:u w:val="single"/>
                                <w:lang w:eastAsia="lt-LT"/>
                              </w:rPr>
                              <w:t>147-7585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3 p."/>
                        <w:tag w:val="part_e028ff8f3e5448ee9d8884750c27d656"/>
                        <w:lock w:val="sdtLocked"/>
                        <w:richText/>
                      </w:sdtPr>
                      <w:sdtContent>
                        <w:p>
                          <w:pPr>
                            <w:widowControl w:val="0"/>
                            <w:ind w:firstLine="709"/>
                            <w:jc w:val="both"/>
                            <w:rPr>
                              <w:color w:val="000000"/>
                              <w:lang w:eastAsia="lt-LT"/>
                            </w:rPr>
                          </w:pPr>
                          <w:sdt>
                            <w:sdtPr>
                              <w:alias w:val="Numeris"/>
                              <w:tag w:val="nr_e028ff8f3e5448ee9d8884750c27d656"/>
                              <w:lock w:val="sdtLocked"/>
                              <w:richText/>
                            </w:sdtPr>
                            <w:sdtContent>
                              <w:r>
                                <w:rPr>
                                  <w:color w:val="000000"/>
                                  <w:spacing w:val="-1"/>
                                  <w:szCs w:val="24"/>
                                  <w:lang w:eastAsia="lt-LT"/>
                                </w:rPr>
                                <w:t>6.5.3</w:t>
                              </w:r>
                            </w:sdtContent>
                          </w:sdt>
                          <w:r>
                            <w:rPr>
                              <w:color w:val="000000"/>
                              <w:spacing w:val="-1"/>
                              <w:szCs w:val="24"/>
                              <w:lang w:eastAsia="lt-LT"/>
                            </w:rPr>
                            <w:t>. Apšvietimo elektros įrenginių įrengimo taisykles, patvirtintas Lietuvos Respublikos energetikos ministro 2011 m.</w:t>
                          </w:r>
                          <w:r>
                            <w:rPr>
                              <w:color w:val="000000"/>
                              <w:szCs w:val="24"/>
                              <w:lang w:eastAsia="lt-LT"/>
                            </w:rPr>
                            <w:t xml:space="preserve"> vasario 3 d. įsakymu Nr. 1-28</w:t>
                          </w:r>
                          <w:r>
                            <w:rPr>
                              <w:b/>
                              <w:bCs/>
                              <w:color w:val="000000"/>
                              <w:szCs w:val="24"/>
                              <w:lang w:eastAsia="lt-LT"/>
                            </w:rPr>
                            <w:t xml:space="preserve"> </w:t>
                          </w:r>
                          <w:r>
                            <w:rPr>
                              <w:color w:val="000000"/>
                              <w:szCs w:val="24"/>
                              <w:lang w:eastAsia="lt-LT"/>
                            </w:rPr>
                            <w:t xml:space="preserve">(Žin., 2011, Nr. </w:t>
                          </w:r>
                          <w:hyperlink r:id="rId45" w:tgtFrame="_blank" w:history="1">
                            <w:r>
                              <w:rPr>
                                <w:color w:val="0000FF" w:themeColor="hyperlink"/>
                                <w:szCs w:val="24"/>
                                <w:u w:val="single"/>
                                <w:lang w:eastAsia="lt-LT"/>
                              </w:rPr>
                              <w:t>17-815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4 p."/>
                        <w:tag w:val="part_f4085af32c2e405ba941b1753cfa2c6a"/>
                        <w:lock w:val="sdtLocked"/>
                        <w:richText/>
                      </w:sdtPr>
                      <w:sdtContent>
                        <w:p>
                          <w:pPr>
                            <w:widowControl w:val="0"/>
                            <w:ind w:firstLine="709"/>
                            <w:jc w:val="both"/>
                            <w:rPr>
                              <w:color w:val="000000"/>
                              <w:lang w:eastAsia="lt-LT"/>
                            </w:rPr>
                          </w:pPr>
                          <w:sdt>
                            <w:sdtPr>
                              <w:alias w:val="Numeris"/>
                              <w:tag w:val="nr_f4085af32c2e405ba941b1753cfa2c6a"/>
                              <w:lock w:val="sdtLocked"/>
                              <w:richText/>
                            </w:sdtPr>
                            <w:sdtContent>
                              <w:r>
                                <w:rPr>
                                  <w:color w:val="000000"/>
                                  <w:szCs w:val="24"/>
                                  <w:lang w:eastAsia="lt-LT"/>
                                </w:rPr>
                                <w:t>6.5.4</w:t>
                              </w:r>
                            </w:sdtContent>
                          </w:sdt>
                          <w:r>
                            <w:rPr>
                              <w:color w:val="000000"/>
                              <w:szCs w:val="24"/>
                              <w:lang w:eastAsia="lt-LT"/>
                            </w:rPr>
                            <w:t xml:space="preserve">. Šilumos tiekimo tinklų ir šilumos punktų įrengimo taisykles, patvirtintas Lietuvos energetikos ministro 2011 m. birželio 17 d. įsakymu Nr. 1-160 (Žin., 2011, Nr. </w:t>
                          </w:r>
                          <w:hyperlink r:id="rId46" w:tgtFrame="_blank" w:history="1">
                            <w:r>
                              <w:rPr>
                                <w:color w:val="0000FF" w:themeColor="hyperlink"/>
                                <w:szCs w:val="24"/>
                                <w:u w:val="single"/>
                                <w:lang w:eastAsia="lt-LT"/>
                              </w:rPr>
                              <w:t>76-3673</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7307f2651907425ca51f8cf9579e726d"/>
                        <w:lock w:val="sdtLocked"/>
                        <w:richText/>
                      </w:sdtPr>
                      <w:sdtContent>
                        <w:p>
                          <w:pPr>
                            <w:ind w:firstLine="709"/>
                            <w:jc w:val="both"/>
                            <w:rPr>
                              <w:color w:val="000000"/>
                            </w:rPr>
                          </w:pPr>
                          <w:sdt>
                            <w:sdtPr>
                              <w:alias w:val="Numeris"/>
                              <w:tag w:val="nr_7307f2651907425ca51f8cf9579e726d"/>
                              <w:lock w:val="sdtLocked"/>
                              <w:richText/>
                            </w:sdtPr>
                            <w:sdtContent>
                              <w:r>
                                <w:rPr>
                                  <w:szCs w:val="24"/>
                                </w:rPr>
                                <w:t>6.6.1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6.2 p."/>
                        <w:tag w:val="part_18ab49d10c1e4bacbd1bb7f6731ecc39"/>
                        <w:lock w:val="sdtLocked"/>
                        <w:richText/>
                      </w:sdtPr>
                      <w:sdtContent>
                        <w:p>
                          <w:pPr>
                            <w:pStyle w:val="PlainText"/>
                            <w:ind w:firstLine="567"/>
                            <w:jc w:val="both"/>
                            <w:rPr>
                              <w:rFonts w:ascii="Times New Roman" w:hAnsi="Times New Roman"/>
                              <w:b/>
                              <w:bCs/>
                              <w:sz w:val="22"/>
                            </w:rPr>
                          </w:pPr>
                          <w:r>
                            <w:rPr>
                              <w:rFonts w:ascii="Times New Roman" w:hAnsi="Times New Roman"/>
                              <w:sz w:val="22"/>
                            </w:rPr>
                            <w:t>6.6.2</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
                      <w:sdtPr>
                        <w:alias w:val="6.6.3 p."/>
                        <w:tag w:val="part_b62291582f6640aaac5dbf8ee19ecafe"/>
                        <w:lock w:val="sdtLocked"/>
                        <w:richText/>
                      </w:sdtPr>
                      <w:sdtContent>
                        <w:p>
                          <w:pPr>
                            <w:widowControl w:val="0"/>
                            <w:suppressAutoHyphens/>
                            <w:ind w:firstLine="709"/>
                            <w:jc w:val="both"/>
                            <w:rPr>
                              <w:color w:val="000000"/>
                            </w:rPr>
                          </w:pPr>
                          <w:sdt>
                            <w:sdtPr>
                              <w:alias w:val="Numeris"/>
                              <w:tag w:val="nr_b62291582f6640aaac5dbf8ee19ecafe"/>
                              <w:lock w:val="sdtLocked"/>
                              <w:richText/>
                            </w:sdtPr>
                            <w:sdtContent>
                              <w:r>
                                <w:rPr>
                                  <w:color w:val="000000"/>
                                </w:rPr>
                                <w:t>6.6.3</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58" w:tgtFrame="_blank" w:history="1">
                            <w:r>
                              <w:rPr>
                                <w:color w:val="0000FF" w:themeColor="hyperlink"/>
                                <w:u w:val="single"/>
                              </w:rPr>
                              <w:t>146-7510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4 p."/>
                        <w:tag w:val="part_4eac643ba49b423e9a45446a688ed4ca"/>
                        <w:lock w:val="sdtLocked"/>
                        <w:richText/>
                      </w:sdtPr>
                      <w:sdtContent>
                        <w:p>
                          <w:pPr>
                            <w:widowControl w:val="0"/>
                            <w:suppressAutoHyphens/>
                            <w:ind w:firstLine="709"/>
                            <w:jc w:val="both"/>
                          </w:pPr>
                          <w:sdt>
                            <w:sdtPr>
                              <w:alias w:val="Numeris"/>
                              <w:tag w:val="nr_4eac643ba49b423e9a45446a688ed4ca"/>
                              <w:lock w:val="sdtLocked"/>
                              <w:richText/>
                            </w:sdtPr>
                            <w:sdtContent>
                              <w:r>
                                <w:rPr>
                                  <w:color w:val="000000"/>
                                </w:rPr>
                                <w:t>6.6.4</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59" w:tgtFrame="_blank" w:history="1">
                            <w:r>
                              <w:rPr>
                                <w:color w:val="0000FF" w:themeColor="hyperlink"/>
                                <w:u w:val="single"/>
                              </w:rPr>
                              <w:t>23-1138</w:t>
                            </w:r>
                          </w:hyperlink>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5 pp."/>
                        <w:tag w:val="part_c4207be1549f4757979be3ee6ae7149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8"/>
                              <w:lang w:eastAsia="lt-LT"/>
                            </w:rPr>
                          </w:pPr>
                          <w:sdt>
                            <w:sdtPr>
                              <w:alias w:val="Numeris"/>
                              <w:tag w:val="nr_c4207be1549f4757979be3ee6ae7149f"/>
                              <w:lock w:val="sdtLocked"/>
                              <w:richText/>
                            </w:sdtPr>
                            <w:sdtContent>
                              <w:r>
                                <w:rPr>
                                  <w:rFonts w:eastAsia="Arial Unicode MS"/>
                                  <w:szCs w:val="24"/>
                                </w:rPr>
                                <w:t>6.6.5</w:t>
                              </w:r>
                            </w:sdtContent>
                          </w:sdt>
                          <w:r>
                            <w:rPr>
                              <w:rFonts w:eastAsia="Arial Unicode MS"/>
                              <w:szCs w:val="24"/>
                            </w:rPr>
                            <w:t>. Teritorijų planavimo normas, patvirtintas Lietuvos Respublikos aplinkos ministro 2014 m. sausio 2 d. įsakymu Nr. D1-7 „Dėl Teritorijų planavimo normų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5a67a7d92bf04f819a7d6c487e2197b2"/>
                <w:lock w:val="sdtLocked"/>
                <w:richText/>
              </w:sdtPr>
              <w:sdtContent>
                <w:p>
                  <w:pPr>
                    <w:ind w:firstLine="709"/>
                    <w:jc w:val="both"/>
                    <w:rPr>
                      <w:bCs/>
                      <w:szCs w:val="24"/>
                    </w:rPr>
                  </w:pPr>
                  <w:sdt>
                    <w:sdtPr>
                      <w:alias w:val="Numeris"/>
                      <w:tag w:val="nr_5a67a7d92bf04f819a7d6c487e2197b2"/>
                      <w:lock w:val="sdtLocked"/>
                      <w:richText/>
                    </w:sdtPr>
                    <w:sdtContent>
                      <w:r>
                        <w:rPr>
                          <w:bCs/>
                          <w:szCs w:val="24"/>
                        </w:rPr>
                        <w:t>7</w:t>
                      </w:r>
                    </w:sdtContent>
                  </w:sdt>
                  <w:r>
                    <w:rPr>
                      <w:bCs/>
                      <w:szCs w:val="24"/>
                    </w:rPr>
                    <w:t>. Šiame Reglamente vartojamų sąvokų apibrėžimai pateikti Statybos įstatyme ir statybos techniniuose reglamentuose. Čia pateikiami tik tiesiogiai su šiuo Reglamentu susijusių sąvokų apibrėžimai:</w:t>
                  </w:r>
                </w:p>
                <w:sdt>
                  <w:sdtPr>
                    <w:alias w:val="7.1 p."/>
                    <w:tag w:val="part_89898569a8c54f8b9409666b88f0bf4d"/>
                    <w:lock w:val="sdtLocked"/>
                    <w:richText/>
                  </w:sdtPr>
                  <w:sdtContent>
                    <w:p>
                      <w:pPr>
                        <w:ind w:firstLine="709"/>
                        <w:jc w:val="both"/>
                        <w:rPr>
                          <w:szCs w:val="24"/>
                        </w:rPr>
                      </w:pPr>
                      <w:sdt>
                        <w:sdtPr>
                          <w:alias w:val="Numeris"/>
                          <w:tag w:val="nr_89898569a8c54f8b9409666b88f0bf4d"/>
                          <w:lock w:val="sdtLocked"/>
                          <w:richText/>
                        </w:sdtPr>
                        <w:sdtContent>
                          <w:r>
                            <w:rPr>
                              <w:szCs w:val="24"/>
                            </w:rPr>
                            <w:t>7.1</w:t>
                          </w:r>
                        </w:sdtContent>
                      </w:sdt>
                      <w:r>
                        <w:rPr>
                          <w:szCs w:val="24"/>
                        </w:rPr>
                        <w:t>. mansarda – pastogėje įrengtas aukštas arba jo dalis, kurio (kurios) dalis sienų gali būti nuožulnios ir kurį (kurią) paprastai riboja pastato viršutinio aukšto perdanga, šlaitinis stogas ir išorės sienos;</w:t>
                      </w:r>
                    </w:p>
                  </w:sdtContent>
                </w:sdt>
                <w:sdt>
                  <w:sdtPr>
                    <w:alias w:val="7.2 p."/>
                    <w:tag w:val="part_9296cd0160f64ae79e35cb9d7af50700"/>
                    <w:lock w:val="sdtLocked"/>
                    <w:richText/>
                  </w:sdtPr>
                  <w:sdtContent>
                    <w:p>
                      <w:pPr>
                        <w:ind w:firstLine="709"/>
                        <w:jc w:val="both"/>
                        <w:rPr>
                          <w:szCs w:val="24"/>
                        </w:rPr>
                      </w:pPr>
                      <w:sdt>
                        <w:sdtPr>
                          <w:alias w:val="Numeris"/>
                          <w:tag w:val="nr_9296cd0160f64ae79e35cb9d7af50700"/>
                          <w:lock w:val="sdtLocked"/>
                          <w:richText/>
                        </w:sdtPr>
                        <w:sdtContent>
                          <w:r>
                            <w:rPr>
                              <w:szCs w:val="24"/>
                            </w:rPr>
                            <w:t>7.2</w:t>
                          </w:r>
                        </w:sdtContent>
                      </w:sdt>
                      <w:r>
                        <w:rPr>
                          <w:szCs w:val="24"/>
                        </w:rPr>
                        <w:t>. mezoninas – virš viršutinės pastato dalies įrengtas pusaukštis, turintis bendrą stogą su žemiau esančiu aukštu ir kurio plotas mažesnis už žemiau esančio aukšto plotą;</w:t>
                      </w:r>
                    </w:p>
                  </w:sdtContent>
                </w:sdt>
                <w:sdt>
                  <w:sdtPr>
                    <w:alias w:val="7.3 p."/>
                    <w:tag w:val="part_c50c2faca9c048d6a60ce7789d2094cb"/>
                    <w:lock w:val="sdtLocked"/>
                    <w:richText/>
                  </w:sdtPr>
                  <w:sdtContent>
                    <w:p>
                      <w:pPr>
                        <w:ind w:firstLine="709"/>
                        <w:jc w:val="both"/>
                        <w:rPr>
                          <w:i/>
                          <w:szCs w:val="24"/>
                        </w:rPr>
                      </w:pPr>
                      <w:sdt>
                        <w:sdtPr>
                          <w:alias w:val="Numeris"/>
                          <w:tag w:val="nr_c50c2faca9c048d6a60ce7789d2094cb"/>
                          <w:lock w:val="sdtLocked"/>
                          <w:richText/>
                        </w:sdtPr>
                        <w:sdtContent>
                          <w:r>
                            <w:rPr>
                              <w:szCs w:val="24"/>
                            </w:rPr>
                            <w:t>7.3</w:t>
                          </w:r>
                        </w:sdtContent>
                      </w:sdt>
                      <w:r>
                        <w:rPr>
                          <w:szCs w:val="24"/>
                        </w:rPr>
                        <w:t>. namų ūkio dirbtuvės – patalpa ar pastatas, skirtas daiktams gaminti ir/ ar taisyti, jei jos skirtos savo ar šeimos reikmėms, ir/ar kuriose vienu metu dirba ne daugiau kaip 5 žmonės ir nenaudojami potencialiai pavojingi įrenginiai [6.2.31];</w:t>
                      </w:r>
                    </w:p>
                  </w:sdtContent>
                </w:sdt>
                <w:sdt>
                  <w:sdtPr>
                    <w:alias w:val="7.4 p."/>
                    <w:tag w:val="part_9aabcb615ff94750999c8cb3dd78cb9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8"/>
                          <w:lang w:eastAsia="lt-LT"/>
                        </w:rPr>
                      </w:pPr>
                      <w:sdt>
                        <w:sdtPr>
                          <w:alias w:val="Numeris"/>
                          <w:tag w:val="nr_9aabcb615ff94750999c8cb3dd78cb97"/>
                          <w:lock w:val="sdtLocked"/>
                          <w:richText/>
                        </w:sdtPr>
                        <w:sdtContent>
                          <w:r>
                            <w:rPr>
                              <w:bCs/>
                              <w:szCs w:val="24"/>
                            </w:rPr>
                            <w:t>7.4</w:t>
                          </w:r>
                        </w:sdtContent>
                      </w:sdt>
                      <w:r>
                        <w:rPr>
                          <w:bCs/>
                          <w:szCs w:val="24"/>
                        </w:rPr>
                        <w:t>. sublokuoti (blokuoti) vienbučiai (vieno buto) gyvenamieji pastatai</w:t>
                      </w:r>
                      <w:r>
                        <w:rPr>
                          <w:b/>
                          <w:bCs/>
                          <w:szCs w:val="24"/>
                        </w:rPr>
                        <w:t xml:space="preserve"> </w:t>
                      </w:r>
                      <w:r>
                        <w:rPr>
                          <w:bCs/>
                          <w:szCs w:val="24"/>
                        </w:rPr>
                        <w:t xml:space="preserve">– gyvenamieji  pastatai, turintys bendrą ar atskiras, gaisrinės saugos reikalavimus atitinkančią sieną (sienas), kurios (kurių) šiluminiai parametrai atitinka išorės sienų šiluminiams parametrams nustatytus reikalavimus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ee290f937acf4486bcdbddf47d992bc2"/>
                <w:lock w:val="sdtLocked"/>
                <w:richText/>
              </w:sdtPr>
              <w:sdtContent>
                <w:p>
                  <w:pPr>
                    <w:ind w:firstLine="709"/>
                    <w:jc w:val="both"/>
                    <w:rPr>
                      <w:color w:val="000000"/>
                      <w:lang w:eastAsia="lt-LT"/>
                    </w:rPr>
                  </w:pPr>
                  <w:sdt>
                    <w:sdtPr>
                      <w:alias w:val="Numeris"/>
                      <w:tag w:val="nr_ee290f937acf4486bcdbddf47d992bc2"/>
                      <w:lock w:val="sdtLocked"/>
                      <w:richText/>
                    </w:sdtPr>
                    <w:sdtContent>
                      <w:r>
                        <w:rPr>
                          <w:bCs/>
                          <w:szCs w:val="24"/>
                        </w:rPr>
                        <w:t>8</w:t>
                      </w:r>
                    </w:sdtContent>
                  </w:sdt>
                  <w:r>
                    <w:rPr>
                      <w:bCs/>
                      <w:szCs w:val="24"/>
                    </w:rPr>
                    <w:t>. Namo bei kitų statinių išdėstymas sklype turi neprieštarauti teritorijų planavimo dokumentuose [6.1.2] ir statinio specialiuosiuose architektūros reikalavimuose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4233842c51764e279196f503d7139f68"/>
                    <w:lock w:val="sdtLocked"/>
                    <w:richText/>
                  </w:sdtPr>
                  <w:sdtContent>
                    <w:p>
                      <w:pPr>
                        <w:ind w:firstLine="709"/>
                        <w:jc w:val="both"/>
                        <w:rPr>
                          <w:color w:val="000000"/>
                          <w:lang w:eastAsia="lt-LT"/>
                        </w:rPr>
                      </w:pPr>
                      <w:sdt>
                        <w:sdtPr>
                          <w:alias w:val="Numeris"/>
                          <w:tag w:val="nr_4233842c51764e279196f503d7139f68"/>
                          <w:lock w:val="sdtLocked"/>
                          <w:richText/>
                        </w:sdtPr>
                        <w:sdtContent>
                          <w:r>
                            <w:rPr>
                              <w:bCs/>
                              <w:szCs w:val="24"/>
                              <w:lang w:val="en-GB"/>
                            </w:rPr>
                            <w:t>9.1</w:t>
                          </w:r>
                        </w:sdtContent>
                      </w:sdt>
                      <w:r>
                        <w:rPr>
                          <w:bCs/>
                          <w:szCs w:val="24"/>
                          <w:lang w:val="en-GB"/>
                        </w:rPr>
                        <w:t>.</w:t>
                      </w:r>
                      <w:r>
                        <w:rPr>
                          <w:b/>
                          <w:bCs/>
                          <w:szCs w:val="24"/>
                          <w:lang w:val="en-GB"/>
                        </w:rPr>
                        <w:t xml:space="preserve"> </w:t>
                      </w:r>
                      <w:r>
                        <w:rPr>
                          <w:b/>
                          <w:szCs w:val="24"/>
                          <w:lang w:val="en-GB"/>
                        </w:rPr>
                        <w:t>maksimalus sklypo užstatymo tankis</w:t>
                      </w:r>
                      <w:r>
                        <w:rPr>
                          <w:b/>
                          <w:bCs/>
                          <w:szCs w:val="24"/>
                          <w:lang w:val="en-GB"/>
                        </w:rPr>
                        <w:t xml:space="preserve"> - </w:t>
                      </w:r>
                      <w:r>
                        <w:rPr>
                          <w:bCs/>
                          <w:szCs w:val="24"/>
                          <w:lang w:val="en-GB"/>
                        </w:rPr>
                        <w:t>nustatomas pagal 9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c804b9c304c64817a49382ef5fe298c9"/>
                        <w:lock w:val="sdtLocked"/>
                        <w:richText/>
                      </w:sdtPr>
                      <w:sdtContent>
                        <w:p>
                          <w:pPr>
                            <w:widowControl w:val="0"/>
                            <w:suppressAutoHyphens/>
                            <w:ind w:firstLine="709"/>
                            <w:jc w:val="both"/>
                            <w:rPr>
                              <w:color w:val="000000"/>
                              <w:lang w:eastAsia="lt-LT"/>
                            </w:rPr>
                          </w:pPr>
                          <w:sdt>
                            <w:sdtPr>
                              <w:alias w:val="Numeris"/>
                              <w:tag w:val="nr_c804b9c304c64817a49382ef5fe298c9"/>
                              <w:lock w:val="sdtLocked"/>
                              <w:richText/>
                            </w:sdtPr>
                            <w:sdtContent>
                              <w:r>
                                <w:rPr>
                                  <w:color w:val="000000"/>
                                </w:rPr>
                                <w:t>9.2.1</w:t>
                              </w:r>
                            </w:sdtContent>
                          </w:sdt>
                          <w:r>
                            <w:rPr>
                              <w:color w:val="000000"/>
                            </w:rPr>
                            <w:t>. priešgaisriniai – tarp Namų ir kitų pastatų – nustatomi pagal Gaisrinės saugos pagrindinius reikalavimus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2.2 p."/>
                        <w:tag w:val="part_079d9a2aec42466bacc4da7babd687eb"/>
                        <w:lock w:val="sdtLocked"/>
                        <w:richText/>
                      </w:sdtPr>
                      <w:sdtContent>
                        <w:p>
                          <w:pPr>
                            <w:ind w:firstLine="709"/>
                            <w:jc w:val="both"/>
                            <w:rPr>
                              <w:color w:val="000000"/>
                              <w:lang w:eastAsia="lt-LT"/>
                            </w:rPr>
                          </w:pPr>
                          <w:sdt>
                            <w:sdtPr>
                              <w:alias w:val="Numeris"/>
                              <w:tag w:val="nr_079d9a2aec42466bacc4da7babd687eb"/>
                              <w:lock w:val="sdtLocked"/>
                              <w:richText/>
                            </w:sdtPr>
                            <w:sdtContent>
                              <w:r>
                                <w:rPr>
                                  <w:szCs w:val="24"/>
                                  <w:lang w:eastAsia="lt-LT"/>
                                </w:rPr>
                                <w:t>9.2.2</w:t>
                              </w:r>
                            </w:sdtContent>
                          </w:sdt>
                          <w:r>
                            <w:rPr>
                              <w:szCs w:val="24"/>
                              <w:lang w:eastAsia="lt-LT"/>
                            </w:rPr>
                            <w:t>. sanitariniai – tarp Namų, kitų pastatų ir inžinerinių statinių, priklausomai nuo jų paskirties, – nustatomi pagal Reglamento 2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0a7e20cc15554eed8fb2f12205184d62"/>
                    <w:lock w:val="sdtLocked"/>
                    <w:richText/>
                  </w:sdtPr>
                  <w:sdtContent>
                    <w:p>
                      <w:pPr>
                        <w:widowControl w:val="0"/>
                        <w:suppressAutoHyphens/>
                        <w:ind w:firstLine="709"/>
                        <w:jc w:val="both"/>
                        <w:rPr>
                          <w:color w:val="000000"/>
                          <w:lang w:eastAsia="lt-LT"/>
                        </w:rPr>
                      </w:pPr>
                      <w:sdt>
                        <w:sdtPr>
                          <w:alias w:val="Numeris"/>
                          <w:tag w:val="nr_0a7e20cc15554eed8fb2f12205184d62"/>
                          <w:lock w:val="sdtLocked"/>
                          <w:richText/>
                        </w:sdtPr>
                        <w:sdtContent>
                          <w:r>
                            <w:rPr>
                              <w:color w:val="000000"/>
                            </w:rPr>
                            <w:t>9.3</w:t>
                          </w:r>
                        </w:sdtContent>
                      </w:sdt>
                      <w:r>
                        <w:rPr>
                          <w:color w:val="000000"/>
                        </w:rPr>
                        <w:t xml:space="preserve">. </w:t>
                      </w:r>
                      <w:r>
                        <w:rPr>
                          <w:b/>
                          <w:color w:val="000000"/>
                        </w:rPr>
                        <w:t>didžiausias statinių aukštis</w:t>
                      </w:r>
                      <w:r>
                        <w:rPr>
                          <w:b/>
                          <w:bCs/>
                          <w:color w:val="000000"/>
                        </w:rPr>
                        <w:t xml:space="preserve"> </w:t>
                      </w:r>
                      <w:r>
                        <w:rPr>
                          <w:color w:val="000000"/>
                        </w:rPr>
                        <w:t>–</w:t>
                      </w:r>
                      <w:r>
                        <w:rPr>
                          <w:b/>
                          <w:bCs/>
                          <w:color w:val="000000"/>
                        </w:rPr>
                        <w:t xml:space="preserve"> </w:t>
                      </w:r>
                      <w:r>
                        <w:rPr>
                          <w:color w:val="000000"/>
                        </w:rPr>
                        <w:t>nustatomas teritorijų planavimo dokumentuose [6.1.2] ir Gaisrinės saugos pagrindiniuose reikalavimuose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4 p."/>
                    <w:tag w:val="part_0f91ad199d6e4c2c8ad0badbec52b2c9"/>
                    <w:lock w:val="sdtLocked"/>
                    <w:richText/>
                  </w:sdtPr>
                  <w:sdtContent>
                    <w:p>
                      <w:pPr>
                        <w:widowControl w:val="0"/>
                        <w:suppressAutoHyphens/>
                        <w:ind w:firstLine="709"/>
                        <w:jc w:val="both"/>
                        <w:rPr>
                          <w:color w:val="000000"/>
                          <w:lang w:eastAsia="lt-LT"/>
                        </w:rPr>
                      </w:pPr>
                      <w:sdt>
                        <w:sdtPr>
                          <w:alias w:val="Numeris"/>
                          <w:tag w:val="nr_0f91ad199d6e4c2c8ad0badbec52b2c9"/>
                          <w:lock w:val="sdtLocked"/>
                          <w:richText/>
                        </w:sdtPr>
                        <w:sdtContent>
                          <w:r>
                            <w:rPr>
                              <w:color w:val="000000"/>
                            </w:rPr>
                            <w:t>9.4</w:t>
                          </w:r>
                        </w:sdtContent>
                      </w:sdt>
                      <w:r>
                        <w:rPr>
                          <w:color w:val="000000"/>
                        </w:rPr>
                        <w:t xml:space="preserve">. </w:t>
                      </w:r>
                      <w:r>
                        <w:rPr>
                          <w:b/>
                          <w:color w:val="000000"/>
                        </w:rPr>
                        <w:t>mažiausias želdynų plotas</w:t>
                      </w:r>
                      <w:r>
                        <w:rPr>
                          <w:color w:val="000000"/>
                        </w:rPr>
                        <w:t xml:space="preserve"> – ne mažesnis už nurodytą Priklausomųjų želdynų normų (plotų) nustatymo tvarkos aprašo priede [6.3.5]</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8ad0cabc41774c36b71f088a9de7985c"/>
                        <w:lock w:val="sdtLocked"/>
                        <w:richText/>
                      </w:sdtPr>
                      <w:sdtContent>
                        <w:p>
                          <w:pPr>
                            <w:ind w:firstLine="709"/>
                            <w:jc w:val="both"/>
                            <w:rPr>
                              <w:color w:val="000000"/>
                              <w:lang w:eastAsia="lt-LT"/>
                            </w:rPr>
                          </w:pPr>
                          <w:sdt>
                            <w:sdtPr>
                              <w:alias w:val="Numeris"/>
                              <w:tag w:val="nr_8ad0cabc41774c36b71f088a9de7985c"/>
                              <w:lock w:val="sdtLocked"/>
                              <w:richText/>
                            </w:sdtPr>
                            <w:sdtContent>
                              <w:r>
                                <w:rPr>
                                  <w:szCs w:val="24"/>
                                  <w:lang w:eastAsia="lt-LT"/>
                                </w:rPr>
                                <w:t>9.5.2</w:t>
                              </w:r>
                            </w:sdtContent>
                          </w:sdt>
                          <w:r>
                            <w:rPr>
                              <w:szCs w:val="24"/>
                              <w:lang w:eastAsia="lt-LT"/>
                            </w:rPr>
                            <w:t>. nėra komunalinio ar vietinio lietaus nuotakyno, paviršinės nuotekos iš sklypo turi būti nuvedamos į griovius, kanalus arba reljefo paviršiumi į atvirus vandens telkinius ir pan. [6.3.3]. Draudžiama nuvesti paviršines nuotekas reljefo paviršiumi į gretimus sklypus;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93578d7079484365896180455a28b208"/>
                <w:lock w:val="sdtLocked"/>
                <w:richText/>
              </w:sdtPr>
              <w:sdtContent>
                <w:p>
                  <w:pPr>
                    <w:ind w:firstLine="709"/>
                    <w:jc w:val="both"/>
                    <w:rPr>
                      <w:color w:val="000000"/>
                      <w:lang w:eastAsia="lt-LT"/>
                    </w:rPr>
                  </w:pPr>
                  <w:sdt>
                    <w:sdtPr>
                      <w:alias w:val="Numeris"/>
                      <w:tag w:val="nr_93578d7079484365896180455a28b208"/>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xml:space="preserve">. </w:t>
                  </w:r>
                  <w:r>
                    <w:rPr>
                      <w:color w:val="000000"/>
                      <w:szCs w:val="24"/>
                      <w:lang w:eastAsia="lt-LT"/>
                    </w:rPr>
                    <w:t>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 Naujai statomame ar rekonstruojamame Name, jei teritorijų planavimo dokumentuose nurodyta galimybė įrengti mansardą, bet nenurodytas leistinas Namo aukštis metrais, negali būti įrengiama mansarda, jei aukštis nuo mansardoje įrengiamų grindų paviršiaus arba, jei įrengiamos sienos, – nuo sienos viršaus iki stogo kraigo didesnis kaip pusė Namo pločio toje Namo dalyje, plotį skaičiuojant pagal išorinius sienų paviršius; šie reikalavimai netaikomi, kai mansarda įrengiama esamame Name jo nerekonstruojant</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5a6d13416aad4a0db2b50ceaa732f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b13f691ddf284fb18589871637ff982c"/>
            <w:lock w:val="sdtLocked"/>
            <w:richText/>
          </w:sdtPr>
          <w:sdtContent>
            <w:p>
              <w:pPr>
                <w:jc w:val="center"/>
                <w:rPr>
                  <w:b/>
                  <w:bCs/>
                  <w:caps/>
                  <w:color w:val="000000"/>
                  <w:lang w:eastAsia="lt-LT"/>
                </w:rPr>
              </w:pPr>
              <w:sdt>
                <w:sdtPr>
                  <w:alias w:val="Numeris"/>
                  <w:tag w:val="nr_b13f691ddf284fb18589871637ff982c"/>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b13f691ddf284fb18589871637ff982c"/>
                  <w:lock w:val="sdtLocked"/>
                  <w:richText/>
                </w:sdtPr>
                <w:sdtContent>
                  <w:r>
                    <w:rPr>
                      <w:b/>
                      <w:bCs/>
                      <w:caps/>
                      <w:color w:val="000000"/>
                      <w:szCs w:val="22"/>
                      <w:lang w:eastAsia="lt-LT"/>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8bd9db51e29f480daf2a944f09af298c"/>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e96c0492dc3b468599bc6ae3f6bfc46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skirsnis.</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skirsnis"/>
                <w:tag w:val="part_55e3c2ef278544289e6d752ab58f0e2a"/>
                <w:lock w:val="sdtLocked"/>
                <w:richText/>
              </w:sdtPr>
              <w:sdtContent>
                <w:p>
                  <w:pPr>
                    <w:jc w:val="center"/>
                    <w:rPr>
                      <w:b/>
                      <w:bCs/>
                      <w:caps/>
                      <w:color w:val="000000"/>
                      <w:lang w:eastAsia="lt-LT"/>
                    </w:rPr>
                  </w:pPr>
                  <w:sdt>
                    <w:sdtPr>
                      <w:alias w:val="Numeris"/>
                      <w:tag w:val="nr_55e3c2ef278544289e6d752ab58f0e2a"/>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55e3c2ef278544289e6d752ab58f0e2a"/>
                      <w:lock w:val="sdtLocked"/>
                      <w:richText/>
                    </w:sdtPr>
                    <w:sdtContent>
                      <w:r>
                        <w:rPr>
                          <w:caps/>
                          <w:color w:val="000000"/>
                          <w:szCs w:val="22"/>
                          <w:lang w:eastAsia="lt-LT"/>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41 p."/>
                    <w:tag w:val="part_3a9a565f226e413f9ea8e8bdb03a3d54"/>
                    <w:lock w:val="sdtLocked"/>
                    <w:richText/>
                  </w:sdtPr>
                  <w:sdtContent>
                    <w:p>
                      <w:pPr>
                        <w:ind w:firstLine="709"/>
                        <w:jc w:val="both"/>
                        <w:rPr>
                          <w:color w:val="000000"/>
                          <w:lang w:eastAsia="lt-LT"/>
                        </w:rPr>
                      </w:pPr>
                      <w:sdt>
                        <w:sdtPr>
                          <w:alias w:val="Numeris"/>
                          <w:tag w:val="nr_3a9a565f226e413f9ea8e8bdb03a3d54"/>
                          <w:lock w:val="sdtLocked"/>
                          <w:richText/>
                        </w:sdtPr>
                        <w:sdtContent>
                          <w:r>
                            <w:rPr>
                              <w:szCs w:val="24"/>
                            </w:rPr>
                            <w:t>41</w:t>
                          </w:r>
                        </w:sdtContent>
                      </w:sdt>
                      <w:r>
                        <w:rPr>
                          <w:szCs w:val="24"/>
                        </w:rPr>
                        <w:t>. Namo atitiktis esminiam higienos, sveikatos ir aplinkos reikalavimui užtikrinama įgyvendinant Reglamento 42–44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fa9e74d510714b9e8ff3d7f3168c69f7"/>
                        <w:lock w:val="sdtLocked"/>
                        <w:richText/>
                      </w:sdtPr>
                      <w:sdtContent>
                        <w:p>
                          <w:pPr>
                            <w:ind w:firstLine="709"/>
                            <w:jc w:val="both"/>
                            <w:rPr>
                              <w:color w:val="000000"/>
                              <w:lang w:eastAsia="lt-LT"/>
                            </w:rPr>
                          </w:pPr>
                          <w:sdt>
                            <w:sdtPr>
                              <w:alias w:val="Numeris"/>
                              <w:tag w:val="nr_fa9e74d510714b9e8ff3d7f3168c69f7"/>
                              <w:lock w:val="sdtLocked"/>
                              <w:richText/>
                            </w:sdtPr>
                            <w:sdtContent>
                              <w:r>
                                <w:rPr>
                                  <w:szCs w:val="24"/>
                                  <w:lang w:eastAsia="lt-LT"/>
                                </w:rPr>
                                <w:t>42.2</w:t>
                              </w:r>
                            </w:sdtContent>
                          </w:sdt>
                          <w:r>
                            <w:rPr>
                              <w:szCs w:val="24"/>
                              <w:lang w:eastAsia="lt-LT"/>
                            </w:rPr>
                            <w:t xml:space="preserve">. </w:t>
                          </w:r>
                          <w:r>
                            <w:rPr>
                              <w:b/>
                              <w:szCs w:val="24"/>
                              <w:lang w:eastAsia="lt-LT"/>
                            </w:rPr>
                            <w:t>šildymo, vėdinimo ir oro kondicionavimo sistemos</w:t>
                          </w:r>
                          <w:r>
                            <w:rPr>
                              <w:szCs w:val="24"/>
                              <w:lang w:eastAsia="lt-LT"/>
                            </w:rPr>
                            <w:t xml:space="preserve"> projektuojamos ir įrengiamos, vadovaujantis STR 2.09.02:2005 [6.2.23], STR 2.08.01:2004 [6.2.26] ir </w:t>
                          </w:r>
                          <w:r>
                            <w:rPr>
                              <w:szCs w:val="24"/>
                            </w:rPr>
                            <w:t>Šildymo sistemų, naudojančių kietąjį kurą, gaisrinės saugos taisyklėmis</w:t>
                          </w:r>
                          <w:r>
                            <w:rPr>
                              <w:szCs w:val="24"/>
                              <w:lang w:eastAsia="lt-LT"/>
                            </w:rPr>
                            <w:t xml:space="preserve"> [6.6.1];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89fc87fe6815490b84bd6047e5546157"/>
                            <w:lock w:val="sdtLocked"/>
                            <w:richText/>
                          </w:sdtPr>
                          <w:sdtContent>
                            <w:p>
                              <w:pPr>
                                <w:ind w:firstLine="709"/>
                                <w:jc w:val="both"/>
                                <w:rPr>
                                  <w:color w:val="000000"/>
                                  <w:lang w:eastAsia="lt-LT"/>
                                </w:rPr>
                              </w:pPr>
                              <w:sdt>
                                <w:sdtPr>
                                  <w:alias w:val="Numeris"/>
                                  <w:tag w:val="nr_89fc87fe6815490b84bd6047e5546157"/>
                                  <w:lock w:val="sdtLocked"/>
                                  <w:richText/>
                                </w:sdtPr>
                                <w:sdtContent>
                                  <w:r>
                                    <w:rPr>
                                      <w:szCs w:val="24"/>
                                    </w:rPr>
                                    <w:t>42.3.5</w:t>
                                  </w:r>
                                </w:sdtContent>
                              </w:sdt>
                              <w:r>
                                <w:rPr>
                                  <w:szCs w:val="24"/>
                                </w:rPr>
                                <w:t>. triukšmas neturi viršyti triukšmo lygių, nustatytų HN 33:2011</w:t>
                              </w:r>
                              <w:r>
                                <w:rPr>
                                  <w:b/>
                                  <w:szCs w:val="24"/>
                                </w:rPr>
                                <w:t xml:space="preserve"> </w:t>
                              </w:r>
                              <w:r>
                                <w:rPr>
                                  <w:szCs w:val="24"/>
                                </w:rPr>
                                <w:t>[6.4.1];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09b3d931f612474397c7d52c0c258985"/>
                    <w:lock w:val="sdtLocked"/>
                    <w:richText/>
                  </w:sdtPr>
                  <w:sdtContent>
                    <w:p>
                      <w:pPr>
                        <w:ind w:firstLine="709"/>
                        <w:jc w:val="both"/>
                        <w:rPr>
                          <w:color w:val="000000"/>
                          <w:szCs w:val="8"/>
                          <w:lang w:eastAsia="lt-LT"/>
                        </w:rPr>
                      </w:pPr>
                      <w:sdt>
                        <w:sdtPr>
                          <w:alias w:val="Numeris"/>
                          <w:tag w:val="nr_09b3d931f612474397c7d52c0c258985"/>
                          <w:lock w:val="sdtLocked"/>
                          <w:richText/>
                        </w:sdtPr>
                        <w:sdtContent>
                          <w:r>
                            <w:rPr>
                              <w:szCs w:val="24"/>
                            </w:rPr>
                            <w:t>44</w:t>
                          </w:r>
                        </w:sdtContent>
                      </w:sdt>
                      <w:r>
                        <w:rPr>
                          <w:szCs w:val="24"/>
                        </w:rPr>
                        <w:t xml:space="preserve">. </w:t>
                      </w:r>
                      <w:r>
                        <w:rPr>
                          <w:b/>
                          <w:szCs w:val="24"/>
                        </w:rPr>
                        <w:t>Statybos produktų reikalavimai</w:t>
                      </w:r>
                      <w:r>
                        <w:rPr>
                          <w:szCs w:val="24"/>
                        </w:rPr>
                        <w:t xml:space="preserve"> – statybos produktai, iš kurių pastatytas Namas, jo priklausiniai, Namo inžinerinės sistemos ir sklypo inžineriniai tinklai, taip pat Namo įranga turi atitikti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irsnis"/>
                <w:tag w:val="part_023d848d5235473b89913b4f02107ef9"/>
                <w:lock w:val="sdtLocked"/>
                <w:richText/>
              </w:sdtPr>
              <w:sdtContent>
                <w:p>
                  <w:pPr>
                    <w:jc w:val="center"/>
                    <w:rPr>
                      <w:b/>
                      <w:bCs/>
                      <w:caps/>
                      <w:color w:val="000000"/>
                      <w:lang w:eastAsia="lt-LT"/>
                    </w:rPr>
                  </w:pPr>
                  <w:sdt>
                    <w:sdtPr>
                      <w:alias w:val="Numeris"/>
                      <w:tag w:val="nr_023d848d5235473b89913b4f02107ef9"/>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023d848d5235473b89913b4f02107ef9"/>
                      <w:lock w:val="sdtLocked"/>
                      <w:richText/>
                    </w:sdtPr>
                    <w:sdtContent>
                      <w:r>
                        <w:rPr>
                          <w:caps/>
                          <w:color w:val="000000"/>
                          <w:szCs w:val="22"/>
                          <w:lang w:eastAsia="lt-LT"/>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45 p."/>
                    <w:tag w:val="part_838284a9ae0547b9822c357e0bb7e04f"/>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5f76fd66dc8946fa9e6f85add7803780"/>
                    <w:lock w:val="sdtLocked"/>
                    <w:richText/>
                  </w:sdtPr>
                  <w:sdtContent>
                    <w:p>
                      <w:pPr>
                        <w:ind w:firstLine="709"/>
                        <w:jc w:val="both"/>
                        <w:rPr>
                          <w:color w:val="000000"/>
                          <w:lang w:eastAsia="lt-LT"/>
                        </w:rPr>
                      </w:pPr>
                      <w:sdt>
                        <w:sdtPr>
                          <w:alias w:val="Numeris"/>
                          <w:tag w:val="nr_5f76fd66dc8946fa9e6f85add7803780"/>
                          <w:lock w:val="sdtLocked"/>
                          <w:richText/>
                        </w:sdtPr>
                        <w:sdtContent>
                          <w:r>
                            <w:rPr>
                              <w:szCs w:val="24"/>
                            </w:rPr>
                            <w:t>46</w:t>
                          </w:r>
                        </w:sdtContent>
                      </w:sdt>
                      <w:r>
                        <w:rPr>
                          <w:szCs w:val="24"/>
                        </w:rPr>
                        <w:t>. Namo, jo inžinerinių sistemų, priklausinių ir sklypo inžinerinių tinklų, susisiekimo komunikacijų atitiktis esminiam statinių saugos ir galimybės patekti į statinį naudojimo metu reikalavimui užtikrinama įgyvendinant Reglamento 47–50</w:t>
                      </w:r>
                      <w:r>
                        <w:rPr>
                          <w:szCs w:val="24"/>
                          <w:vertAlign w:val="superscript"/>
                        </w:rPr>
                        <w:t>1</w:t>
                      </w:r>
                      <w:r>
                        <w:rPr>
                          <w:szCs w:val="24"/>
                        </w:rPr>
                        <w:t xml:space="preserve">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0-1 p."/>
                    <w:tag w:val="part_9ad7867c92b34e4896e44a810c7b1cd9"/>
                    <w:lock w:val="sdtLocked"/>
                    <w:richText/>
                  </w:sdtPr>
                  <w:sdtContent>
                    <w:p>
                      <w:pPr>
                        <w:ind w:firstLine="709"/>
                        <w:jc w:val="both"/>
                        <w:rPr>
                          <w:color w:val="000000"/>
                          <w:lang w:eastAsia="lt-LT"/>
                        </w:rPr>
                      </w:pPr>
                      <w:sdt>
                        <w:sdtPr>
                          <w:alias w:val="Numeris"/>
                          <w:tag w:val="nr_9ad7867c92b34e4896e44a810c7b1cd9"/>
                          <w:lock w:val="sdtLocked"/>
                          <w:richText/>
                        </w:sdtPr>
                        <w:sdtContent>
                          <w:r>
                            <w:rPr>
                              <w:szCs w:val="24"/>
                            </w:rPr>
                            <w:t>50</w:t>
                          </w:r>
                          <w:r>
                            <w:rPr>
                              <w:szCs w:val="24"/>
                              <w:vertAlign w:val="superscript"/>
                            </w:rPr>
                            <w:t>1</w:t>
                          </w:r>
                        </w:sdtContent>
                      </w:sdt>
                      <w:r>
                        <w:rPr>
                          <w:szCs w:val="24"/>
                        </w:rPr>
                        <w:t>.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1 p."/>
                    <w:tag w:val="part_4e3ee65b9a564a34969c2dc5a7d325b3"/>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290d3317cc0e49e4af5156897c9b9b0a"/>
                    <w:lock w:val="sdtLocked"/>
                    <w:richText/>
                  </w:sdtPr>
                  <w:sdtContent>
                    <w:p>
                      <w:pPr>
                        <w:ind w:firstLine="709"/>
                        <w:jc w:val="both"/>
                        <w:rPr>
                          <w:color w:val="000000"/>
                          <w:lang w:eastAsia="lt-LT"/>
                        </w:rPr>
                      </w:pPr>
                      <w:sdt>
                        <w:sdtPr>
                          <w:alias w:val="Numeris"/>
                          <w:tag w:val="nr_290d3317cc0e49e4af5156897c9b9b0a"/>
                          <w:lock w:val="sdtLocked"/>
                          <w:richText/>
                        </w:sdtPr>
                        <w:sdtContent>
                          <w:r>
                            <w:rPr>
                              <w:szCs w:val="24"/>
                            </w:rPr>
                            <w:t>52</w:t>
                          </w:r>
                        </w:sdtContent>
                      </w:sdt>
                      <w:r>
                        <w:rPr>
                          <w:szCs w:val="24"/>
                        </w:rPr>
                        <w:t>. Namo vidaus ir išorės aplinkos apsaugos nuo triukšmo kokybės reikalavimai pateikiami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47444b8fb56b4f6283b3403f57d2a6c2"/>
                    <w:lock w:val="sdtLocked"/>
                    <w:richText/>
                  </w:sdtPr>
                  <w:sdtContent>
                    <w:p>
                      <w:pPr>
                        <w:ind w:firstLine="709"/>
                        <w:jc w:val="both"/>
                        <w:rPr>
                          <w:color w:val="000000"/>
                          <w:lang w:eastAsia="lt-LT"/>
                        </w:rPr>
                      </w:pPr>
                      <w:sdt>
                        <w:sdtPr>
                          <w:alias w:val="Numeris"/>
                          <w:tag w:val="nr_47444b8fb56b4f6283b3403f57d2a6c2"/>
                          <w:lock w:val="sdtLocked"/>
                          <w:richText/>
                        </w:sdtPr>
                        <w:sdtContent>
                          <w:r>
                            <w:rPr>
                              <w:color w:val="000000"/>
                              <w:szCs w:val="22"/>
                              <w:lang w:eastAsia="lt-LT"/>
                            </w:rPr>
                            <w:t>56</w:t>
                          </w:r>
                        </w:sdtContent>
                      </w:sdt>
                      <w:r>
                        <w:rPr>
                          <w:color w:val="000000"/>
                          <w:szCs w:val="22"/>
                          <w:lang w:eastAsia="lt-LT"/>
                        </w:rPr>
                        <w:t xml:space="preserve">. </w:t>
                      </w:r>
                      <w:r>
                        <w:rPr>
                          <w:szCs w:val="24"/>
                        </w:rPr>
                        <w:t>Esminis statinių energijos taupymo ir šilumos išsaugojimo reikalavimas laikomas įvykdytu, jei</w:t>
                      </w:r>
                      <w:r>
                        <w:rPr>
                          <w:color w:val="000000"/>
                          <w:szCs w:val="22"/>
                          <w:lang w:eastAsia="lt-LT"/>
                        </w:rPr>
                        <w:t>:</w:t>
                      </w:r>
                    </w:p>
                    <w:sdt>
                      <w:sdtPr>
                        <w:alias w:val="56.1 p."/>
                        <w:tag w:val="part_bd370e41c3b2479c8e365b645dddd15c"/>
                        <w:lock w:val="sdtLocked"/>
                        <w:richText/>
                      </w:sdtPr>
                      <w:sdtContent>
                        <w:p>
                          <w:pPr>
                            <w:ind w:firstLine="709"/>
                            <w:jc w:val="both"/>
                            <w:rPr>
                              <w:color w:val="000000"/>
                              <w:lang w:eastAsia="lt-LT"/>
                            </w:rPr>
                          </w:pPr>
                          <w:sdt>
                            <w:sdtPr>
                              <w:alias w:val="Numeris"/>
                              <w:tag w:val="nr_bd370e41c3b2479c8e365b645dddd15c"/>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sdtContent>
                    </w:sdt>
                    <w:sdt>
                      <w:sdtPr>
                        <w:alias w:val="56.2 p."/>
                        <w:tag w:val="part_7766a4a728cb4c62a36e368d8cd6d3d6"/>
                        <w:lock w:val="sdtLocked"/>
                        <w:richText/>
                      </w:sdtPr>
                      <w:sdtContent>
                        <w:p>
                          <w:pPr>
                            <w:ind w:firstLine="709"/>
                            <w:jc w:val="both"/>
                            <w:rPr>
                              <w:color w:val="000000"/>
                              <w:lang w:eastAsia="lt-LT"/>
                            </w:rPr>
                          </w:pPr>
                          <w:sdt>
                            <w:sdtPr>
                              <w:alias w:val="Numeris"/>
                              <w:tag w:val="nr_7766a4a728cb4c62a36e368d8cd6d3d6"/>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dcbd2901c33945839833a7a603ef9e81"/>
                        <w:lock w:val="sdtLocked"/>
                        <w:richText/>
                      </w:sdtPr>
                      <w:sdtContent>
                        <w:p>
                          <w:pPr>
                            <w:ind w:firstLine="709"/>
                            <w:jc w:val="both"/>
                            <w:rPr>
                              <w:color w:val="000000"/>
                              <w:lang w:eastAsia="lt-LT"/>
                            </w:rPr>
                          </w:pPr>
                          <w:sdt>
                            <w:sdtPr>
                              <w:alias w:val="Numeris"/>
                              <w:tag w:val="nr_dcbd2901c33945839833a7a603ef9e81"/>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a868c8af9c9540a2a80579cd29e9d195"/>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pabaiga"/>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1f2af5502f54daf9eb40395643ee85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530eb809694b4ac9addb9d7847544301"/>
                <w:lock w:val="sdtLocked"/>
                <w:richText/>
              </w:sdtPr>
              <w:sdtContent>
                <w:p>
                  <w:pPr>
                    <w:widowControl w:val="0"/>
                    <w:suppressAutoHyphens/>
                    <w:ind w:firstLine="567"/>
                    <w:jc w:val="both"/>
                    <w:rPr>
                      <w:color w:val="000000"/>
                    </w:rPr>
                  </w:pPr>
                  <w:sdt>
                    <w:sdtPr>
                      <w:alias w:val="Numeris"/>
                      <w:tag w:val="nr_530eb809694b4ac9addb9d7847544301"/>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turi būti</w:t>
                  </w:r>
                  <w:r>
                    <w:rPr>
                      <w:b/>
                      <w:bCs/>
                      <w:color w:val="000000"/>
                    </w:rPr>
                    <w:t xml:space="preserve"> </w:t>
                  </w:r>
                  <w:r>
                    <w:rPr>
                      <w:color w:val="000000"/>
                    </w:rPr>
                    <w:t>taikomi Gaisrinės saugos pagrindiniuose reikalavimuose [6.6.3] nustatyti priešgaisriniai</w:t>
                  </w:r>
                  <w:r>
                    <w:rPr>
                      <w:b/>
                      <w:bCs/>
                      <w:color w:val="000000"/>
                    </w:rPr>
                    <w:t xml:space="preserve"> </w:t>
                  </w:r>
                  <w:r>
                    <w:rPr>
                      <w:color w:val="000000"/>
                    </w:rPr>
                    <w:t>atstumai.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8 pr. 1.1 p."/>
                <w:tag w:val="part_ca72f5828f924048ae4b1c534c49f81e"/>
                <w:lock w:val="sdtLocked"/>
                <w:richText/>
              </w:sdtPr>
              <w:sdtContent>
                <w:p>
                  <w:pPr>
                    <w:ind w:firstLine="709"/>
                    <w:jc w:val="both"/>
                    <w:rPr>
                      <w:szCs w:val="24"/>
                    </w:rPr>
                  </w:pPr>
                  <w:sdt>
                    <w:sdtPr>
                      <w:alias w:val="Numeris"/>
                      <w:tag w:val="nr_ca72f5828f924048ae4b1c534c49f81e"/>
                      <w:lock w:val="sdtLocked"/>
                      <w:richText/>
                    </w:sdtPr>
                    <w:sdtContent>
                      <w:r>
                        <w:rPr>
                          <w:szCs w:val="24"/>
                        </w:rPr>
                        <w:t>1.1</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2 p."/>
                <w:tag w:val="part_999f222b66dc4847a005a80d2d068f49"/>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3 p."/>
                <w:tag w:val="part_1540ad05991d4623a106b7784cdc6f3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6f7de1aebdba476687bb007839b614e2"/>
            <w:lock w:val="sdtLocked"/>
            <w:richText/>
          </w:sdtPr>
          <w:sdtContent>
            <w:p>
              <w:pPr>
                <w:widowControl w:val="0"/>
                <w:suppressAutoHyphens/>
                <w:ind w:firstLine="709"/>
                <w:jc w:val="both"/>
                <w:rPr>
                  <w:szCs w:val="24"/>
                </w:rPr>
              </w:pPr>
              <w:sdt>
                <w:sdtPr>
                  <w:alias w:val="Numeris"/>
                  <w:tag w:val="nr_6f7de1aebdba476687bb007839b614e2"/>
                  <w:lock w:val="sdtLocked"/>
                  <w:richText/>
                </w:sdtPr>
                <w:sdtContent>
                  <w:r>
                    <w:rPr>
                      <w:color w:val="000000"/>
                    </w:rPr>
                    <w:t>2</w:t>
                  </w:r>
                </w:sdtContent>
              </w:sdt>
              <w:r>
                <w:rPr>
                  <w:color w:val="000000"/>
                </w:rPr>
                <w:t>. Nustatant priešgaisrinius atstumus tarp pastatų, blokuojant pastatus ant sklypo ribos, turi būti vadovaujamasi Gaisrinės saugos pagrindiniais reikalavimais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e50f8cf339c747bfb8c0e94bd721550b"/>
            <w:lock w:val="sdtLocked"/>
            <w:richText/>
          </w:sdtPr>
          <w:sdtContent>
            <w:p>
              <w:pPr>
                <w:ind w:firstLine="709"/>
                <w:jc w:val="both"/>
                <w:rPr>
                  <w:bCs/>
                  <w:szCs w:val="24"/>
                </w:rPr>
              </w:pPr>
              <w:sdt>
                <w:sdtPr>
                  <w:alias w:val="Numeris"/>
                  <w:tag w:val="nr_e50f8cf339c747bfb8c0e94bd721550b"/>
                  <w:lock w:val="sdtLocked"/>
                  <w:richText/>
                </w:sdtPr>
                <w:sdtContent>
                  <w:r>
                    <w:rPr>
                      <w:bCs/>
                      <w:szCs w:val="24"/>
                    </w:rPr>
                    <w:t>1</w:t>
                  </w:r>
                </w:sdtContent>
              </w:sdt>
              <w:r>
                <w:rPr>
                  <w:bCs/>
                  <w:szCs w:val="24"/>
                </w:rPr>
                <w:t>. Maksimalūs sklypo užstatymo tankio dydžiai nustatyti lentelėje. Kai žemės ūkio paskirties žemės sklype, išskyrus ūkininko sodyboje, žemės naudotojui priklausančiais gyvenamaisiais pastatais ir jų priklausiniais užstatyti plotai nesuformuoti atskirais sklypais, maksimalus sklypo užstatymo tankis skaičiuojamas pagal Nekilnojamojo turto kadastro duomenis faktiniam užstatytos teritorijos naudmenų plotui (pastatų, kiemų, aikštelių užimtai žemei ir kitai tiesioginiam statinių eksploatavimui naudojamai žemei). Žemės ūkio paskirties sklype ūkininko sodyboje Namo užimamas žemės plotas neturi viršyti 1000 m</w:t>
              </w:r>
              <w:r>
                <w:rPr>
                  <w:bCs/>
                  <w:szCs w:val="24"/>
                  <w:vertAlign w:val="superscript"/>
                </w:rPr>
                <w:t>2</w:t>
              </w:r>
              <w:r>
                <w:rPr>
                  <w:bCs/>
                  <w:szCs w:val="24"/>
                </w:rPr>
                <w:t xml:space="preserve">, o bendras užstatymo tankis 50 %. Užstatymo tankio žemės ūkio paskirties žemės sklype, išskyrus ūkininko sodyboje, skaičiavimas nurodytas Lietuvos Respublikos </w:t>
              </w:r>
              <w:r>
                <w:rPr>
                  <w:bCs/>
                  <w:iCs/>
                  <w:color w:val="000000"/>
                  <w:szCs w:val="24"/>
                </w:rPr>
                <w:t>teritorijų planavimo įstatymo 20</w:t>
              </w:r>
              <w:r>
                <w:rPr>
                  <w:bCs/>
                  <w:szCs w:val="24"/>
                </w:rPr>
                <w:t xml:space="preserve"> straipsnio 5 dalyje. Maksimalus sklypo užstatymo intensyvumas yra 0,4, vienbučio  blokuoto užstatymo tipo, kai namai statomi atskiruose sklypuose </w:t>
              </w:r>
              <w:r>
                <w:rPr>
                  <w:b/>
                  <w:bCs/>
                  <w:szCs w:val="24"/>
                </w:rPr>
                <w:t>–</w:t>
              </w:r>
              <w:r>
                <w:rPr>
                  <w:bCs/>
                  <w:szCs w:val="24"/>
                </w:rPr>
                <w:t xml:space="preserve"> 0,8</w:t>
              </w:r>
              <w:r>
                <w:rPr>
                  <w:b/>
                  <w:bCs/>
                  <w:szCs w:val="24"/>
                </w:rPr>
                <w:t>,</w:t>
              </w:r>
              <w:r>
                <w:rPr>
                  <w:bCs/>
                  <w:szCs w:val="24"/>
                </w:rPr>
                <w:t xml:space="preserve"> išskyrus atvejus, kai teritorijų planavimo dokumentuose užstatymo intensyvumas nustatytas</w:t>
              </w:r>
              <w:r>
                <w:rPr>
                  <w:b/>
                  <w:bCs/>
                  <w:szCs w:val="24"/>
                </w:rPr>
                <w:t xml:space="preserve"> </w:t>
              </w:r>
              <w:r>
                <w:rPr>
                  <w:bCs/>
                  <w:szCs w:val="24"/>
                </w:rPr>
                <w:t>mažesnis.</w:t>
              </w:r>
            </w:p>
            <w:p>
              <w:pPr>
                <w:ind w:firstLine="709"/>
                <w:jc w:val="both"/>
                <w:rPr>
                  <w:szCs w:val="24"/>
                </w:rPr>
              </w:pPr>
            </w:p>
            <w:p>
              <w:pPr>
                <w:ind w:firstLine="60"/>
                <w:jc w:val="center"/>
                <w:rPr>
                  <w:szCs w:val="24"/>
                </w:rPr>
              </w:pPr>
              <w:r>
                <w:rPr>
                  <w:szCs w:val="24"/>
                </w:rPr>
                <w:t>Maksimalūs sklypo užstatymo tankio dydžiai</w:t>
              </w:r>
            </w:p>
            <w:p>
              <w:pPr>
                <w:jc w:val="center"/>
                <w:rPr>
                  <w:szCs w:val="24"/>
                </w:rPr>
              </w:pPr>
            </w:p>
            <w:tbl>
              <w:tblPr>
                <w:tblW w:w="4946" w:type="pct"/>
                <w:tblLook w:val="0000" w:firstRow="0" w:lastRow="0" w:firstColumn="0" w:lastColumn="0" w:noHBand="0" w:noVBand="0"/>
              </w:tblPr>
              <w:tblGrid>
                <w:gridCol w:w="4644"/>
                <w:gridCol w:w="5105"/>
              </w:tblGrid>
              <w:tr>
                <w:tc>
                  <w:tcPr>
                    <w:tcW w:w="2382" w:type="pct"/>
                    <w:tcBorders>
                      <w:top w:val="single" w:sz="8" w:space="0" w:color="000000"/>
                      <w:left w:val="single" w:sz="8" w:space="0" w:color="000000"/>
                      <w:bottom w:val="single" w:sz="8" w:space="0" w:color="000000"/>
                    </w:tcBorders>
                    <w:vAlign w:val="center"/>
                  </w:tcPr>
                  <w:p>
                    <w:pPr>
                      <w:snapToGrid w:val="0"/>
                      <w:jc w:val="center"/>
                      <w:rPr>
                        <w:bCs/>
                        <w:szCs w:val="24"/>
                        <w:vertAlign w:val="superscript"/>
                      </w:rPr>
                    </w:pPr>
                    <w:r>
                      <w:rPr>
                        <w:bCs/>
                        <w:szCs w:val="24"/>
                      </w:rPr>
                      <w:t>Sklypo plotas, m</w:t>
                    </w:r>
                    <w:r>
                      <w:rPr>
                        <w:bCs/>
                        <w:szCs w:val="24"/>
                        <w:vertAlign w:val="superscript"/>
                      </w:rPr>
                      <w:t>2</w:t>
                    </w:r>
                  </w:p>
                </w:tc>
                <w:tc>
                  <w:tcPr>
                    <w:tcW w:w="2618" w:type="pct"/>
                    <w:tcBorders>
                      <w:top w:val="single" w:sz="8" w:space="0" w:color="000000"/>
                      <w:left w:val="single" w:sz="8" w:space="0" w:color="000000"/>
                      <w:bottom w:val="single" w:sz="8" w:space="0" w:color="000000"/>
                      <w:right w:val="single" w:sz="4" w:space="0" w:color="auto"/>
                    </w:tcBorders>
                    <w:vAlign w:val="center"/>
                  </w:tcPr>
                  <w:p>
                    <w:pPr>
                      <w:snapToGrid w:val="0"/>
                      <w:jc w:val="center"/>
                      <w:rPr>
                        <w:bCs/>
                        <w:szCs w:val="24"/>
                      </w:rPr>
                    </w:pPr>
                    <w:r>
                      <w:rPr>
                        <w:bCs/>
                        <w:szCs w:val="24"/>
                      </w:rPr>
                      <w:t>Maksimalus sklypo užstatymo tankis UT, %</w:t>
                    </w:r>
                  </w:p>
                </w:tc>
              </w:tr>
              <w:tr>
                <w:tc>
                  <w:tcPr>
                    <w:tcW w:w="2382" w:type="pct"/>
                    <w:tcBorders>
                      <w:top w:val="single" w:sz="8" w:space="0" w:color="000000"/>
                      <w:left w:val="single" w:sz="8" w:space="0" w:color="000000"/>
                      <w:bottom w:val="single" w:sz="4" w:space="0" w:color="000000"/>
                    </w:tcBorders>
                    <w:vAlign w:val="center"/>
                  </w:tcPr>
                  <w:p>
                    <w:pPr>
                      <w:snapToGrid w:val="0"/>
                      <w:jc w:val="center"/>
                      <w:rPr>
                        <w:szCs w:val="24"/>
                      </w:rPr>
                    </w:pPr>
                    <w:r>
                      <w:rPr>
                        <w:szCs w:val="24"/>
                      </w:rPr>
                      <w:t>iki 400</w:t>
                    </w:r>
                  </w:p>
                </w:tc>
                <w:tc>
                  <w:tcPr>
                    <w:tcW w:w="2618" w:type="pct"/>
                    <w:tcBorders>
                      <w:top w:val="single" w:sz="8"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40</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400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40</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600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35</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900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30</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1500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25</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2500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20</w:t>
                    </w:r>
                  </w:p>
                </w:tc>
              </w:tr>
              <w:tr>
                <w:tc>
                  <w:tcPr>
                    <w:tcW w:w="2382" w:type="pct"/>
                    <w:tcBorders>
                      <w:left w:val="single" w:sz="8" w:space="0" w:color="000000"/>
                      <w:bottom w:val="single" w:sz="4" w:space="0" w:color="000000"/>
                    </w:tcBorders>
                    <w:vAlign w:val="center"/>
                  </w:tcPr>
                  <w:p>
                    <w:pPr>
                      <w:snapToGrid w:val="0"/>
                      <w:jc w:val="center"/>
                      <w:rPr>
                        <w:szCs w:val="24"/>
                      </w:rPr>
                    </w:pPr>
                    <w:r>
                      <w:rPr>
                        <w:szCs w:val="24"/>
                      </w:rPr>
                      <w:t>10000</w:t>
                    </w:r>
                  </w:p>
                </w:tc>
                <w:tc>
                  <w:tcPr>
                    <w:tcW w:w="2618" w:type="pct"/>
                    <w:tcBorders>
                      <w:left w:val="single" w:sz="8" w:space="0" w:color="000000"/>
                      <w:bottom w:val="single" w:sz="4" w:space="0" w:color="000000"/>
                      <w:right w:val="single" w:sz="4" w:space="0" w:color="auto"/>
                    </w:tcBorders>
                    <w:vAlign w:val="center"/>
                  </w:tcPr>
                  <w:p>
                    <w:pPr>
                      <w:snapToGrid w:val="0"/>
                      <w:jc w:val="center"/>
                      <w:rPr>
                        <w:szCs w:val="24"/>
                      </w:rPr>
                    </w:pPr>
                    <w:r>
                      <w:rPr>
                        <w:szCs w:val="24"/>
                      </w:rPr>
                      <w:t>15</w:t>
                    </w:r>
                  </w:p>
                </w:tc>
              </w:tr>
              <w:tr>
                <w:tc>
                  <w:tcPr>
                    <w:tcW w:w="2382" w:type="pct"/>
                    <w:tcBorders>
                      <w:top w:val="single" w:sz="4" w:space="0" w:color="000000"/>
                      <w:left w:val="single" w:sz="8" w:space="0" w:color="000000"/>
                      <w:bottom w:val="single" w:sz="8" w:space="0" w:color="000000"/>
                    </w:tcBorders>
                    <w:vAlign w:val="center"/>
                  </w:tcPr>
                  <w:p>
                    <w:pPr>
                      <w:snapToGrid w:val="0"/>
                      <w:jc w:val="center"/>
                      <w:rPr>
                        <w:szCs w:val="24"/>
                      </w:rPr>
                    </w:pPr>
                    <w:r>
                      <w:rPr>
                        <w:szCs w:val="24"/>
                      </w:rPr>
                      <w:t>daugiau kaip 10000</w:t>
                    </w:r>
                  </w:p>
                </w:tc>
                <w:tc>
                  <w:tcPr>
                    <w:tcW w:w="2618" w:type="pct"/>
                    <w:tcBorders>
                      <w:top w:val="single" w:sz="4" w:space="0" w:color="000000"/>
                      <w:left w:val="single" w:sz="8" w:space="0" w:color="000000"/>
                      <w:bottom w:val="single" w:sz="8" w:space="0" w:color="000000"/>
                      <w:right w:val="single" w:sz="4" w:space="0" w:color="auto"/>
                    </w:tcBorders>
                    <w:vAlign w:val="center"/>
                  </w:tcPr>
                  <w:p>
                    <w:pPr>
                      <w:snapToGrid w:val="0"/>
                      <w:jc w:val="center"/>
                      <w:rPr>
                        <w:szCs w:val="24"/>
                      </w:rPr>
                    </w:pPr>
                    <w:r>
                      <w:rPr>
                        <w:szCs w:val="24"/>
                      </w:rPr>
                      <w:t>*</w:t>
                    </w:r>
                  </w:p>
                </w:tc>
              </w:tr>
            </w:tbl>
            <w:p>
              <w:pPr>
                <w:ind w:firstLine="567"/>
                <w:jc w:val="both"/>
                <w:rPr>
                  <w:szCs w:val="24"/>
                </w:rPr>
              </w:pPr>
            </w:p>
            <w:p>
              <w:pPr>
                <w:ind w:firstLine="567"/>
                <w:jc w:val="both"/>
                <w:rPr>
                  <w:szCs w:val="24"/>
                </w:rPr>
              </w:pPr>
              <w:r>
                <w:rPr>
                  <w:szCs w:val="24"/>
                </w:rPr>
                <w:t>* Sklypuose, didesniuose kaip 10000 m</w:t>
              </w:r>
              <w:r>
                <w:rPr>
                  <w:szCs w:val="24"/>
                  <w:vertAlign w:val="superscript"/>
                </w:rPr>
                <w:t>2</w:t>
              </w:r>
              <w:r>
                <w:rPr>
                  <w:szCs w:val="24"/>
                </w:rPr>
                <w:t xml:space="preserve">, maksimalus sklypo užstatymo tankis nustatomas pagal formulę: UT = </w:t>
              </w:r>
              <w:r>
                <w:rPr>
                  <w:position w:val="-10"/>
                  <w:szCs w:val="24"/>
                  <w:lang w:val="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8pt;height:18.4pt" filled="t">
                    <v:fill color2="black"/>
                    <v:imagedata r:id="rId60" o:title=""/>
                  </v:shape>
                </w:pict>
              </w:r>
              <w:r>
                <w:rPr>
                  <w:szCs w:val="24"/>
                </w:rPr>
                <w:t>, %, kur F – sklypo plotas, m</w:t>
              </w:r>
              <w:r>
                <w:rPr>
                  <w:szCs w:val="24"/>
                  <w:vertAlign w:val="superscript"/>
                </w:rPr>
                <w:t>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D38A2E64D7C">
                <w:r w:rsidRPr="00532B9F">
                  <w:rPr>
                    <w:rFonts w:ascii="Times New Roman" w:eastAsia="MS Mincho" w:hAnsi="Times New Roman"/>
                    <w:sz w:val="20"/>
                    <w:i/>
                    <w:iCs/>
                    <w:color w:val="0000FF" w:themeColor="hyperlink"/>
                    <w:u w:val="single"/>
                  </w:rPr>
                  <w:t>D1-795</w:t>
                </w:r>
              </w:fldSimple>
              <w:r>
                <w:rPr>
                  <w:rFonts w:ascii="Times New Roman" w:eastAsia="MS Mincho" w:hAnsi="Times New Roman"/>
                  <w:sz w:val="20"/>
                  <w:i/>
                  <w:iCs/>
                </w:rPr>
                <w:t>,
2013-10-25,
Žin., 2013, Nr.
114-5692 (2013-11-01), i. k. 113301MISAK00D1-795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sdt>
          <w:sdtPr>
            <w:alias w:val="pastaba"/>
            <w:tag w:val="part_129544fdacce4ce28b45ddbb59410a34"/>
            <w:lock w:val="sdtLocked"/>
            <w:richText/>
          </w:sdtPr>
          <w:sdtContent>
            <w:p>
              <w:pPr>
                <w:ind w:firstLine="709"/>
                <w:jc w:val="both"/>
                <w:rPr>
                  <w:szCs w:val="24"/>
                </w:rPr>
              </w:pPr>
              <w:sdt>
                <w:sdtPr>
                  <w:alias w:val="Numeris"/>
                  <w:tag w:val="nr_129544fdacce4ce28b45ddbb59410a34"/>
                  <w:lock w:val="sdtLocked"/>
                  <w:richText/>
                </w:sdtPr>
                <w:sdtContent>
                  <w:r>
                    <w:t>1</w:t>
                  </w:r>
                  <w:r>
                    <w:rPr>
                      <w:vertAlign w:val="superscript"/>
                    </w:rPr>
                    <w:t>1</w:t>
                  </w:r>
                </w:sdtContent>
              </w:sdt>
              <w:r>
                <w:t>.</w:t>
              </w:r>
              <w:r>
                <w:rPr>
                  <w:b/>
                </w:rPr>
                <w:t xml:space="preserve"> </w:t>
              </w:r>
              <w:r>
                <w:rPr>
                  <w:szCs w:val="24"/>
                </w:rPr>
                <w:t>Pastabos:</w:t>
              </w:r>
            </w:p>
            <w:sdt>
              <w:sdtPr>
                <w:alias w:val="1-1.1 p."/>
                <w:tag w:val="part_0bd07d3deee44933b92f54f744a9eb78"/>
                <w:lock w:val="sdtLocked"/>
                <w:richText/>
              </w:sdtPr>
              <w:sdtContent>
                <w:p>
                  <w:pPr>
                    <w:tabs>
                      <w:tab w:val="left" w:pos="992"/>
                    </w:tabs>
                    <w:ind w:firstLine="709"/>
                    <w:jc w:val="both"/>
                    <w:rPr>
                      <w:szCs w:val="24"/>
                    </w:rPr>
                  </w:pPr>
                  <w:sdt>
                    <w:sdtPr>
                      <w:alias w:val="Numeris"/>
                      <w:tag w:val="nr_0bd07d3deee44933b92f54f744a9eb78"/>
                      <w:lock w:val="sdtLocked"/>
                      <w:richText/>
                    </w:sdtPr>
                    <w:sdtContent>
                      <w:r>
                        <w:t>1</w:t>
                      </w:r>
                      <w:r>
                        <w:rPr>
                          <w:vertAlign w:val="superscript"/>
                        </w:rPr>
                        <w:t>1</w:t>
                      </w:r>
                      <w:r>
                        <w:t>.1</w:t>
                      </w:r>
                    </w:sdtContent>
                  </w:sdt>
                  <w:r>
                    <w:t xml:space="preserve">. </w:t>
                  </w:r>
                  <w:r>
                    <w:rPr>
                      <w:szCs w:val="24"/>
                    </w:rPr>
                    <w:t xml:space="preserve">nuo </w:t>
                  </w:r>
                  <w:smartTag w:uri="urn:schemas-microsoft-com:office:smarttags" w:element="metricconverter">
                    <w:smartTagPr>
                      <w:attr w:name="ProductID" w:val="400 m2"/>
                    </w:smartTagPr>
                    <w:r>
                      <w:rPr>
                        <w:szCs w:val="24"/>
                      </w:rPr>
                      <w:t>400 m</w:t>
                    </w:r>
                    <w:r>
                      <w:rPr>
                        <w:szCs w:val="24"/>
                        <w:vertAlign w:val="superscript"/>
                      </w:rPr>
                      <w:t>2</w:t>
                    </w:r>
                  </w:smartTag>
                  <w:r>
                    <w:rPr>
                      <w:szCs w:val="24"/>
                    </w:rPr>
                    <w:t xml:space="preserve"> iki </w:t>
                  </w:r>
                  <w:smartTag w:uri="urn:schemas-microsoft-com:office:smarttags" w:element="metricconverter">
                    <w:smartTagPr>
                      <w:attr w:name="ProductID" w:val="10000 m2"/>
                    </w:smartTagPr>
                    <w:r>
                      <w:rPr>
                        <w:szCs w:val="24"/>
                      </w:rPr>
                      <w:t>10000 m</w:t>
                    </w:r>
                    <w:r>
                      <w:rPr>
                        <w:szCs w:val="24"/>
                        <w:vertAlign w:val="superscript"/>
                      </w:rPr>
                      <w:t>2</w:t>
                    </w:r>
                  </w:smartTag>
                  <w:r>
                    <w:rPr>
                      <w:szCs w:val="24"/>
                    </w:rPr>
                    <w:t xml:space="preserve"> sklypuose tarpinės maksimalaus sklypo užstatymo tankio reikšmės nustatomos interpoliacijos būdu;</w:t>
                  </w:r>
                </w:p>
              </w:sdtContent>
            </w:sdt>
            <w:sdt>
              <w:sdtPr>
                <w:alias w:val="1-1.2 p."/>
                <w:tag w:val="part_4fb406da8167491f96102d77c6d33025"/>
                <w:lock w:val="sdtLocked"/>
                <w:richText/>
              </w:sdtPr>
              <w:sdtContent>
                <w:p>
                  <w:pPr>
                    <w:ind w:firstLine="709"/>
                    <w:jc w:val="both"/>
                    <w:rPr>
                      <w:szCs w:val="24"/>
                    </w:rPr>
                  </w:pPr>
                  <w:sdt>
                    <w:sdtPr>
                      <w:alias w:val="Numeris"/>
                      <w:tag w:val="nr_4fb406da8167491f96102d77c6d33025"/>
                      <w:lock w:val="sdtLocked"/>
                      <w:richText/>
                    </w:sdtPr>
                    <w:sdtContent>
                      <w:r>
                        <w:rPr>
                          <w:szCs w:val="24"/>
                        </w:rPr>
                        <w:t>1</w:t>
                      </w:r>
                      <w:r>
                        <w:rPr>
                          <w:szCs w:val="24"/>
                          <w:vertAlign w:val="superscript"/>
                        </w:rPr>
                        <w:t>1</w:t>
                      </w:r>
                      <w:r>
                        <w:rPr>
                          <w:szCs w:val="24"/>
                        </w:rPr>
                        <w:t>.2</w:t>
                      </w:r>
                    </w:sdtContent>
                  </w:sdt>
                  <w:r>
                    <w:rPr>
                      <w:szCs w:val="24"/>
                    </w:rPr>
                    <w:t>. saugomų teritorijų apsaugos reglamentuose gali būti nustatomi mažesni negu nurodyti šiame priede maksimalūs sklypo užstatymo tankio ir intensyvumo dydžiai sklype;</w:t>
                  </w:r>
                </w:p>
              </w:sdtContent>
            </w:sdt>
            <w:sdt>
              <w:sdtPr>
                <w:alias w:val="1-1.3 p."/>
                <w:tag w:val="part_2917af2b8c3141a99690c9d988efabd8"/>
                <w:lock w:val="sdtLocked"/>
                <w:richText/>
              </w:sdtPr>
              <w:sdtContent>
                <w:p>
                  <w:pPr>
                    <w:ind w:firstLine="709"/>
                    <w:jc w:val="both"/>
                    <w:rPr>
                      <w:szCs w:val="24"/>
                    </w:rPr>
                  </w:pPr>
                  <w:sdt>
                    <w:sdtPr>
                      <w:alias w:val="Numeris"/>
                      <w:tag w:val="nr_2917af2b8c3141a99690c9d988efabd8"/>
                      <w:lock w:val="sdtLocked"/>
                      <w:richText/>
                    </w:sdtPr>
                    <w:sdtContent>
                      <w:r>
                        <w:rPr>
                          <w:szCs w:val="24"/>
                        </w:rPr>
                        <w:t>1</w:t>
                      </w:r>
                      <w:r>
                        <w:rPr>
                          <w:szCs w:val="24"/>
                          <w:vertAlign w:val="superscript"/>
                        </w:rPr>
                        <w:t>1</w:t>
                      </w:r>
                      <w:r>
                        <w:rPr>
                          <w:szCs w:val="24"/>
                        </w:rPr>
                        <w:t>.3</w:t>
                      </w:r>
                    </w:sdtContent>
                  </w:sdt>
                  <w:r>
                    <w:rPr>
                      <w:szCs w:val="24"/>
                    </w:rPr>
                    <w:t xml:space="preserve">. </w:t>
                  </w:r>
                  <w:r>
                    <w:rPr>
                      <w:bCs/>
                      <w:szCs w:val="24"/>
                      <w:lang w:eastAsia="lt-LT"/>
                    </w:rPr>
                    <w:t>sklypo užstatymo tankis</w:t>
                  </w:r>
                  <w:r>
                    <w:rPr>
                      <w:szCs w:val="24"/>
                    </w:rPr>
                    <w:t xml:space="preserve"> ir intensyvumas gali būti didinamas miestų centruose (jei nustatyti teritorijų planavimo dokumentuose) ar istorinio užstatymo aplinkoje pagal istorinių ir natūrinių tyrimų duomenis atkuriant vertingą urbanistinę struktūrą arba baigiant formuoti užstatymo erdvines struktūras, jeigu 1 punkte nurodyti rodikliai neleidžia suformuoti aplinkinio užstatymo charakteristikų atitinkančios išbaigtos užstatymo erdvines struktūros.“;</w:t>
                  </w:r>
                </w:p>
              </w:sdtContent>
            </w:sdt>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6879e0edd248413c851716811d3d55c0"/>
            <w:lock w:val="sdtLocked"/>
            <w:richText/>
          </w:sdtPr>
          <w:sdtContent>
            <w:p>
              <w:pPr>
                <w:suppressAutoHyphens/>
                <w:ind w:firstLine="709"/>
                <w:jc w:val="both"/>
                <w:rPr>
                  <w:szCs w:val="24"/>
                </w:rPr>
              </w:pPr>
              <w:sdt>
                <w:sdtPr>
                  <w:alias w:val="Numeris"/>
                  <w:tag w:val="nr_6879e0edd248413c851716811d3d55c0"/>
                  <w:lock w:val="sdtLocked"/>
                  <w:richText/>
                </w:sdtPr>
                <w:sdtContent>
                  <w:r>
                    <w:rPr>
                      <w:lang w:eastAsia="lt-LT"/>
                    </w:rPr>
                    <w:t>3</w:t>
                  </w:r>
                </w:sdtContent>
              </w:sdt>
              <w:r>
                <w:rPr>
                  <w:lang w:eastAsia="lt-LT"/>
                </w:rPr>
                <w:t>. Projektuojant, s</w:t>
              </w:r>
              <w:r>
                <w:rPr>
                  <w:rFonts w:eastAsia="Arial Unicode MS"/>
                  <w:szCs w:val="24"/>
                  <w:lang w:eastAsia="lt-LT"/>
                </w:rPr>
                <w:t>tatant naują statinį, rekonstruojant statinį ar keičiant statinio paskirtį</w:t>
              </w:r>
              <w:r>
                <w:rPr>
                  <w:lang w:eastAsia="lt-LT"/>
                </w:rPr>
                <w:t>, Namui skirtas žemės sklypas negali būti mažesnis kaip 400 m</w:t>
              </w:r>
              <w:r>
                <w:rPr>
                  <w:vertAlign w:val="superscript"/>
                  <w:lang w:eastAsia="lt-LT"/>
                </w:rPr>
                <w:t>2</w:t>
              </w:r>
              <w:r>
                <w:rPr>
                  <w:lang w:eastAsia="lt-LT"/>
                </w:rPr>
                <w:t xml:space="preserve">, o vienbučio blokuoto užstatymo tipo [6.6.5] </w:t>
              </w:r>
              <w:r>
                <w:rPr>
                  <w:rFonts w:eastAsia="Arial Unicode MS"/>
                  <w:szCs w:val="24"/>
                  <w:lang w:eastAsia="lt-LT"/>
                </w:rPr>
                <w:t xml:space="preserve">kiekvienam </w:t>
              </w:r>
              <w:r>
                <w:rPr>
                  <w:lang w:eastAsia="lt-LT"/>
                </w:rPr>
                <w:t>Namui  skirtas sklypas (ar jo dalis) – ne mažesnis kaip 200 m</w:t>
              </w:r>
              <w:r>
                <w:rPr>
                  <w:vertAlign w:val="superscript"/>
                  <w:lang w:eastAsia="lt-LT"/>
                </w:rPr>
                <w:t>2</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aae800be011e8a5fc9d9b3a58917b">
                <w:r w:rsidRPr="00532B9F">
                  <w:rPr>
                    <w:rFonts w:ascii="Times New Roman" w:eastAsia="MS Mincho" w:hAnsi="Times New Roman"/>
                    <w:sz w:val="20"/>
                    <w:i/>
                    <w:iCs/>
                    <w:color w:val="0000FF" w:themeColor="hyperlink"/>
                    <w:u w:val="single"/>
                  </w:rPr>
                  <w:t>D1-87</w:t>
                </w:r>
              </w:fldSimple>
              <w:r>
                <w:rPr>
                  <w:rFonts w:ascii="Times New Roman" w:eastAsia="MS Mincho" w:hAnsi="Times New Roman"/>
                  <w:sz w:val="20"/>
                  <w:i/>
                  <w:iCs/>
                </w:rPr>
                <w:t>,
2018-02-06,
paskelbta TAR 2018-02-07, i. k. 2018-01906            </w:t>
              </w:r>
            </w:p>
            <w:p/>
          </w:sdtContent>
        </w:sdt>
        <w:sdt>
          <w:sdtPr>
            <w:alias w:val="9 pr. 4 p."/>
            <w:tag w:val="part_0df996c774c44bda8b079efcae81378c"/>
            <w:lock w:val="sdtLocked"/>
            <w:richText/>
          </w:sdtPr>
          <w:sdtContent>
            <w:p>
              <w:pPr>
                <w:ind w:firstLine="709"/>
                <w:jc w:val="both"/>
                <w:rPr>
                  <w:strike/>
                  <w:szCs w:val="24"/>
                </w:rPr>
              </w:pPr>
              <w:sdt>
                <w:sdtPr>
                  <w:alias w:val="Numeris"/>
                  <w:tag w:val="nr_0df996c774c44bda8b079efcae81378c"/>
                  <w:lock w:val="sdtLocked"/>
                  <w:richText/>
                </w:sdtPr>
                <w:sdtContent>
                  <w:r>
                    <w:rPr>
                      <w:szCs w:val="24"/>
                    </w:rPr>
                    <w:t>4</w:t>
                  </w:r>
                </w:sdtContent>
              </w:sdt>
              <w:r>
                <w:rPr>
                  <w:szCs w:val="24"/>
                </w:rPr>
                <w:t>. Minimalus atstumas nuo atskirai statomo Namo ir jo priklausinių (išskyrus nesudėtingus statinius) iki kaimyninio žemės sklypo [6.1.7] ribos turi būti ne mažesnis kaip 3 metrai. Minimalus atstumas tiesiamų inžinerinių tinklų iki kaimyninio žemės sklypo ribos turi būti ne mažesnis kaip 1 metras, jei nepažeidžiami kaimyninio žemės sklypo [6.1.7] savininko (naudotojo) interesai. Mažinant pastatų atstumą iki kaimyninio žemės sklypo [6.1.7] ribos arba blokuojant gretimų žemės sklypų pastatus, turi būti išlaikomi gaisrinės saugos reikalavimai (žr. Gaisrinės saugos pagrindinius reikalavimus [6.6.3], Gyvenamųjų pastatų gaisrinės saugos taisykles [6.6.4]) ir gautas kaimyninio žemės sklypo [6.1.7] savininko sutikimas raštu, išskyrus atvejus, kai pastatų blokavimas numatytas patvirtintuose teritorijų planavimo dokumentuose. Mažinant tiesiamų inžinerinių tinklų atstumą iki kaimyninio žemės sklypo [6.1.7] ribos, reikalingas šio sklypo savininko sutikimas raštu. Atstumai nuo nesudėtingų statinių iki kaimyninio sklypo [6.1.7] ribos nurodyti STR 1.07.01:2010 [6.2.2].</w:t>
              </w:r>
            </w:p>
            <w:p>
              <w:pPr>
                <w:ind w:firstLine="709"/>
                <w:jc w:val="both"/>
                <w:rPr>
                  <w:szCs w:val="24"/>
                </w:rPr>
              </w:pPr>
              <w:r>
                <w:rPr>
                  <w:szCs w:val="24"/>
                </w:rPr>
                <w:t xml:space="preserve">Namo ir jo priklausinių, inžinerinių tinklų statyba, rekonstravimas ir remontas neturi daryti neleistino poveikio kaimyniniam žemės sklypui [6.1.7] ir jame esantiems statiniams. Šių statinių esminis reikalavimas „mechaninis atsparumas ir pastovumas“ turi būti užtikrintas pagal </w:t>
              </w:r>
              <w:r>
                <w:rPr>
                  <w:szCs w:val="24"/>
                  <w:lang w:eastAsia="lt-LT"/>
                </w:rPr>
                <w:t xml:space="preserve">2011 m. kovo 9 d. Europos </w:t>
              </w:r>
              <w:r>
                <w:rPr>
                  <w:szCs w:val="24"/>
                </w:rPr>
                <w:t>Parlamento ir Tarybos reglamento (ES) Nr. 305/2011 [6.1.6]</w:t>
              </w:r>
              <w:r>
                <w:rPr>
                  <w:b/>
                  <w:szCs w:val="24"/>
                </w:rPr>
                <w:t xml:space="preserve"> </w:t>
              </w:r>
              <w:r>
                <w:rPr>
                  <w:szCs w:val="24"/>
                </w:rPr>
                <w:t xml:space="preserve">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6F8894ED69">
            <w:r w:rsidRPr="00532B9F">
              <w:rPr>
                <w:rFonts w:ascii="Times New Roman" w:eastAsia="MS Mincho" w:hAnsi="Times New Roman"/>
                <w:sz w:val="20"/>
                <w:iCs/>
                <w:color w:val="0000FF" w:themeColor="hyperlink"/>
                <w:u w:val="single"/>
              </w:rPr>
              <w:t>D1-220</w:t>
            </w:r>
          </w:fldSimple>
          <w:r>
            <w:rPr>
              <w:rFonts w:ascii="Times New Roman" w:eastAsia="MS Mincho" w:hAnsi="Times New Roman"/>
              <w:sz w:val="20"/>
              <w:iCs/>
            </w:rPr>
            <w:t>,
2011-03-14,
Žin., 2011, Nr.
32-1516 (2011-03-17); Žin., 2011, Nr.
35-0 (2011-03-24), i. k. 111301MISAK00D1-220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4102A4B416">
            <w:r w:rsidRPr="00532B9F">
              <w:rPr>
                <w:rFonts w:ascii="Times New Roman" w:eastAsia="MS Mincho" w:hAnsi="Times New Roman"/>
                <w:sz w:val="20"/>
                <w:iCs/>
                <w:color w:val="0000FF" w:themeColor="hyperlink"/>
                <w:u w:val="single"/>
              </w:rPr>
              <w:t>D1-537</w:t>
            </w:r>
          </w:fldSimple>
          <w:r>
            <w:rPr>
              <w:rFonts w:ascii="Times New Roman" w:eastAsia="MS Mincho" w:hAnsi="Times New Roman"/>
              <w:sz w:val="20"/>
              <w:iCs/>
            </w:rPr>
            <w:t>,
2012-06-26,
Žin., 2012, Nr.
74-3850 (2012-06-29), i. k. 112301MISAK00D1-537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804C9B06D0">
            <w:r w:rsidRPr="00532B9F">
              <w:rPr>
                <w:rFonts w:ascii="Times New Roman" w:eastAsia="MS Mincho" w:hAnsi="Times New Roman"/>
                <w:sz w:val="20"/>
                <w:iCs/>
                <w:color w:val="0000FF" w:themeColor="hyperlink"/>
                <w:u w:val="single"/>
              </w:rPr>
              <w:t>D1-659</w:t>
            </w:r>
          </w:fldSimple>
          <w:r>
            <w:rPr>
              <w:rFonts w:ascii="Times New Roman" w:eastAsia="MS Mincho" w:hAnsi="Times New Roman"/>
              <w:sz w:val="20"/>
              <w:iCs/>
            </w:rPr>
            <w:t>,
2013-09-05,
Žin., 2013, Nr.
95-4736 (2013-09-07), i. k. 113301MISAK00D1-659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38A2E64D7C">
            <w:r w:rsidRPr="00532B9F">
              <w:rPr>
                <w:rFonts w:ascii="Times New Roman" w:eastAsia="MS Mincho" w:hAnsi="Times New Roman"/>
                <w:sz w:val="20"/>
                <w:iCs/>
                <w:color w:val="0000FF" w:themeColor="hyperlink"/>
                <w:u w:val="single"/>
              </w:rPr>
              <w:t>D1-795</w:t>
            </w:r>
          </w:fldSimple>
          <w:r>
            <w:rPr>
              <w:rFonts w:ascii="Times New Roman" w:eastAsia="MS Mincho" w:hAnsi="Times New Roman"/>
              <w:sz w:val="20"/>
              <w:iCs/>
            </w:rPr>
            <w:t>,
2013-10-25,
Žin., 2013, Nr.
114-5692 (2013-11-01), i. k. 113301MISAK00D1-795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2d4c60696e11e4b6b89037654e22b1">
            <w:r w:rsidRPr="00532B9F">
              <w:rPr>
                <w:rFonts w:ascii="Times New Roman" w:eastAsia="MS Mincho" w:hAnsi="Times New Roman"/>
                <w:sz w:val="20"/>
                <w:iCs/>
                <w:color w:val="0000FF" w:themeColor="hyperlink"/>
                <w:u w:val="single"/>
              </w:rPr>
              <w:t>D1-892</w:t>
            </w:r>
          </w:fldSimple>
          <w:r>
            <w:rPr>
              <w:rFonts w:ascii="Times New Roman" w:eastAsia="MS Mincho" w:hAnsi="Times New Roman"/>
              <w:sz w:val="20"/>
              <w:iCs/>
            </w:rPr>
            <w:t>,
2014-11-07,
paskelbta TAR 2014-11-11, i. k. 2014-16609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32c6083b811e5b7eba10a9b5a9c5f">
            <w:r w:rsidRPr="00532B9F">
              <w:rPr>
                <w:rFonts w:ascii="Times New Roman" w:eastAsia="MS Mincho" w:hAnsi="Times New Roman"/>
                <w:sz w:val="20"/>
                <w:iCs/>
                <w:color w:val="0000FF" w:themeColor="hyperlink"/>
                <w:u w:val="single"/>
              </w:rPr>
              <w:t>D1-800</w:t>
            </w:r>
          </w:fldSimple>
          <w:r>
            <w:rPr>
              <w:rFonts w:ascii="Times New Roman" w:eastAsia="MS Mincho" w:hAnsi="Times New Roman"/>
              <w:sz w:val="20"/>
              <w:iCs/>
            </w:rPr>
            <w:t>,
2015-11-04,
paskelbta TAR 2015-11-05, i. k. 2015-17673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b71af049bf11e6b5d09300a16a686c">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2016-07-14,
paskelbta TAR 2016-07-14, i. k. 2016-20567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1aae800be011e8a5fc9d9b3a58917b">
            <w:r w:rsidRPr="00532B9F">
              <w:rPr>
                <w:rFonts w:ascii="Times New Roman" w:eastAsia="MS Mincho" w:hAnsi="Times New Roman"/>
                <w:sz w:val="20"/>
                <w:iCs/>
                <w:color w:val="0000FF" w:themeColor="hyperlink"/>
                <w:u w:val="single"/>
              </w:rPr>
              <w:t>D1-87</w:t>
            </w:r>
          </w:fldSimple>
          <w:r>
            <w:rPr>
              <w:rFonts w:ascii="Times New Roman" w:eastAsia="MS Mincho" w:hAnsi="Times New Roman"/>
              <w:sz w:val="20"/>
              <w:iCs/>
            </w:rPr>
            <w:t>,
2018-02-06,
paskelbta TAR 2018-02-07, i. k. 2018-01906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72D5229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5245828">
      <w:marLeft w:val="0"/>
      <w:marRight w:val="0"/>
      <w:marTop w:val="0"/>
      <w:marBottom w:val="0"/>
      <w:divBdr>
        <w:top w:val="none" w:sz="0" w:space="0" w:color="auto"/>
        <w:left w:val="none" w:sz="0" w:space="0" w:color="auto"/>
        <w:bottom w:val="none" w:sz="0" w:space="0" w:color="auto"/>
        <w:right w:val="none" w:sz="0" w:space="0" w:color="auto"/>
      </w:divBdr>
    </w:div>
    <w:div w:id="1526016492">
      <w:bodyDiv w:val="1"/>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5.wmf"/>
  <Relationship Id="rId17" Type="http://schemas.openxmlformats.org/officeDocument/2006/relationships/control" Target="activeX/activeX3.xml"/>
  <Relationship Id="rId18" Type="http://schemas.openxmlformats.org/officeDocument/2006/relationships/hyperlink" TargetMode="External" Target="https://www.e-tar.lt/portal/lt/legalAct/TAR.E434668FE952"/>
  <Relationship Id="rId19" Type="http://schemas.openxmlformats.org/officeDocument/2006/relationships/hyperlink" TargetMode="External" Target="https://www.e-tar.lt/portal/lt/legalAct/TAR.2BC82ED1190B"/>
  <Relationship Id="rId2" Type="http://schemas.openxmlformats.org/officeDocument/2006/relationships/header" Target="header8.xml"/>
  <Relationship Id="rId20" Type="http://schemas.openxmlformats.org/officeDocument/2006/relationships/hyperlink" TargetMode="External" Target="https://www.e-tar.lt/portal/lt/legalAct/TAR.B49EEDC9171B"/>
  <Relationship Id="rId21" Type="http://schemas.openxmlformats.org/officeDocument/2006/relationships/hyperlink" TargetMode="External" Target="https://www.e-tar.lt/portal/lt/legalAct/TAR.49C63507B0F8"/>
  <Relationship Id="rId22" Type="http://schemas.openxmlformats.org/officeDocument/2006/relationships/hyperlink" TargetMode="External" Target="https://www.e-tar.lt/portal/lt/legalAct/TAR.361470957F85"/>
  <Relationship Id="rId23" Type="http://schemas.openxmlformats.org/officeDocument/2006/relationships/hyperlink" TargetMode="External" Target="https://www.e-tar.lt/portal/lt/legalAct/TAR.BEFE83252B3B"/>
  <Relationship Id="rId24" Type="http://schemas.openxmlformats.org/officeDocument/2006/relationships/hyperlink" TargetMode="External" Target="https://www.e-tar.lt/portal/lt/legalAct/TAR.3C24C4CAE7B1"/>
  <Relationship Id="rId25" Type="http://schemas.openxmlformats.org/officeDocument/2006/relationships/hyperlink" TargetMode="External" Target="https://www.e-tar.lt/portal/lt/legalAct/TAR.EB554E4C6BFA"/>
  <Relationship Id="rId26" Type="http://schemas.openxmlformats.org/officeDocument/2006/relationships/hyperlink" TargetMode="External" Target="https://www.e-tar.lt/portal/lt/legalAct/TAR.E5D5DC3C496B"/>
  <Relationship Id="rId27" Type="http://schemas.openxmlformats.org/officeDocument/2006/relationships/hyperlink" TargetMode="External" Target="https://www.e-tar.lt/portal/lt/legalAct/TAR.C576954D16C0"/>
  <Relationship Id="rId28" Type="http://schemas.openxmlformats.org/officeDocument/2006/relationships/hyperlink" TargetMode="External" Target="https://www.e-tar.lt/portal/lt/legalAct/TAR.E737DAE7AF62"/>
  <Relationship Id="rId29" Type="http://schemas.openxmlformats.org/officeDocument/2006/relationships/hyperlink" TargetMode="External" Target="https://www.e-tar.lt/portal/lt/legalAct/TAR.9F5BA52877CB"/>
  <Relationship Id="rId3" Type="http://schemas.openxmlformats.org/officeDocument/2006/relationships/footer" Target="footer7.xml"/>
  <Relationship Id="rId30" Type="http://schemas.openxmlformats.org/officeDocument/2006/relationships/hyperlink" TargetMode="External" Target="https://www.e-tar.lt/portal/lt/legalAct/TAR.44B5B0E7BE9F"/>
  <Relationship Id="rId31" Type="http://schemas.openxmlformats.org/officeDocument/2006/relationships/hyperlink" TargetMode="External" Target="https://www.e-tar.lt/portal/lt/legalAct/TAR.1F3FB56815CB"/>
  <Relationship Id="rId32" Type="http://schemas.openxmlformats.org/officeDocument/2006/relationships/hyperlink" TargetMode="External" Target="https://www.e-tar.lt/portal/lt/legalAct/TAR.EFD8078E42A8"/>
  <Relationship Id="rId33" Type="http://schemas.openxmlformats.org/officeDocument/2006/relationships/hyperlink" TargetMode="External" Target="https://www.e-tar.lt/portal/lt/legalAct/TAR.92E5805D8852"/>
  <Relationship Id="rId34" Type="http://schemas.openxmlformats.org/officeDocument/2006/relationships/hyperlink" TargetMode="External" Target="https://www.e-tar.lt/portal/lt/legalAct/TAR.77B02EDEB1E6"/>
  <Relationship Id="rId35" Type="http://schemas.openxmlformats.org/officeDocument/2006/relationships/hyperlink" TargetMode="External" Target="https://www.e-tar.lt/portal/lt/legalAct/TAR.C2B38E4BAC50"/>
  <Relationship Id="rId36" Type="http://schemas.openxmlformats.org/officeDocument/2006/relationships/hyperlink" TargetMode="External" Target="https://www.e-tar.lt/portal/lt/legalAct/TAR.9A2DA94909FF"/>
  <Relationship Id="rId37" Type="http://schemas.openxmlformats.org/officeDocument/2006/relationships/hyperlink" TargetMode="External" Target="https://www.e-tar.lt/portal/lt/legalAct/TAR.C11DD7347AC0"/>
  <Relationship Id="rId38" Type="http://schemas.openxmlformats.org/officeDocument/2006/relationships/hyperlink" TargetMode="External" Target="https://www.e-tar.lt/portal/lt/legalAct/TAR.358675FB0A82"/>
  <Relationship Id="rId39" Type="http://schemas.openxmlformats.org/officeDocument/2006/relationships/hyperlink" TargetMode="External" Target="https://www.e-tar.lt/portal/lt/legalAct/TAR.328164741613"/>
  <Relationship Id="rId4" Type="http://schemas.openxmlformats.org/officeDocument/2006/relationships/footer" Target="footer8.xml"/>
  <Relationship Id="rId40" Type="http://schemas.openxmlformats.org/officeDocument/2006/relationships/hyperlink" TargetMode="External" Target="https://www.e-tar.lt/portal/lt/legalAct/TAR.8685834FB072"/>
  <Relationship Id="rId41" Type="http://schemas.openxmlformats.org/officeDocument/2006/relationships/hyperlink" TargetMode="External" Target="https://www.e-tar.lt/portal/lt/legalAct/TAR.F79C1136595E"/>
  <Relationship Id="rId42" Type="http://schemas.openxmlformats.org/officeDocument/2006/relationships/hyperlink" TargetMode="External" Target="https://www.e-tar.lt/portal/lt/legalAct/TAR.6F589E878882"/>
  <Relationship Id="rId43" Type="http://schemas.openxmlformats.org/officeDocument/2006/relationships/hyperlink" TargetMode="External" Target="https://www.e-tar.lt/portal/lt/legalAct/TAR.6AF8895BD875"/>
  <Relationship Id="rId44" Type="http://schemas.openxmlformats.org/officeDocument/2006/relationships/hyperlink" TargetMode="External" Target="https://www.e-tar.lt/portal/lt/legalAct/TAR.3988C1EEEF21"/>
  <Relationship Id="rId45" Type="http://schemas.openxmlformats.org/officeDocument/2006/relationships/hyperlink" TargetMode="External" Target="https://www.e-tar.lt/portal/lt/legalAct/TAR.650275E135FA"/>
  <Relationship Id="rId46" Type="http://schemas.openxmlformats.org/officeDocument/2006/relationships/hyperlink" TargetMode="External" Target="https://www.e-tar.lt/portal/lt/legalAct/TAR.D8B754E03B50"/>
  <Relationship Id="rId47" Type="http://schemas.openxmlformats.org/officeDocument/2006/relationships/hyperlink" TargetMode="External" Target="https://www.e-tar.lt/portal/lt/legalAct/TAR.8B79388EACD2"/>
  <Relationship Id="rId48" Type="http://schemas.openxmlformats.org/officeDocument/2006/relationships/hyperlink" TargetMode="External" Target="https://www.e-tar.lt/portal/lt/legalAct/TAR.34E2C5F24512"/>
  <Relationship Id="rId49" Type="http://schemas.openxmlformats.org/officeDocument/2006/relationships/hyperlink" TargetMode="External" Target="https://www.e-tar.lt/portal/lt/legalAct/TAR.480FD840BA61"/>
  <Relationship Id="rId5" Type="http://schemas.openxmlformats.org/officeDocument/2006/relationships/header" Target="header9.xml"/>
  <Relationship Id="rId50" Type="http://schemas.openxmlformats.org/officeDocument/2006/relationships/hyperlink" TargetMode="External" Target="https://www.e-tar.lt/portal/lt/legalAct/TAR.5EDF2D9960FE"/>
  <Relationship Id="rId51" Type="http://schemas.openxmlformats.org/officeDocument/2006/relationships/hyperlink" TargetMode="External" Target="https://www.e-tar.lt/portal/lt/legalAct/TAR.45D9797974FE"/>
  <Relationship Id="rId52" Type="http://schemas.openxmlformats.org/officeDocument/2006/relationships/hyperlink" TargetMode="External" Target="https://www.e-tar.lt/portal/lt/legalAct/TAR.2099D15473C7"/>
  <Relationship Id="rId53" Type="http://schemas.openxmlformats.org/officeDocument/2006/relationships/hyperlink" TargetMode="External" Target="https://www.e-tar.lt/portal/lt/legalAct/TAR.85332C39ED17"/>
  <Relationship Id="rId54" Type="http://schemas.openxmlformats.org/officeDocument/2006/relationships/hyperlink" TargetMode="External" Target="https://www.e-tar.lt/portal/lt/legalAct/TAR.2D4E6AA46728"/>
  <Relationship Id="rId55" Type="http://schemas.openxmlformats.org/officeDocument/2006/relationships/hyperlink" TargetMode="External" Target="https://www.e-tar.lt/portal/lt/legalAct/TAR.186A391791C4"/>
  <Relationship Id="rId56" Type="http://schemas.openxmlformats.org/officeDocument/2006/relationships/hyperlink" TargetMode="External" Target="https://www.e-tar.lt/portal/lt/legalAct/TAR.2EB40F18334C"/>
  <Relationship Id="rId57" Type="http://schemas.openxmlformats.org/officeDocument/2006/relationships/hyperlink" TargetMode="External" Target="https://www.e-tar.lt/portal/lt/legalAct/TAR.43C9947C97CD"/>
  <Relationship Id="rId58" Type="http://schemas.openxmlformats.org/officeDocument/2006/relationships/hyperlink" TargetMode="External" Target="https://www.e-tar.lt/portal/lt/legalAct/TAR.61BD22D4FB5B"/>
  <Relationship Id="rId59" Type="http://schemas.openxmlformats.org/officeDocument/2006/relationships/hyperlink" TargetMode="External" Target="https://www.e-tar.lt/portal/lt/legalAct/TAR.BEFF0DEBA3C9"/>
  <Relationship Id="rId6" Type="http://schemas.openxmlformats.org/officeDocument/2006/relationships/footer" Target="footer9.xml"/>
  <Relationship Id="rId60" Type="http://schemas.openxmlformats.org/officeDocument/2006/relationships/image" Target="media/image8.wmf"/>
  <Relationship Id="rId61" Type="http://schemas.openxmlformats.org/officeDocument/2006/relationships/hyperlink" TargetMode="External" Target="https://www.e-tar.lt/portal/lt/legalAct/TAR.E4F23B006B83"/>
  <Relationship Id="rId62" Type="http://schemas.openxmlformats.org/officeDocument/2006/relationships/hyperlink" TargetMode="External" Target="https://www.e-tar.lt/portal/lt/legalAct/TAR.F31E79DEC55D"/>
  <Relationship Id="rId63" Type="http://schemas.openxmlformats.org/officeDocument/2006/relationships/hyperlink" TargetMode="External" Target="https://www.e-tar.lt/portal/lt/legalAct/TAR.80A638E6C263"/>
  <Relationship Id="rId64" Type="http://schemas.openxmlformats.org/officeDocument/2006/relationships/hyperlink" TargetMode="External" Target="https://www.e-tar.lt/portal/lt/legalAct/TAR.26B563184529"/>
  <Relationship Id="rId65" Type="http://schemas.openxmlformats.org/officeDocument/2006/relationships/hyperlink" TargetMode="External" Target="https://www.e-tar.lt/portal/lt/legalAct/TAR.1C65A214E386"/>
  <Relationship Id="rId66" Type="http://schemas.openxmlformats.org/officeDocument/2006/relationships/hyperlink" TargetMode="External" Target="https://www.e-tar.lt/portal/lt/legalAct/TAR.FF1083B528B7"/>
  <Relationship Id="rId67" Type="http://schemas.openxmlformats.org/officeDocument/2006/relationships/hyperlink" TargetMode="External" Target="https://www.e-tar.lt/portal/lt/legalAct/TAR.BB29FCA04DF2"/>
  <Relationship Id="rId68" Type="http://schemas.openxmlformats.org/officeDocument/2006/relationships/hyperlink" TargetMode="External" Target="https://www.e-tar.lt/portal/lt/legalAct/TAR.9BC8AEE9D9F8"/>
  <Relationship Id="rId69" Type="http://schemas.openxmlformats.org/officeDocument/2006/relationships/hyperlink" TargetMode="External" Target="https://www.e-tar.lt/portal/lt/legalAct/TAR.926B9B9755A3"/>
  <Relationship Id="rId7" Type="http://schemas.openxmlformats.org/officeDocument/2006/relationships/customXml" Target="../customXml/item3.xml"/>
  <Relationship Id="rId70" Type="http://schemas.openxmlformats.org/officeDocument/2006/relationships/hyperlink" TargetMode="External" Target="https://www.e-tar.lt/portal/lt/legalAct/TAR.5C63BB64A956"/>
  <Relationship Id="rId71"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1faf92bb8b9d41b891463c179a93eaa9">
    <Part Type="preambule" DocPartId="1d9f11ccc70d4f709c07fe5267675669" PartId="d57b2988e60b46dfa37d0950d848df88"/>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0038bdc8688546939c249e3ffb108891"/>
      <Part Type="punktas" Nr="5-1" Abbr="5-1 p." DocPartId="0475ade5f5d54dcebcf73e852525db55" PartId="89359c3af7de4cfe810f6a812c2acfec"/>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0904f740d78f41c4b679323f4adc5b51">
          <Part Type="punktas" Nr="6.1.1" Abbr="6.1.1 p." DocPartId="6131641d715a4f889e58fa861733368a" PartId="83efb51709e04377819d733133ce3bef"/>
          <Part Type="punktas" Nr="6.1.2" Abbr="6.1.2 p." DocPartId="07b2ae7435eb4ef58c63afbc6c6c05fb" PartId="422a003cc0a04c64b4c9dee90a3c43d4"/>
          <Part Type="punktas" Nr="6.1.3" Abbr="6.1.3 p." DocPartId="89242562f5d842a5b8ea2dd72ba986c5" PartId="dca2db86f7c14755bde3722b787101ec"/>
          <Part Type="punktas" Nr="6.1.4" Abbr="6.1.4 p." DocPartId="251326315f4f4bde93da5032ccb3d6b3" PartId="7694da4789924e6b9aa9c9abcc4d28da"/>
          <Part Type="punktas" Nr="6.1.5" Abbr="6.1.5 p." DocPartId="6be90e454ae149469e1c35a4deef1cfc" PartId="bd34106a4b0b423aae96f08665202516"/>
          <Part Type="punktas" Nr="6.1.6" Abbr="6.1.6 p." DocPartId="3f40dcc3529f49c1aedc7203fccf2633" PartId="dec3d70a8258456eba3a268685662e78"/>
          <Part Type="papunktis" Nr="6.1.7" Abbr="6.1.7 pp." DocPartId="6f7594048cba4348bf1617728cc69865" PartId="a422bbd326424c2fa0c8254a9d6be0cc"/>
        </Part>
        <Part Type="punktas" Nr="6.2" Abbr="6.2 p." DocPartId="30f6c5428fa44e518ef42183c5d6a0b5" PartId="93e81f874c9c46729313ed6c80acf56b">
          <Part Type="punktas" Nr="6.2.1" Abbr="6.2.1 p." DocPartId="3b42db829dc84ceb8b544ecbb00c2451" PartId="47bd7bfea0cb4c03afb0800f74cbdf4b"/>
          <Part Type="punktas" Nr="6.2.2" Abbr="6.2.2 p." DocPartId="a1bedd5cbcac4d1eba45114429e41b51" PartId="f33246b627274d438d5f08374b3698b3"/>
          <Part Type="punktas" Nr="6.2.2" Abbr="6.2.2 p." DocPartId="e291135f6057463cbc02bd0f1b653dfb" PartId="a6669026811d4650835d394ce4cc0d0e"/>
          <Part Type="punktas" Nr="6.2.3" Abbr="6.2.3 p." DocPartId="75245d9863ac49ea8546a08cbbcbbda0" PartId="742afc00491e4b44932dd60d86dba64d"/>
          <Part Type="punktas" Nr="6.2.4" Abbr="6.2.4 p." DocPartId="9db9205d43364ff697c35546cc600c95" PartId="77b75852e0f14dbba978502197ea032b"/>
          <Part Type="punktas" Nr="6.2.5" Abbr="6.2.5 p." DocPartId="afa6498a032e439380f4bedd46d0e31f" PartId="8a80e967826742759d5042208fd2bafb"/>
          <Part Type="punktas" Nr="6.2.6" Abbr="6.2.6 p." DocPartId="ee585ffe3ee54252bd4f51270c8a9367" PartId="83baf3f257e54814851768474d3345e5"/>
          <Part Type="punktas" Nr="6.2.7" Abbr="6.2.7 p." DocPartId="b98b863aa7b7418b86d885b048a54e65" PartId="1836129287b64efc9baac1e353482d60"/>
          <Part Type="punktas" Nr="6.2.8" Abbr="6.2.8 p." DocPartId="4f5d0b9ba2a74e63a89327ab801646b3" PartId="db6a7522a0ea4fa881bcd16a6ded5869"/>
          <Part Type="punktas" Nr="6.2.9" Abbr="6.2.9 p." Title="" DocPartId="251b344cd86c4a45b171172e38ee9cb3" PartId="06380d67283d4bd0b2036e5f98ae845a"/>
          <Part Type="punktas" Nr="6.2.10" Abbr="6.2.10 p." Title="" DocPartId="475346c0900047f7a6167222cbe3a218" PartId="2325b3124f914ab1afd16c6668483986"/>
          <Part Type="punktas" Nr="6.2.11" Abbr="6.2.11 p." Title="" DocPartId="33061342acd5485ca9105591415f4081" PartId="6b4d4a854c1c4a7e89052074f4b0b234"/>
          <Part Type="punktas" Nr="6.2.12" Abbr="6.2.12 p." DocPartId="66668ab6544947939e163aced478fc63" PartId="b8a57309eb724bc6bd0a7e137a1727d6"/>
          <Part Type="punktas" Nr="6.2.13" Abbr="6.2.13 p."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d8064d2a949e4e7ead71ec7637bbc176"/>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cb48b505a25a4dba88a1e6fd5aa85ed7"/>
          <Part Type="punktas" Nr="6.2.25" Abbr="6.2.25 p." DocPartId="e7495bfef942447e81bd8ea50f54dcb0" PartId="517986a6ad0a427dac3239e794196e00"/>
          <Part Type="punktas" Nr="6.2.26" Abbr="6.2.26 p." DocPartId="28ce9053ebda437293324870a25e1b91" PartId="9156a24e1c494eef9779e9ab8572f863"/>
          <Part Type="punktas" Nr="6.2.27" Abbr="6.2.27 p." DocPartId="4cf8bda0e2b9421884e757fc7653e68d" PartId="792afc14432143c3b1ae837cc4b71e94"/>
          <Part Type="punktas" Nr="6.2.28" Abbr="6.2.28 p." DocPartId="52f24a37b1554b60ba00750f2e118d94" PartId="62dc738a00e64d2ea935c6c574d525cb"/>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f26ffe614d2f41728782314733e09885"/>
          <Part Type="punktas" Nr="6.3.3" Abbr="6.3.3 p." DocPartId="cc93ad651d3b485f8c54a41c752c2058" PartId="12c8ac300fa74ce6a45bf5d9b50a3d48"/>
          <Part Type="punktas" Nr="6.3.4" Abbr="6.3.4 p." DocPartId="938d637d332646fab80ee19e9035955d" PartId="196f1cdcab51460a805c407fe780ffa2"/>
          <Part Type="punktas" Nr="6.3.5" Abbr="6.3.5 p." DocPartId="7f68955bb01145649cc168a038541b30" PartId="b5376d24e160431f970a8337ed02b2cb"/>
        </Part>
        <Part Type="punktas" Nr="6.4" Abbr="6.4 p." DocPartId="0c0cf74848f14133aa4716b6368c02e8" PartId="5c15021919764450a42c7839c4305363">
          <Part Type="punktas" Nr="6.4.1" Abbr="6.4.1 p." DocPartId="6c6a14d7b8ae423ba9953251b935d467" PartId="f0fcdc5e26144840ab4e2165098e808c"/>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3c28b25cafc340d697351dc029f43080"/>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c3ebcbeda2a74d8cb99e7b0329a3cdf2"/>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a316799420a9429eb81f207622ac03c5"/>
        </Part>
        <Part Type="punktas" Nr="6.5" Abbr="6.5 p." DocPartId="b7130ecf56d842a98e583464fde1274e" PartId="91f117d66f884f3a96e6c3d02c77f565">
          <Part Type="punktas" Nr="6.5.1" Abbr="6.5.1 p." DocPartId="4821b9a1b3cd46a8b634e0959536d146" PartId="1f6e5db6121749f18fd69adf9717567e"/>
          <Part Type="punktas" Nr="6.5.2" Abbr="6.5.2 p." DocPartId="6766e88e35aa4ae7955a623883ef991a" PartId="b412474fc940454b868d489f74f4e05b"/>
          <Part Type="punktas" Nr="6.5.3" Abbr="6.5.3 p." DocPartId="e1e16af2c3c04063a346b43d6406e26a" PartId="e028ff8f3e5448ee9d8884750c27d656"/>
          <Part Type="punktas" Nr="6.5.4" Abbr="6.5.4 p." DocPartId="4051184ae14844668336b36226c8586f" PartId="f4085af32c2e405ba941b1753cfa2c6a"/>
        </Part>
        <Part Type="punktas" Nr="6.6" Abbr="6.6 p." DocPartId="7454dfcbdb344dd29e260064abcc1737" PartId="6a880cdf21ae4da3bc0fe838b5be2290">
          <Part Type="punktas" Nr="6.6.1" Abbr="6.6.1 p." DocPartId="02295cac5fd249d5887f26aed4fb651f" PartId="7307f2651907425ca51f8cf9579e726d"/>
          <Part Type="punktas" Nr="6.6.2" Abbr="6.6.2 p." DocPartId="7b52eda24310487ba185929315bfedb7" PartId="18ab49d10c1e4bacbd1bb7f6731ecc39"/>
          <Part Type="punktas" Nr="6.6.3" Abbr="6.6.3 p." DocPartId="29dbed49b8be4b289042aa4e49992ff4" PartId="b62291582f6640aaac5dbf8ee19ecafe"/>
          <Part Type="punktas" Nr="6.6.4" Abbr="6.6.4 p." DocPartId="59a948f9d2c3403b8ceb451ee519f6b1" PartId="4eac643ba49b423e9a45446a688ed4ca"/>
          <Part Type="papunktis" Nr="6.6.5" Abbr="6.6.5 pp." DocPartId="407d0132be5945acba40b910881c7b37" PartId="c4207be1549f4757979be3ee6ae7149f"/>
        </Part>
      </Part>
    </Part>
    <Part Type="skyrius" Nr="3" Title="PAGRINDINĖS SĄVOKOS" DocPartId="50ccd1bfe4ec4a9ca8ea5b2a571791fc" PartId="c17a0c99cf6a470693dcb7b3784c14dd">
      <Part Type="punktas" Nr="7" Abbr="7 p." DocPartId="f2f5039955744e0ba0862e72fefa28c7" PartId="5a67a7d92bf04f819a7d6c487e2197b2">
        <Part Type="punktas" Nr="7.1" Abbr="7.1 p." DocPartId="3f05fa2e0d5f47abbeec8e385b9e10ce" PartId="89898569a8c54f8b9409666b88f0bf4d"/>
        <Part Type="punktas" Nr="7.2" Abbr="7.2 p." DocPartId="02cb43dab2ae4a109ac05703d93fe984" PartId="9296cd0160f64ae79e35cb9d7af50700"/>
        <Part Type="punktas" Nr="7.3" Abbr="7.3 p." DocPartId="1ade5c3862734d5bb62b7437697e24c5" PartId="c50c2faca9c048d6a60ce7789d2094cb"/>
        <Part Type="punktas" Nr="7.4" Abbr="7.4 p." DocPartId="521e8ee7fa1e4dafa5354ebd6c93088e" PartId="9aabcb615ff94750999c8cb3dd78cb97"/>
      </Part>
    </Part>
    <Part Type="skyrius" Nr="4" Title="SKLYPO TVARKYMO REIKALAVIMAI" DocPartId="9e1de70dc33f4a86a08d24cfc29dd846" PartId="4db5a0ece3394a7aaf360c1515dcae62">
      <Part Type="punktas" Nr="8" Abbr="8 p." DocPartId="39f624cbee1b4a9f9e7df7aaf734ddf3" PartId="ee290f937acf4486bcdbddf47d992bc2"/>
      <Part Type="punktas" Nr="9" Abbr="9 p." DocPartId="7a87bc8e4417445abc8a6eda1edc4313" PartId="2c5bff2d03764529b226fc1c68c0e544">
        <Part Type="punktas" Nr="9.1" Abbr="9.1 p." DocPartId="6ffeaabff3194bb4b889eaf1b1d0ef09" PartId="4233842c51764e279196f503d7139f68"/>
        <Part Type="punktas" Nr="9.2" Abbr="9.2 p." DocPartId="a6f4978dfdd14188b86e02a7f105ded5" PartId="1c15b2eec678490cbafe4fe505e3d720">
          <Part Type="punktas" Nr="9.2.1" Abbr="9.2.1 p." DocPartId="45e91a5751bf43a2a5757558902628ab" PartId="c804b9c304c64817a49382ef5fe298c9"/>
          <Part Type="punktas" Nr="9.2.2" Abbr="9.2.2 p." DocPartId="23d57764bcfc4836ac3b430dff035c14" PartId="079d9a2aec42466bacc4da7babd687eb"/>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0a7e20cc15554eed8fb2f12205184d62"/>
        <Part Type="punktas" Nr="9.4" Abbr="9.4 p." DocPartId="64472aab01ff450e89b7bfdf3508f94a" PartId="0f91ad199d6e4c2c8ad0badbec52b2c9"/>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8ad0cabc41774c36b71f088a9de7985c"/>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DocPartId="bb76d0ce803d47d79898e68370d10d63" PartId="eb224e0077cb4d8db47f52c157b6f338"/>
      <Part Type="punktas" Nr="13" Abbr="13 p." DocPartId="846b69f1306c462da4d3ec9f3d70551d" PartId="93578d7079484365896180455a28b208"/>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5a6d13416aad4a0db2b50ceaa732f855"/>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VI SKYRIUS. ATITIKTIES ESMINIAMS STATINIŲ REIKALAVIMAMS (IŠSKYRUS GAISRINĖS SAUGOS) UŽTIKRINIMAS“;" DocPartId="a7321ee07e774cc29e0ff42dcf260c7d" PartId="b13f691ddf284fb18589871637ff982c">
      <Part Type="skirsnis" Nr="1" Title="MECHANINIS ATSPARUMAS IR PASTOVUMAS" DocPartId="aa541aa990bd45d0b7be9e6164eeed29" PartId="2f0ea97d52de4256bf813d094ad62523">
        <Part Type="punktas" Nr="21" Abbr="21 p." DocPartId="f07e33b507094d92b8c523fa899da077" PartId="8bd9db51e29f480daf2a944f09af298c"/>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e96c0492dc3b468599bc6ae3f6bfc46a"/>
      <Part Type="skirsnis" Nr="3" Title="„III SKIRSNIS. HIGIENA, SVEIKATA IR APLINKA“;" DocPartId="6cf51ae7822e48ad926700ef4e475a9a" PartId="55e3c2ef278544289e6d752ab58f0e2a">
        <Part Type="punktas" Nr="41" Abbr="41 p." DocPartId="99e3861d325940469e7f0bd86ca86008" PartId="3a9a565f226e413f9ea8e8bdb03a3d54"/>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fa9e74d510714b9e8ff3d7f3168c69f7"/>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89fc87fe6815490b84bd6047e5546157"/>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09b3d931f612474397c7d52c0c258985"/>
      </Part>
      <Part Type="skirsnis" Nr="4" Title="„IV SKIRSNIS. SAUGA IR GALIMYBĖ PATEKTI Į STATINĮ NAUDOJIMO METU“;" DocPartId="7088438cf22444e39cede8927ae115b8" PartId="023d848d5235473b89913b4f02107ef9">
        <Part Type="punktas" Nr="45" Abbr="45 p." DocPartId="1611160a808e4865a659afb34c383366" PartId="838284a9ae0547b9822c357e0bb7e04f"/>
        <Part Type="punktas" Nr="46" Abbr="46 p." DocPartId="4171c1ee49bd4b36aec537368b716879" PartId="5f76fd66dc8946fa9e6f85add7803780"/>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0-1" Abbr="50-1 p." DocPartId="afa4671746f34078b93caab408d5a75e" PartId="9ad7867c92b34e4896e44a810c7b1cd9"/>
        <Part Type="punktas" Nr="51" Abbr="51 p." DocPartId="ddafd104db2a46a5a087fa6066bfd873" PartId="4e3ee65b9a564a34969c2dc5a7d325b3"/>
      </Part>
      <Part Type="skirsnis" Nr="5" Title="APSAUGA NUO TRIUKŠMO" DocPartId="35336c2208ea412f9321d869b548e8e9" PartId="e5114aa41b084141ad996ca01fad9966">
        <Part Type="punktas" Nr="52" Abbr="52 p." DocPartId="796721d08a4e49aa8802e91cb0e4427e" PartId="290d3317cc0e49e4af5156897c9b9b0a"/>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47444b8fb56b4f6283b3403f57d2a6c2">
          <Part Type="punktas" Nr="56.1" Abbr="56.1 p." DocPartId="659d60db2741417ead62ab9b7825eb42" PartId="bd370e41c3b2479c8e365b645dddd15c"/>
          <Part Type="punktas" Nr="56.2" Abbr="56.2 p." DocPartId="d96bdeada203471d9ddffa99518c0e5a" PartId="7766a4a728cb4c62a36e368d8cd6d3d6"/>
          <Part Type="punktas" Nr="56.3" Abbr="56.3 p." DocPartId="00ef9271bb524cd88593a67487e47948" PartId="dcbd2901c33945839833a7a603ef9e81"/>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a868c8af9c9540a2a80579cd29e9d195"/>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1f2af5502f54daf9eb40395643ee85b"/>
  <Part Type="priedas" Nr="2" Abbr="2 pr." Title="MAŽIAUSI LEISTINI SANITARINIAI ATSTUMAI (M) TARP STATINIŲ ATSIŽVELGIANT Į JŲ PASKIRTĮ" DocPartId="c0428d03410f4b2489c603da778a7ea2" PartId="91069088733043d7b2229a539a1bc6de">
    <Part Type="lentele" DocPartId="f4b4e0aceb344a899a9f51efce3cbab6" PartId="a4fe6059e6934682a0d03b1283f30688"/>
    <Part Type="pastaba" DocPartId="b1f4ec45f26545e4a0819391c46d28f8" PartId="46595d4beaa749438898fa4136618027">
      <Part Type="punktas" Nr="1" Abbr="2 pr. 1 p." DocPartId="468b0f1803084d3e92a3b04bb7a25272" PartId="f831ffc99a4e4e3a84f6202e7f291763"/>
      <Part Type="punktas" Nr="2" Abbr="2 pr. 2 p." DocPartId="76101b038e744dffb0470a5f40767976" PartId="530eb809694b4ac9addb9d7847544301"/>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DocPartId="3b9494481e894d679a0033ebb692c25f" PartId="8a1e24a1c0ba43fa87f7a11505c2bf49"/>
    <Part Type="pastaba" DocPartId="54ef598af04d4784831fc7c100fa183e" PartId="93f1147e268f4f64b026ebcc4f981e19"/>
    <Part Type="pabaiga" DocPartId="5a31e15b0c2c423c902e1295992e1577" PartId="bca83a550c3c48a8ac5a974a50f03dca"/>
  </Part>
  <Part Type="priedas" Nr="4" Abbr="4 pr." Title="NAMO PATALPŲ MAŽIAUSI LEISTINI AUKŠČIAI" DocPartId="2ff19d80e5264bbd96427d315366c466" PartId="587b2909be3f4240890c7d2e4183105d">
    <Part Type="lentele" DocPartId="99705ba6dec944a8a37e547b9e996775" PartId="49c1c60d79bd4c73b0f8fad76be729f4"/>
    <Part Type="pastaba" DocPartId="446906eda9b84843aa12ade0b3be4415" PartId="de8e6d5819cc46729e9afd35ae349641"/>
    <Part Type="pabaiga"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DocPartId="8556a900d0014a4b9cd892c774248702" PartId="ff0c8d6271314ae1856ff1613ec1752c"/>
    <Part Type="pabaiga"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DocPartId="781f183bf14840f2a9fabc1b913795f1" PartId="61df845460f1464b84f7fb7dda099fe8"/>
    <Part Type="pastaba" DocPartId="506e1343f677417d86cf307ffae9d738" PartId="a12bf71c8633471e9a6c9e163b40f8c3"/>
    <Part Type="pabaiga"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DocPartId="1f2bd4ca8d4b4d46b1dc7ccd97b6d0ff" PartId="8f6109aa842444cbac5fa4aa049f190d">
      <Part Type="punktas" Nr="1.1" Abbr="8 pr. 1.1 p." DocPartId="a85a670f91c143d8a44c2ecd6dd6d7a4" PartId="ca72f5828f924048ae4b1c534c49f81e"/>
      <Part Type="punktas" Nr="1.2" Abbr="1.2 p." Title="" DocPartId="15f8896ba3e8439f88f79b50538d3eb5" PartId="999f222b66dc4847a005a80d2d068f49"/>
      <Part Type="punktas" Nr="1.3" Abbr="1.3 p." Title="" DocPartId="d8e1b854d6b84e188d3763992ed7b3fe" PartId="1540ad05991d4623a106b7784cdc6f31"/>
      <Part Type="punktas" Nr="1.4" Abbr="1.4 p." DocPartId="68c9f71939e140e5b1044ca94d456deb" PartId="ad107fe7534740d3984ad37ef7ebbf66"/>
    </Part>
    <Part Type="punktas" Nr="2" Abbr="8 pr. 2 p." DocPartId="a313a56e8c694fd19a7b33dfce59f246" PartId="6f7de1aebdba476687bb007839b614e2"/>
    <Part Type="punktas" Nr="3" Abbr="8 pr. 3 p." DocPartId="42ec89dd2921406b826a41b3ee246a56" PartId="c1325651c1524a2baca487608669acf5"/>
    <Part Type="pabaiga"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e50f8cf339c747bfb8c0e94bd721550b"/>
    <Part Type="pastaba" Nr="1-1" DocPartId="20f9df3207824cb58e70ac39a26a927e" PartId="129544fdacce4ce28b45ddbb59410a34">
      <Part Type="punktas" Nr="1-1.1" Abbr="1-1.1 p." DocPartId="53f961fd262243e38788945293b99411" PartId="0bd07d3deee44933b92f54f744a9eb78"/>
      <Part Type="punktas" Nr="1-1.2" Abbr="1-1.2 p." DocPartId="433c8b4dc58f492bbef2090a4d24cf61" PartId="4fb406da8167491f96102d77c6d33025"/>
      <Part Type="punktas" Nr="1-1.3" Abbr="1-1.3 p." DocPartId="dafccaea794747e3ab0c7a061c3a595e" PartId="2917af2b8c3141a99690c9d988efabd8"/>
    </Part>
    <Part Type="punktas" Nr="2" Abbr="9 pr. 2 p." DocPartId="0832381184fc40a4845d8183be9dded3" PartId="0dec064d067446c39757144552639da8"/>
    <Part Type="punktas" Nr="3" Abbr="9 pr. 3 p." DocPartId="59e8df13c7ca44cc82ec17062e737e74" PartId="6879e0edd248413c851716811d3d55c0"/>
    <Part Type="punktas" Nr="4" Abbr="9 pr. 4 p." DocPartId="880ddc971e0747c0b1ca34ea995a535e" PartId="0df996c774c44bda8b079efcae81378c"/>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43361EC-448A-4F1F-9724-1270D28051C6}">
  <ds:schemaRefs>
    <ds:schemaRef ds:uri="http://lrs.lt/TAIS/DocParts"/>
  </ds:schemaRefs>
</ds:datastoreItem>
</file>

<file path=customXml/itemProps3.xml><?xml version="1.0" encoding="utf-8"?>
<ds:datastoreItem xmlns:ds="http://schemas.openxmlformats.org/officeDocument/2006/customXml" ds:itemID="{0A394132-7911-446D-B193-44817884951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177</TotalTime>
  <Pages>20</Pages>
  <Words>34443</Words>
  <Characters>19633</Characters>
  <Application>Microsoft Office Word</Application>
  <DocSecurity>0</DocSecurity>
  <Lines>163</Lines>
  <Paragraphs>107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53969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2018-02-08T06:20:00Z</dcterms:modified>
  <revision>23</revision>
</coreProperties>
</file>