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d96b286c606c49a986804a6d835a1c2e"/>
        <w:lock w:val="sdtLocked"/>
        <w:richText/>
      </w:sdtPr>
      <w:sdtContent>
        <w:p>
          <w:pPr>
            <w:rPr>
              <w:rFonts w:ascii="Times New Roman" w:hAnsi="Times New Roman"/>
              <w:b/>
              <w:i/>
            </w:rPr>
          </w:pPr>
          <w:r>
            <w:rPr>
              <w:rFonts w:ascii="Times New Roman" w:hAnsi="Times New Roman"/>
              <w:b/>
              <w:i/>
            </w:rPr>
            <w:t>Įsakymas netenka galios 2027-01-01:</w:t>
          </w:r>
        </w:p>
        <w:p>
          <w:pPr>
            <w:jc w:val="both"/>
            <w:rPr>
              <w:rFonts w:ascii="Times New Roman" w:hAnsi="Times New Roman"/>
              <w:i/>
            </w:rPr>
          </w:pPr>
          <w:r>
            <w:rPr>
              <w:rFonts w:ascii="Times New Roman" w:hAnsi="Times New Roman"/>
              <w:sz w:val="20"/>
              <w:i/>
            </w:rPr>
            <w:t>
                    Lietuvos Respublikos aplinkos ministerija,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753873807a8c11f1b53dfa020e517810">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Cs/>
              <w:i/>
            </w:rPr>
            <w:t>,
2026-07-08,
paskelbta TAR 2026-07-08, i. k. 2026-11645                </w:t>
          </w:r>
        </w:p>
        <w:p>
          <w:pPr>
            <w:jc w:val="both"/>
            <w:rPr>
              <w:rFonts w:ascii="Times New Roman" w:hAnsi="Times New Roman"/>
              <w:i/>
            </w:rPr>
          </w:pPr>
          <w:r>
            <w:rPr>
              <w:rFonts w:ascii="Times New Roman" w:hAnsi="Times New Roman"/>
              <w:sz w:val="20"/>
              <w:i/>
            </w:rPr>
            <w:t>Dėl statybos techninio reglamento STR 2.02.12:2026 „Pastatai“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2017-08-25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16C15369E365">
            <w:r w:rsidRPr="00532B9F">
              <w:rPr>
                <w:rFonts w:ascii="Times New Roman" w:eastAsia="MS Mincho" w:hAnsi="Times New Roman"/>
                <w:sz w:val="20"/>
                <w:i/>
                <w:iCs/>
                <w:color w:val="0000FF" w:themeColor="hyperlink"/>
                <w:u w:val="single"/>
              </w:rPr>
              <w:t>80-2908</w:t>
            </w:r>
          </w:fldSimple>
          <w:r>
            <w:rPr>
              <w:rFonts w:ascii="Times New Roman" w:eastAsia="MS Mincho" w:hAnsi="Times New Roman"/>
              <w:sz w:val="20"/>
              <w:i/>
              <w:iCs/>
            </w:rPr>
            <w:t>, i. k. 105301MISAK00D1-309</w:t>
          </w:r>
        </w:p>
        <w:p>
          <w:pPr>
            <w:jc w:val="both"/>
            <w:rPr>
              <w:rFonts w:ascii="Times New Roman" w:hAnsi="Times New Roman"/>
              <w:sz w:val="20"/>
            </w:rPr>
          </w:pPr>
        </w:p>
        <w:p>
          <w:pPr>
            <w:tabs>
              <w:tab w:val="center" w:pos="4153"/>
              <w:tab w:val="right" w:pos="8306"/>
            </w:tabs>
            <w:rPr>
              <w:lang w:val="en-GB"/>
            </w:rPr>
          </w:pPr>
        </w:p>
        <w:p>
          <w:pPr>
            <w:jc w:val="center"/>
            <w:rPr>
              <w:b/>
              <w:color w:val="000000"/>
              <w:lang w:eastAsia="lt-LT"/>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7" o:title=""/>
              </v:shape>
              <w:control r:id="rId18" w:name="Control 2" w:shapeid="_x0000_s1026"/>
            </w:pict>
            <w:t>LIETUVOS RESPUBLIKOS APLINKOS MINISTRAS</w:t>
          </w:r>
        </w:p>
        <w:p>
          <w:pPr>
            <w:jc w:val="center"/>
            <w:rPr>
              <w:color w:val="000000"/>
              <w:lang w:eastAsia="lt-LT"/>
            </w:rPr>
          </w:pPr>
        </w:p>
        <w:p>
          <w:pPr>
            <w:jc w:val="center"/>
            <w:rPr>
              <w:b/>
              <w:color w:val="000000"/>
              <w:lang w:eastAsia="lt-LT"/>
            </w:rPr>
          </w:pPr>
          <w:r>
            <w:rPr>
              <w:b/>
              <w:color w:val="000000"/>
              <w:lang w:eastAsia="lt-LT"/>
            </w:rPr>
            <w:t>Į S A K Y M A S</w:t>
          </w:r>
        </w:p>
        <w:p>
          <w:pPr>
            <w:jc w:val="center"/>
            <w:rPr>
              <w:b/>
              <w:color w:val="000000"/>
              <w:lang w:eastAsia="lt-LT"/>
            </w:rPr>
          </w:pPr>
          <w:r>
            <w:rPr>
              <w:b/>
              <w:color w:val="000000"/>
              <w:lang w:eastAsia="lt-LT"/>
            </w:rPr>
            <w:t>DĖL STATYBOS TECHNINIO REGLAMENTO STR 2.03.02:2005 „GAMYBOS, PRAMONĖS IR SANDĖLIAVIMO STATINIŲ SKLYPŲ TVARKYMAS“ PATVIRTINIMO</w:t>
          </w:r>
        </w:p>
        <w:p>
          <w:pPr>
            <w:jc w:val="center"/>
            <w:rPr>
              <w:color w:val="000000"/>
              <w:lang w:eastAsia="lt-LT"/>
            </w:rPr>
          </w:pPr>
        </w:p>
        <w:p>
          <w:pPr>
            <w:jc w:val="center"/>
            <w:rPr>
              <w:color w:val="000000"/>
              <w:lang w:eastAsia="lt-LT"/>
            </w:rPr>
          </w:pPr>
          <w:r>
            <w:rPr>
              <w:color w:val="000000"/>
              <w:lang w:eastAsia="lt-LT"/>
            </w:rPr>
            <w:t>2005 m. birželio 17 d. Nr. D1-309</w:t>
          </w:r>
        </w:p>
        <w:p>
          <w:pPr>
            <w:jc w:val="center"/>
            <w:rPr>
              <w:color w:val="000000"/>
              <w:lang w:eastAsia="lt-LT"/>
            </w:rPr>
          </w:pPr>
          <w:r>
            <w:rPr>
              <w:color w:val="000000"/>
              <w:lang w:eastAsia="lt-LT"/>
            </w:rPr>
            <w:t>Vilnius</w:t>
          </w:r>
        </w:p>
        <w:p>
          <w:pPr>
            <w:ind w:firstLine="709"/>
            <w:jc w:val="both"/>
            <w:rPr>
              <w:color w:val="000000"/>
              <w:lang w:eastAsia="lt-LT"/>
            </w:rPr>
          </w:pPr>
        </w:p>
        <w:p>
          <w:pPr>
            <w:ind w:firstLine="709"/>
            <w:jc w:val="both"/>
            <w:rPr>
              <w:color w:val="000000"/>
              <w:lang w:eastAsia="lt-LT"/>
            </w:rPr>
          </w:pPr>
        </w:p>
        <w:sdt>
          <w:sdtPr>
            <w:alias w:val="preambule"/>
            <w:tag w:val="part_15124e865a8c4bba942f9c75456ed9d3"/>
            <w:lock w:val="sdtLocked"/>
            <w:richText/>
          </w:sdtPr>
          <w:sdtContent>
            <w:p>
              <w:pPr>
                <w:ind w:firstLine="709"/>
                <w:jc w:val="both"/>
              </w:pPr>
              <w:r>
                <w:t xml:space="preserve">Vadovaudamasis Lietuvos Respublikos statybos įstatymo (Žin., 1996, Nr. </w:t>
              </w:r>
              <w:hyperlink r:id="rId19" w:tgtFrame="_blank" w:history="1">
                <w:r>
                  <w:rPr>
                    <w:color w:val="0000FF" w:themeColor="hyperlink"/>
                    <w:u w:val="single"/>
                  </w:rPr>
                  <w:t>32-788</w:t>
                </w:r>
              </w:hyperlink>
              <w:r>
                <w:t xml:space="preserve">; 2001, Nr. </w:t>
              </w:r>
              <w:hyperlink r:id="rId20" w:tgtFrame="_blank" w:history="1">
                <w:r>
                  <w:rPr>
                    <w:color w:val="0000FF" w:themeColor="hyperlink"/>
                    <w:u w:val="single"/>
                  </w:rPr>
                  <w:t>101-3597</w:t>
                </w:r>
              </w:hyperlink>
              <w:r>
                <w:t xml:space="preserve">; 2004, Nr. </w:t>
              </w:r>
              <w:hyperlink r:id="rId21" w:tgtFrame="_blank" w:history="1">
                <w:r>
                  <w:rPr>
                    <w:color w:val="0000FF" w:themeColor="hyperlink"/>
                    <w:u w:val="single"/>
                  </w:rPr>
                  <w:t>73-2545</w:t>
                </w:r>
              </w:hyperlink>
              <w:r>
                <w:t xml:space="preserve">) 8 straipsnio 5 dalimi ir Lietuvos Respublikos Vyriausybės 2002 m. vasario 26 d. nutarimo Nr. 280 „Dėl Lietuvos Respublikos statybos įstatymo įgyvendinimo“ (Žin., 2002, Nr. </w:t>
              </w:r>
              <w:hyperlink r:id="rId22" w:tgtFrame="_blank" w:history="1">
                <w:r>
                  <w:rPr>
                    <w:color w:val="0000FF" w:themeColor="hyperlink"/>
                    <w:u w:val="single"/>
                  </w:rPr>
                  <w:t>22-819</w:t>
                </w:r>
              </w:hyperlink>
              <w:r>
                <w:t>) 1.2 punktu,</w:t>
              </w:r>
            </w:p>
          </w:sdtContent>
        </w:sdt>
        <w:sdt>
          <w:sdtPr>
            <w:alias w:val="1 p."/>
            <w:tag w:val="part_04ffc57e600f4b10bbae7e9b5b17794e"/>
            <w:lock w:val="sdtLocked"/>
            <w:richText/>
          </w:sdtPr>
          <w:sdtContent>
            <w:p>
              <w:pPr>
                <w:ind w:firstLine="709"/>
                <w:jc w:val="both"/>
              </w:pPr>
              <w:sdt>
                <w:sdtPr>
                  <w:alias w:val="Numeris"/>
                  <w:tag w:val="nr_04ffc57e600f4b10bbae7e9b5b17794e"/>
                  <w:lock w:val="sdtLocked"/>
                  <w:richText/>
                </w:sdtPr>
                <w:sdtContent>
                  <w:r>
                    <w:t>1</w:t>
                  </w:r>
                </w:sdtContent>
              </w:sdt>
              <w:r>
                <w:t xml:space="preserve">. </w:t>
              </w:r>
              <w:r>
                <w:rPr>
                  <w:spacing w:val="60"/>
                </w:rPr>
                <w:t>Tvirtinu</w:t>
              </w:r>
              <w:r>
                <w:t xml:space="preserve"> statybos techninį reglamentą STR 2.03.02:2005 „Gamybos, pramonės ir sandėliavimo statinių sklypų tvarkymas“ (pridedama).</w:t>
              </w:r>
            </w:p>
          </w:sdtContent>
        </w:sdt>
        <w:sdt>
          <w:sdtPr>
            <w:alias w:val="2 p."/>
            <w:tag w:val="part_26821177f388482fb8d18120a1bb99df"/>
            <w:lock w:val="sdtLocked"/>
            <w:richText/>
          </w:sdtPr>
          <w:sdtContent>
            <w:p>
              <w:pPr>
                <w:ind w:firstLine="709"/>
                <w:jc w:val="both"/>
              </w:pPr>
              <w:sdt>
                <w:sdtPr>
                  <w:alias w:val="Numeris"/>
                  <w:tag w:val="nr_26821177f388482fb8d18120a1bb99df"/>
                  <w:lock w:val="sdtLocked"/>
                  <w:richText/>
                </w:sdtPr>
                <w:sdtContent>
                  <w:r>
                    <w:t>2</w:t>
                  </w:r>
                </w:sdtContent>
              </w:sdt>
              <w:r>
                <w:t>. Nustatau, kad šio statybos techninio reglamento nuostatos privalomos projektuojant gamybos, pramonės ir sandėliavimo statinius, kurių projektavimui statinio projektavimo sąlygų sąvadus gauti prašymai pateikti po šio įsakymo įsigaliojimo.</w:t>
              </w:r>
            </w:p>
          </w:sdtContent>
        </w:sdt>
        <w:sdt>
          <w:sdtPr>
            <w:alias w:val="signatura"/>
            <w:tag w:val="part_7504299906a44a6480356f8b837a2eae"/>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ARŪNAS KUNDROTAS</w:t>
              </w:r>
            </w:p>
          </w:sdtContent>
        </w:sdt>
      </w:sdtContent>
    </w:sdt>
    <w:sdt>
      <w:sdtPr>
        <w:alias w:val="patvirtinta"/>
        <w:tag w:val="part_6d64bd7e8f3c454ab26cbeb05b2501ed"/>
        <w:lock w:val="sdtLocked"/>
        <w:richText/>
      </w:sdtPr>
      <w:sdtContent>
        <w:p>
          <w:pPr>
            <w:ind w:firstLine="5102"/>
          </w:pPr>
          <w:r>
            <w:br w:type="page"/>
          </w:r>
        </w:p>
        <w:p>
          <w:pPr>
            <w:ind w:firstLine="5102"/>
          </w:pPr>
          <w:r>
            <w:t>PATVIRTINTA</w:t>
          </w:r>
        </w:p>
        <w:p>
          <w:pPr>
            <w:ind w:firstLine="5102"/>
          </w:pPr>
          <w:r>
            <w:t>Lietuvos Respublikos aplinkos ministro</w:t>
          </w:r>
        </w:p>
        <w:p>
          <w:pPr>
            <w:ind w:firstLine="5102"/>
          </w:pPr>
          <w:r>
            <w:t>2005 m. birželio 17 d. įsakymu Nr. D1-309</w:t>
          </w:r>
        </w:p>
        <w:p>
          <w:pPr>
            <w:ind w:firstLine="709"/>
          </w:pPr>
        </w:p>
        <w:sdt>
          <w:sdtPr>
            <w:alias w:val="Pavadinimas"/>
            <w:tag w:val="title_6d64bd7e8f3c454ab26cbeb05b2501ed"/>
            <w:lock w:val="sdtLocked"/>
            <w:richText/>
          </w:sdtPr>
          <w:sdtContent>
            <w:p>
              <w:pPr>
                <w:jc w:val="center"/>
                <w:rPr>
                  <w:b/>
                </w:rPr>
              </w:pPr>
              <w:r>
                <w:rPr>
                  <w:b/>
                </w:rPr>
                <w:t>STATYBOS TECHNINIS REGLAMENTAS</w:t>
              </w:r>
            </w:p>
            <w:p>
              <w:pPr>
                <w:jc w:val="center"/>
                <w:rPr>
                  <w:b/>
                </w:rPr>
              </w:pPr>
              <w:r>
                <w:rPr>
                  <w:b/>
                </w:rPr>
                <w:t>STR 2.03.02:2005</w:t>
              </w:r>
            </w:p>
          </w:sdtContent>
        </w:sdt>
        <w:p>
          <w:pPr>
            <w:jc w:val="center"/>
            <w:rPr>
              <w:b/>
            </w:rPr>
          </w:pPr>
        </w:p>
        <w:p>
          <w:pPr>
            <w:jc w:val="center"/>
            <w:rPr>
              <w:b/>
            </w:rPr>
          </w:pPr>
          <w:r>
            <w:rPr>
              <w:b/>
            </w:rPr>
            <w:t>GAMYBOS, PRAMONĖS IR SANDĖLIAVIMO STATINIŲ SKLYPŲ TVARKYMAS</w:t>
          </w:r>
        </w:p>
        <w:p>
          <w:pPr>
            <w:jc w:val="center"/>
            <w:rPr>
              <w:b/>
            </w:rPr>
          </w:pPr>
        </w:p>
        <w:sdt>
          <w:sdtPr>
            <w:alias w:val="skyrius"/>
            <w:tag w:val="part_25bbd91699b148d1b8add4b34a047438"/>
            <w:lock w:val="sdtLocked"/>
            <w:richText/>
          </w:sdtPr>
          <w:sdtContent>
            <w:p>
              <w:pPr>
                <w:jc w:val="center"/>
                <w:rPr>
                  <w:b/>
                </w:rPr>
              </w:pPr>
              <w:sdt>
                <w:sdtPr>
                  <w:alias w:val="Numeris"/>
                  <w:tag w:val="nr_25bbd91699b148d1b8add4b34a047438"/>
                  <w:lock w:val="sdtLocked"/>
                  <w:richText/>
                </w:sdtPr>
                <w:sdtContent>
                  <w:r>
                    <w:rPr>
                      <w:b/>
                    </w:rPr>
                    <w:t>I</w:t>
                  </w:r>
                </w:sdtContent>
              </w:sdt>
              <w:r>
                <w:rPr>
                  <w:b/>
                </w:rPr>
                <w:t xml:space="preserve"> SKYRIUS. </w:t>
              </w:r>
              <w:sdt>
                <w:sdtPr>
                  <w:alias w:val="Pavadinimas"/>
                  <w:tag w:val="title_25bbd91699b148d1b8add4b34a047438"/>
                  <w:lock w:val="sdtLocked"/>
                  <w:richText/>
                </w:sdtPr>
                <w:sdtContent>
                  <w:r>
                    <w:rPr>
                      <w:b/>
                    </w:rPr>
                    <w:t>BENDROSIOS NUOSTATOS</w:t>
                  </w:r>
                </w:sdtContent>
              </w:sdt>
            </w:p>
            <w:p>
              <w:pPr>
                <w:jc w:val="center"/>
                <w:rPr>
                  <w:b/>
                </w:rPr>
              </w:pPr>
            </w:p>
            <w:sdt>
              <w:sdtPr>
                <w:alias w:val="1 p."/>
                <w:tag w:val="part_62066cfc878d4b4aa24230bc1e3c728b"/>
                <w:lock w:val="sdtLocked"/>
                <w:richText/>
              </w:sdtPr>
              <w:sdtContent>
                <w:p>
                  <w:pPr>
                    <w:ind w:firstLine="709"/>
                    <w:jc w:val="both"/>
                  </w:pPr>
                  <w:sdt>
                    <w:sdtPr>
                      <w:alias w:val="Numeris"/>
                      <w:tag w:val="nr_62066cfc878d4b4aa24230bc1e3c728b"/>
                      <w:lock w:val="sdtLocked"/>
                      <w:richText/>
                    </w:sdtPr>
                    <w:sdtContent>
                      <w:r>
                        <w:t>1</w:t>
                      </w:r>
                    </w:sdtContent>
                  </w:sdt>
                  <w:r>
                    <w:t>. Šis statybos techninis reglamentas (toliau – Reglamentas) nustato naujai statomų, rekonstruojamų ir kapitališkai remontuojamų [4.3.3] gamybos, pramonės, sandėliavimo [4.3.6] pastatų bei šių paskirčių inžinerinių statinių sklypų tvarkymo bendruosius reikalavimus, kuriuos privaloma taikyti rengiant šių statinių projektų sklypo sutvarkymo dalis.</w:t>
                  </w:r>
                </w:p>
              </w:sdtContent>
            </w:sdt>
            <w:sdt>
              <w:sdtPr>
                <w:alias w:val="2 p."/>
                <w:tag w:val="part_04f00e67be19405e83a63a8b9eb3f661"/>
                <w:lock w:val="sdtLocked"/>
                <w:richText/>
              </w:sdtPr>
              <w:sdtContent>
                <w:p>
                  <w:pPr>
                    <w:widowControl w:val="0"/>
                    <w:suppressAutoHyphens/>
                    <w:ind w:firstLine="709"/>
                    <w:jc w:val="both"/>
                  </w:pPr>
                  <w:sdt>
                    <w:sdtPr>
                      <w:alias w:val="Numeris"/>
                      <w:tag w:val="nr_04f00e67be19405e83a63a8b9eb3f661"/>
                      <w:lock w:val="sdtLocked"/>
                      <w:richText/>
                    </w:sdtPr>
                    <w:sdtContent>
                      <w:r>
                        <w:rPr>
                          <w:color w:val="000000"/>
                        </w:rPr>
                        <w:t>2</w:t>
                      </w:r>
                    </w:sdtContent>
                  </w:sdt>
                  <w:r>
                    <w:rPr>
                      <w:color w:val="000000"/>
                    </w:rPr>
                    <w:t>. Priimant gamybos, pramonės ir sandėliavimo pastatų bei šių paskirčių inžinerinių statinių sklypų (toliau – Sklypas), tvarkymo projektinius sprendinius, be Reglamento nustatytų reikalavimų, taip pat privaloma vadovautis Statybos įstatymo [4.1] 20 straipsnio 3 dalyje nurodytais dokumentais.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5DC74875D7">
                    <w:r w:rsidRPr="00532B9F">
                      <w:rPr>
                        <w:rFonts w:ascii="Times New Roman" w:eastAsia="MS Mincho" w:hAnsi="Times New Roman"/>
                        <w:sz w:val="20"/>
                        <w:i/>
                        <w:iCs/>
                        <w:color w:val="0000FF" w:themeColor="hyperlink"/>
                        <w:u w:val="single"/>
                      </w:rPr>
                      <w:t>D1-851</w:t>
                    </w:r>
                  </w:fldSimple>
                  <w:r>
                    <w:rPr>
                      <w:rFonts w:ascii="Times New Roman" w:eastAsia="MS Mincho" w:hAnsi="Times New Roman"/>
                      <w:sz w:val="20"/>
                      <w:i/>
                      <w:iCs/>
                    </w:rPr>
                    <w:t>,
2011-11-05,
Žin., 2011, Nr.
134-6384 (2011-11-10), i. k. 111301MISAK00D1-851            </w:t>
                  </w:r>
                </w:p>
                <w:p/>
              </w:sdtContent>
            </w:sdt>
            <w:sdt>
              <w:sdtPr>
                <w:alias w:val="3 p."/>
                <w:tag w:val="part_5713dc8898a244df9e21002891c06c85"/>
                <w:lock w:val="sdtLocked"/>
                <w:richText/>
              </w:sdtPr>
              <w:sdtContent>
                <w:p>
                  <w:pPr>
                    <w:ind w:firstLine="709"/>
                    <w:jc w:val="both"/>
                  </w:pPr>
                  <w:sdt>
                    <w:sdtPr>
                      <w:alias w:val="Numeris"/>
                      <w:tag w:val="nr_5713dc8898a244df9e21002891c06c85"/>
                      <w:lock w:val="sdtLocked"/>
                      <w:richText/>
                    </w:sdtPr>
                    <w:sdtContent>
                      <w:r>
                        <w:t>3</w:t>
                      </w:r>
                    </w:sdtContent>
                  </w:sdt>
                  <w:r>
                    <w:t>. Reglamentas yra privalomas visiems statybos dalyviams, inžinerinių tinklų ir susisiekimo komunikacijų savininkams (naudotojams), viešojo administravimo subjektams, taip pat visiems juridiniams ir fiziniams asmenims, kurių veikla susijusi su statinių projektavimu, statyba, naudojimu ir priežiūra [4.1.1].</w:t>
                  </w:r>
                </w:p>
                <w:p>
                  <w:pPr>
                    <w:ind w:firstLine="709"/>
                    <w:jc w:val="both"/>
                  </w:pPr>
                </w:p>
              </w:sdtContent>
            </w:sdt>
          </w:sdtContent>
        </w:sdt>
        <w:sdt>
          <w:sdtPr>
            <w:alias w:val="skyrius"/>
            <w:tag w:val="part_9d81b88feb6a46049d6f7d102dbb53ba"/>
            <w:lock w:val="sdtLocked"/>
            <w:richText/>
          </w:sdtPr>
          <w:sdtContent>
            <w:p>
              <w:pPr>
                <w:jc w:val="center"/>
                <w:rPr>
                  <w:b/>
                </w:rPr>
              </w:pPr>
              <w:sdt>
                <w:sdtPr>
                  <w:alias w:val="Numeris"/>
                  <w:tag w:val="nr_9d81b88feb6a46049d6f7d102dbb53ba"/>
                  <w:lock w:val="sdtLocked"/>
                  <w:richText/>
                </w:sdtPr>
                <w:sdtContent>
                  <w:r>
                    <w:rPr>
                      <w:b/>
                    </w:rPr>
                    <w:t>II</w:t>
                  </w:r>
                </w:sdtContent>
              </w:sdt>
              <w:r>
                <w:rPr>
                  <w:b/>
                </w:rPr>
                <w:t xml:space="preserve"> SKYRIUS. </w:t>
              </w:r>
              <w:sdt>
                <w:sdtPr>
                  <w:alias w:val="Pavadinimas"/>
                  <w:tag w:val="title_9d81b88feb6a46049d6f7d102dbb53ba"/>
                  <w:lock w:val="sdtLocked"/>
                  <w:richText/>
                </w:sdtPr>
                <w:sdtContent>
                  <w:r>
                    <w:rPr>
                      <w:b/>
                    </w:rPr>
                    <w:t>NUORODOS</w:t>
                  </w:r>
                </w:sdtContent>
              </w:sdt>
            </w:p>
            <w:p>
              <w:pPr>
                <w:jc w:val="center"/>
                <w:rPr>
                  <w:b/>
                </w:rPr>
              </w:pPr>
            </w:p>
            <w:sdt>
              <w:sdtPr>
                <w:alias w:val="4 p."/>
                <w:tag w:val="part_3ba99b64915d433b8c31be56927f097e"/>
                <w:lock w:val="sdtLocked"/>
                <w:richText/>
              </w:sdtPr>
              <w:sdtContent>
                <w:p>
                  <w:pPr>
                    <w:widowControl w:val="0"/>
                    <w:suppressAutoHyphens/>
                    <w:ind w:firstLine="709"/>
                    <w:jc w:val="both"/>
                    <w:rPr>
                      <w:color w:val="000000"/>
                    </w:rPr>
                  </w:pPr>
                  <w:sdt>
                    <w:sdtPr>
                      <w:alias w:val="Numeris"/>
                      <w:tag w:val="nr_3ba99b64915d433b8c31be56927f097e"/>
                      <w:lock w:val="sdtLocked"/>
                      <w:richText/>
                    </w:sdtPr>
                    <w:sdtContent>
                      <w:r>
                        <w:rPr>
                          <w:color w:val="000000"/>
                        </w:rPr>
                        <w:t>4</w:t>
                      </w:r>
                    </w:sdtContent>
                  </w:sdt>
                  <w:r>
                    <w:rPr>
                      <w:color w:val="000000"/>
                    </w:rPr>
                    <w:t>. Reglamente pateikiamos nuorodos į šiuos teisės aktus:</w:t>
                  </w:r>
                </w:p>
                <w:sdt>
                  <w:sdtPr>
                    <w:alias w:val="4.1 p."/>
                    <w:tag w:val="part_1f4d455756f947f8b66a83fa212c7013"/>
                    <w:lock w:val="sdtLocked"/>
                    <w:richText/>
                  </w:sdtPr>
                  <w:sdtContent>
                    <w:p>
                      <w:pPr>
                        <w:widowControl w:val="0"/>
                        <w:suppressAutoHyphens/>
                        <w:ind w:firstLine="709"/>
                        <w:jc w:val="both"/>
                        <w:rPr>
                          <w:color w:val="000000"/>
                        </w:rPr>
                      </w:pPr>
                      <w:sdt>
                        <w:sdtPr>
                          <w:alias w:val="Numeris"/>
                          <w:tag w:val="nr_1f4d455756f947f8b66a83fa212c7013"/>
                          <w:lock w:val="sdtLocked"/>
                          <w:richText/>
                        </w:sdtPr>
                        <w:sdtContent>
                          <w:r>
                            <w:rPr>
                              <w:color w:val="000000"/>
                            </w:rPr>
                            <w:t>4.1</w:t>
                          </w:r>
                        </w:sdtContent>
                      </w:sdt>
                      <w:r>
                        <w:rPr>
                          <w:color w:val="000000"/>
                        </w:rPr>
                        <w:t xml:space="preserve">. Lietuvos Respublikos statybos įstatymą (Žin., 1996, Nr. </w:t>
                      </w:r>
                      <w:hyperlink r:id="rId23" w:tgtFrame="_blank" w:history="1">
                        <w:r>
                          <w:rPr>
                            <w:color w:val="0000FF" w:themeColor="hyperlink"/>
                            <w:u w:val="single"/>
                          </w:rPr>
                          <w:t>32-788</w:t>
                        </w:r>
                      </w:hyperlink>
                      <w:r>
                        <w:rPr>
                          <w:color w:val="000000"/>
                        </w:rPr>
                        <w:t>; 2001, Nr.</w:t>
                      </w:r>
                      <w:hyperlink r:id="rId24" w:tgtFrame="_blank" w:history="1">
                        <w:r>
                          <w:rPr>
                            <w:color w:val="0000FF" w:themeColor="hyperlink"/>
                            <w:u w:val="single"/>
                          </w:rPr>
                          <w:t>101-3597</w:t>
                        </w:r>
                      </w:hyperlink>
                      <w:r>
                        <w:rPr>
                          <w:color w:val="000000"/>
                        </w:rPr>
                        <w:t>);</w:t>
                      </w:r>
                    </w:p>
                  </w:sdtContent>
                </w:sdt>
                <w:sdt>
                  <w:sdtPr>
                    <w:alias w:val="4.2 p."/>
                    <w:tag w:val="part_91d0cf28c4b14c3dbe12b3630b45f1b8"/>
                    <w:lock w:val="sdtLocked"/>
                    <w:richText/>
                  </w:sdtPr>
                  <w:sdtContent>
                    <w:p>
                      <w:pPr>
                        <w:widowControl w:val="0"/>
                        <w:suppressAutoHyphens/>
                        <w:ind w:firstLine="709"/>
                        <w:jc w:val="both"/>
                        <w:rPr>
                          <w:color w:val="000000"/>
                        </w:rPr>
                      </w:pPr>
                      <w:sdt>
                        <w:sdtPr>
                          <w:alias w:val="Numeris"/>
                          <w:tag w:val="nr_91d0cf28c4b14c3dbe12b3630b45f1b8"/>
                          <w:lock w:val="sdtLocked"/>
                          <w:richText/>
                        </w:sdtPr>
                        <w:sdtContent>
                          <w:r>
                            <w:rPr>
                              <w:color w:val="000000"/>
                            </w:rPr>
                            <w:t>4.2</w:t>
                          </w:r>
                        </w:sdtContent>
                      </w:sdt>
                      <w:r>
                        <w:rPr>
                          <w:color w:val="000000"/>
                        </w:rPr>
                        <w:t>. Lietuvos Respublikos Vyriausybės nutarimus:</w:t>
                      </w:r>
                    </w:p>
                    <w:sdt>
                      <w:sdtPr>
                        <w:alias w:val="4.2.1 p."/>
                        <w:tag w:val="part_3bb24a7185b444edbaef736aa86cc88d"/>
                        <w:lock w:val="sdtLocked"/>
                        <w:richText/>
                      </w:sdtPr>
                      <w:sdtContent>
                        <w:p>
                          <w:pPr>
                            <w:widowControl w:val="0"/>
                            <w:suppressAutoHyphens/>
                            <w:ind w:firstLine="709"/>
                            <w:jc w:val="both"/>
                            <w:rPr>
                              <w:color w:val="000000"/>
                            </w:rPr>
                          </w:pPr>
                          <w:sdt>
                            <w:sdtPr>
                              <w:alias w:val="Numeris"/>
                              <w:tag w:val="nr_3bb24a7185b444edbaef736aa86cc88d"/>
                              <w:lock w:val="sdtLocked"/>
                              <w:richText/>
                            </w:sdtPr>
                            <w:sdtContent>
                              <w:r>
                                <w:rPr>
                                  <w:color w:val="000000"/>
                                </w:rPr>
                                <w:t>4.2.1</w:t>
                              </w:r>
                            </w:sdtContent>
                          </w:sdt>
                          <w:r>
                            <w:rPr>
                              <w:color w:val="000000"/>
                            </w:rPr>
                            <w:t xml:space="preserve">. 1992 m. gegužės 12 d. Nr. 343 „Dėl specialiųjų žemės ir miško naudojimo sąlygų patvirtinimo“ (Žin., 1992, Nr. </w:t>
                          </w:r>
                          <w:hyperlink r:id="rId25" w:tgtFrame="_blank" w:history="1">
                            <w:r>
                              <w:rPr>
                                <w:color w:val="0000FF" w:themeColor="hyperlink"/>
                                <w:u w:val="single"/>
                              </w:rPr>
                              <w:t>22-652</w:t>
                            </w:r>
                          </w:hyperlink>
                          <w:r>
                            <w:rPr>
                              <w:color w:val="000000"/>
                            </w:rPr>
                            <w:t>);</w:t>
                          </w:r>
                        </w:p>
                      </w:sdtContent>
                    </w:sdt>
                    <w:sdt>
                      <w:sdtPr>
                        <w:alias w:val="4.2.2 p."/>
                        <w:tag w:val="part_031e20127d2341b68c3599272738d484"/>
                        <w:lock w:val="sdtLocked"/>
                        <w:richText/>
                      </w:sdtPr>
                      <w:sdtContent>
                        <w:p>
                          <w:pPr>
                            <w:widowControl w:val="0"/>
                            <w:suppressAutoHyphens/>
                            <w:ind w:firstLine="709"/>
                            <w:jc w:val="both"/>
                            <w:rPr>
                              <w:color w:val="000000"/>
                            </w:rPr>
                          </w:pPr>
                          <w:sdt>
                            <w:sdtPr>
                              <w:alias w:val="Numeris"/>
                              <w:tag w:val="nr_031e20127d2341b68c3599272738d484"/>
                              <w:lock w:val="sdtLocked"/>
                              <w:richText/>
                            </w:sdtPr>
                            <w:sdtContent>
                              <w:r>
                                <w:rPr>
                                  <w:color w:val="000000"/>
                                </w:rPr>
                                <w:t>4.2.2</w:t>
                              </w:r>
                            </w:sdtContent>
                          </w:sdt>
                          <w:r>
                            <w:rPr>
                              <w:color w:val="000000"/>
                            </w:rPr>
                            <w:t xml:space="preserve">. 2003 m. balandžio 24 d. Nr. 501 „Dėl buities, sanitarinių ir higienos patalpų įrengimo reikalavimų“ (Žin., 2003, Nr. </w:t>
                          </w:r>
                          <w:hyperlink r:id="rId26" w:tgtFrame="_blank" w:history="1">
                            <w:r>
                              <w:rPr>
                                <w:color w:val="0000FF" w:themeColor="hyperlink"/>
                                <w:u w:val="single"/>
                              </w:rPr>
                              <w:t>40-1820</w:t>
                            </w:r>
                          </w:hyperlink>
                          <w:r>
                            <w:rPr>
                              <w:color w:val="000000"/>
                            </w:rPr>
                            <w:t>);</w:t>
                          </w:r>
                        </w:p>
                      </w:sdtContent>
                    </w:sdt>
                  </w:sdtContent>
                </w:sdt>
                <w:sdt>
                  <w:sdtPr>
                    <w:alias w:val="4.3 p."/>
                    <w:tag w:val="part_57003f3ffa7e4d0da374c865ffe59a07"/>
                    <w:lock w:val="sdtLocked"/>
                    <w:richText/>
                  </w:sdtPr>
                  <w:sdtContent>
                    <w:p>
                      <w:pPr>
                        <w:widowControl w:val="0"/>
                        <w:suppressAutoHyphens/>
                        <w:ind w:firstLine="709"/>
                        <w:jc w:val="both"/>
                        <w:rPr>
                          <w:color w:val="000000"/>
                        </w:rPr>
                      </w:pPr>
                      <w:sdt>
                        <w:sdtPr>
                          <w:alias w:val="Numeris"/>
                          <w:tag w:val="nr_57003f3ffa7e4d0da374c865ffe59a07"/>
                          <w:lock w:val="sdtLocked"/>
                          <w:richText/>
                        </w:sdtPr>
                        <w:sdtContent>
                          <w:r>
                            <w:rPr>
                              <w:color w:val="000000"/>
                            </w:rPr>
                            <w:t>4.3</w:t>
                          </w:r>
                        </w:sdtContent>
                      </w:sdt>
                      <w:r>
                        <w:rPr>
                          <w:color w:val="000000"/>
                        </w:rPr>
                        <w:t>. statybos techninius reglamentus:</w:t>
                      </w:r>
                    </w:p>
                    <w:sdt>
                      <w:sdtPr>
                        <w:alias w:val="4.3.2 p."/>
                        <w:tag w:val="part_754d276778c64d86a719d2ca0ab3f319"/>
                        <w:lock w:val="sdtLocked"/>
                        <w:richText/>
                      </w:sdtPr>
                      <w:sdtContent>
                        <w:p>
                          <w:pPr>
                            <w:widowControl w:val="0"/>
                            <w:suppressAutoHyphens/>
                            <w:ind w:firstLine="709"/>
                            <w:jc w:val="both"/>
                            <w:rPr>
                              <w:color w:val="000000"/>
                            </w:rPr>
                          </w:pPr>
                          <w:sdt>
                            <w:sdtPr>
                              <w:alias w:val="Numeris"/>
                              <w:tag w:val="nr_754d276778c64d86a719d2ca0ab3f319"/>
                              <w:lock w:val="sdtLocked"/>
                              <w:richText/>
                            </w:sdtPr>
                            <w:sdtContent>
                              <w:r>
                                <w:rPr>
                                  <w:color w:val="000000"/>
                                </w:rPr>
                                <w:t>4.3.2</w:t>
                              </w:r>
                            </w:sdtContent>
                          </w:sdt>
                          <w:r>
                            <w:rPr>
                              <w:color w:val="000000"/>
                            </w:rPr>
                            <w:t xml:space="preserve">. STR 1.05.06:2005 „Statinio projektavimas“ (Žin., 2005, Nr. </w:t>
                          </w:r>
                          <w:hyperlink r:id="rId27" w:tgtFrame="_blank" w:history="1">
                            <w:r>
                              <w:rPr>
                                <w:color w:val="0000FF" w:themeColor="hyperlink"/>
                                <w:u w:val="single"/>
                              </w:rPr>
                              <w:t>4-80</w:t>
                            </w:r>
                          </w:hyperlink>
                          <w:r>
                            <w:rPr>
                              <w:color w:val="000000"/>
                            </w:rPr>
                            <w:t xml:space="preserve">; 2010, Nr. </w:t>
                          </w:r>
                          <w:hyperlink r:id="rId28" w:tgtFrame="_blank" w:history="1">
                            <w:r>
                              <w:rPr>
                                <w:color w:val="0000FF" w:themeColor="hyperlink"/>
                                <w:u w:val="single"/>
                              </w:rPr>
                              <w:t>115-5902</w:t>
                            </w:r>
                          </w:hyperlink>
                          <w:r>
                            <w:rPr>
                              <w:color w:val="000000"/>
                            </w:rPr>
                            <w:t>);</w:t>
                          </w:r>
                        </w:p>
                      </w:sdtContent>
                    </w:sdt>
                    <w:sdt>
                      <w:sdtPr>
                        <w:alias w:val="4.3.3 p."/>
                        <w:tag w:val="part_c814f7b89dd94e11a7d97c123c57ecd9"/>
                        <w:lock w:val="sdtLocked"/>
                        <w:richText/>
                      </w:sdtPr>
                      <w:sdtContent>
                        <w:p>
                          <w:pPr>
                            <w:widowControl w:val="0"/>
                            <w:suppressAutoHyphens/>
                            <w:ind w:firstLine="709"/>
                            <w:jc w:val="both"/>
                            <w:rPr>
                              <w:color w:val="000000"/>
                            </w:rPr>
                          </w:pPr>
                          <w:sdt>
                            <w:sdtPr>
                              <w:alias w:val="Numeris"/>
                              <w:tag w:val="nr_c814f7b89dd94e11a7d97c123c57ecd9"/>
                              <w:lock w:val="sdtLocked"/>
                              <w:richText/>
                            </w:sdtPr>
                            <w:sdtContent>
                              <w:r>
                                <w:rPr>
                                  <w:color w:val="000000"/>
                                </w:rPr>
                                <w:t>4.3.3</w:t>
                              </w:r>
                            </w:sdtContent>
                          </w:sdt>
                          <w:r>
                            <w:rPr>
                              <w:color w:val="000000"/>
                            </w:rPr>
                            <w:t xml:space="preserve">. STR 1.01.09:2003 „Statinio statybos rūšys“ (Žin., 2002, Nr. </w:t>
                          </w:r>
                          <w:hyperlink r:id="rId29" w:tgtFrame="_blank" w:history="1">
                            <w:r>
                              <w:rPr>
                                <w:color w:val="0000FF" w:themeColor="hyperlink"/>
                                <w:u w:val="single"/>
                              </w:rPr>
                              <w:t>119-5372</w:t>
                            </w:r>
                          </w:hyperlink>
                          <w:r>
                            <w:rPr>
                              <w:color w:val="000000"/>
                            </w:rPr>
                            <w:t>);</w:t>
                          </w:r>
                        </w:p>
                      </w:sdtContent>
                    </w:sdt>
                    <w:sdt>
                      <w:sdtPr>
                        <w:alias w:val="4.3.4 p."/>
                        <w:tag w:val="part_117c4eec95664211a8d70cc9109464db"/>
                        <w:lock w:val="sdtLocked"/>
                        <w:richText/>
                      </w:sdtPr>
                      <w:sdtContent>
                        <w:p>
                          <w:pPr>
                            <w:widowControl w:val="0"/>
                            <w:suppressAutoHyphens/>
                            <w:ind w:firstLine="709"/>
                            <w:jc w:val="both"/>
                            <w:rPr>
                              <w:color w:val="000000"/>
                            </w:rPr>
                          </w:pPr>
                          <w:sdt>
                            <w:sdtPr>
                              <w:alias w:val="Numeris"/>
                              <w:tag w:val="nr_117c4eec95664211a8d70cc9109464db"/>
                              <w:lock w:val="sdtLocked"/>
                              <w:richText/>
                            </w:sdtPr>
                            <w:sdtContent>
                              <w:r>
                                <w:rPr>
                                  <w:color w:val="000000"/>
                                </w:rPr>
                                <w:t>4.3.4</w:t>
                              </w:r>
                            </w:sdtContent>
                          </w:sdt>
                          <w:r>
                            <w:rPr>
                              <w:color w:val="000000"/>
                            </w:rPr>
                            <w:t xml:space="preserve">. STR 2.06.01:1999 „Miestų, miestelių ir kaimų susisiekimo sistemos“ (Žin., 1999, Nr. </w:t>
                          </w:r>
                          <w:hyperlink r:id="rId30" w:tgtFrame="_blank" w:history="1">
                            <w:r>
                              <w:rPr>
                                <w:color w:val="0000FF" w:themeColor="hyperlink"/>
                                <w:u w:val="single"/>
                              </w:rPr>
                              <w:t>27-773</w:t>
                            </w:r>
                          </w:hyperlink>
                          <w:r>
                            <w:rPr>
                              <w:color w:val="000000"/>
                            </w:rPr>
                            <w:t>);</w:t>
                          </w:r>
                        </w:p>
                      </w:sdtContent>
                    </w:sdt>
                    <w:sdt>
                      <w:sdtPr>
                        <w:alias w:val="4.3.5 p."/>
                        <w:tag w:val="part_e3fb98ed154b430686738a562dbbaf21"/>
                        <w:lock w:val="sdtLocked"/>
                        <w:richText/>
                      </w:sdtPr>
                      <w:sdtContent>
                        <w:p>
                          <w:pPr>
                            <w:widowControl w:val="0"/>
                            <w:suppressAutoHyphens/>
                            <w:ind w:firstLine="709"/>
                            <w:jc w:val="both"/>
                            <w:rPr>
                              <w:color w:val="000000"/>
                            </w:rPr>
                          </w:pPr>
                          <w:sdt>
                            <w:sdtPr>
                              <w:alias w:val="Numeris"/>
                              <w:tag w:val="nr_e3fb98ed154b430686738a562dbbaf21"/>
                              <w:lock w:val="sdtLocked"/>
                              <w:richText/>
                            </w:sdtPr>
                            <w:sdtContent>
                              <w:r>
                                <w:rPr>
                                  <w:color w:val="000000"/>
                                </w:rPr>
                                <w:t>4.3.5</w:t>
                              </w:r>
                            </w:sdtContent>
                          </w:sdt>
                          <w:r>
                            <w:rPr>
                              <w:color w:val="000000"/>
                            </w:rPr>
                            <w:t xml:space="preserve">. STR 2.03.01:2001 „Statiniai ir teritorijos. Reikalavimai žmonių su negalia reikmėms“ (Žin., 2001, Nr. </w:t>
                          </w:r>
                          <w:hyperlink r:id="rId31" w:tgtFrame="_blank" w:history="1">
                            <w:r>
                              <w:rPr>
                                <w:color w:val="0000FF" w:themeColor="hyperlink"/>
                                <w:u w:val="single"/>
                              </w:rPr>
                              <w:t>53-1898</w:t>
                            </w:r>
                          </w:hyperlink>
                          <w:r>
                            <w:rPr>
                              <w:color w:val="000000"/>
                            </w:rPr>
                            <w:t>);</w:t>
                          </w:r>
                        </w:p>
                      </w:sdtContent>
                    </w:sdt>
                    <w:sdt>
                      <w:sdtPr>
                        <w:alias w:val="4.3.6 p."/>
                        <w:tag w:val="part_7dde159082ca432faa27080dc02d6b1c"/>
                        <w:lock w:val="sdtLocked"/>
                        <w:richText/>
                      </w:sdtPr>
                      <w:sdtContent>
                        <w:p>
                          <w:pPr>
                            <w:widowControl w:val="0"/>
                            <w:suppressAutoHyphens/>
                            <w:ind w:firstLine="709"/>
                            <w:jc w:val="both"/>
                            <w:rPr>
                              <w:color w:val="000000"/>
                            </w:rPr>
                          </w:pPr>
                          <w:sdt>
                            <w:sdtPr>
                              <w:alias w:val="Numeris"/>
                              <w:tag w:val="nr_7dde159082ca432faa27080dc02d6b1c"/>
                              <w:lock w:val="sdtLocked"/>
                              <w:richText/>
                            </w:sdtPr>
                            <w:sdtContent>
                              <w:r>
                                <w:rPr>
                                  <w:color w:val="000000"/>
                                </w:rPr>
                                <w:t>4.3.6</w:t>
                              </w:r>
                            </w:sdtContent>
                          </w:sdt>
                          <w:r>
                            <w:rPr>
                              <w:color w:val="000000"/>
                            </w:rPr>
                            <w:t xml:space="preserve">. STR 1.01.09:2003 „Statinių klasifikavimas pagal jų naudojimo paskirtį“ (Žin., 2003, Nr. </w:t>
                          </w:r>
                          <w:hyperlink r:id="rId32" w:tgtFrame="_blank" w:history="1">
                            <w:r>
                              <w:rPr>
                                <w:color w:val="0000FF" w:themeColor="hyperlink"/>
                                <w:u w:val="single"/>
                              </w:rPr>
                              <w:t>58-2611</w:t>
                            </w:r>
                          </w:hyperlink>
                          <w:r>
                            <w:rPr>
                              <w:color w:val="000000"/>
                            </w:rPr>
                            <w:t>);</w:t>
                          </w:r>
                        </w:p>
                      </w:sdtContent>
                    </w:sdt>
                    <w:sdt>
                      <w:sdtPr>
                        <w:alias w:val="4.3.8 p."/>
                        <w:tag w:val="part_e44d765d3f3746da9f0210deb4490351"/>
                        <w:lock w:val="sdtLocked"/>
                        <w:richText/>
                      </w:sdtPr>
                      <w:sdtContent>
                        <w:p>
                          <w:pPr>
                            <w:widowControl w:val="0"/>
                            <w:suppressAutoHyphens/>
                            <w:ind w:firstLine="709"/>
                            <w:jc w:val="both"/>
                            <w:rPr>
                              <w:color w:val="000000"/>
                            </w:rPr>
                          </w:pPr>
                          <w:sdt>
                            <w:sdtPr>
                              <w:alias w:val="Numeris"/>
                              <w:tag w:val="nr_e44d765d3f3746da9f0210deb4490351"/>
                              <w:lock w:val="sdtLocked"/>
                              <w:richText/>
                            </w:sdtPr>
                            <w:sdtContent>
                              <w:r>
                                <w:rPr>
                                  <w:color w:val="000000"/>
                                </w:rPr>
                                <w:t>4.3.8</w:t>
                              </w:r>
                            </w:sdtContent>
                          </w:sdt>
                          <w:r>
                            <w:rPr>
                              <w:color w:val="000000"/>
                            </w:rPr>
                            <w:t xml:space="preserve">. STR 2.07.01:2003 „Vandentiekis ir nuotekų šalintuvas. Pastato inžinerinės sistemos. Lauko inžineriniai tinklai“ (Žin., 2003, Nr. </w:t>
                          </w:r>
                          <w:hyperlink r:id="rId33" w:tgtFrame="_blank" w:history="1">
                            <w:r>
                              <w:rPr>
                                <w:color w:val="0000FF" w:themeColor="hyperlink"/>
                                <w:u w:val="single"/>
                              </w:rPr>
                              <w:t>83-3804</w:t>
                            </w:r>
                          </w:hyperlink>
                          <w:r>
                            <w:rPr>
                              <w:color w:val="000000"/>
                            </w:rPr>
                            <w:t>);</w:t>
                          </w:r>
                        </w:p>
                      </w:sdtContent>
                    </w:sdt>
                    <w:sdt>
                      <w:sdtPr>
                        <w:alias w:val="4.3.9 p."/>
                        <w:tag w:val="part_44683dda12684494ad4bb6aa6d96048a"/>
                        <w:lock w:val="sdtLocked"/>
                        <w:richText/>
                      </w:sdtPr>
                      <w:sdtContent>
                        <w:p>
                          <w:pPr>
                            <w:widowControl w:val="0"/>
                            <w:suppressAutoHyphens/>
                            <w:ind w:firstLine="709"/>
                            <w:jc w:val="both"/>
                            <w:rPr>
                              <w:color w:val="000000"/>
                            </w:rPr>
                          </w:pPr>
                          <w:sdt>
                            <w:sdtPr>
                              <w:alias w:val="Numeris"/>
                              <w:tag w:val="nr_44683dda12684494ad4bb6aa6d96048a"/>
                              <w:lock w:val="sdtLocked"/>
                              <w:richText/>
                            </w:sdtPr>
                            <w:sdtContent>
                              <w:r>
                                <w:rPr>
                                  <w:color w:val="000000"/>
                                </w:rPr>
                                <w:t>4.3.9</w:t>
                              </w:r>
                            </w:sdtContent>
                          </w:sdt>
                          <w:r>
                            <w:rPr>
                              <w:color w:val="000000"/>
                            </w:rPr>
                            <w:t xml:space="preserve">. STR 2.09.02:2005 „Šildymas, vėdinimas ir oro kondicionavimas“ (Žin., 2005, Nr. </w:t>
                          </w:r>
                          <w:hyperlink r:id="rId34" w:tgtFrame="_blank" w:history="1">
                            <w:r>
                              <w:rPr>
                                <w:color w:val="0000FF" w:themeColor="hyperlink"/>
                                <w:u w:val="single"/>
                              </w:rPr>
                              <w:t>75-2729</w:t>
                            </w:r>
                          </w:hyperlink>
                          <w:r>
                            <w:rPr>
                              <w:color w:val="000000"/>
                            </w:rPr>
                            <w:t>);</w:t>
                          </w:r>
                        </w:p>
                      </w:sdtContent>
                    </w:sdt>
                    <w:sdt>
                      <w:sdtPr>
                        <w:alias w:val="4.3.10 p."/>
                        <w:tag w:val="part_fa75395e981f46eea4a9c3098dbc2e42"/>
                        <w:lock w:val="sdtLocked"/>
                        <w:richText/>
                      </w:sdtPr>
                      <w:sdtContent>
                        <w:p>
                          <w:pPr>
                            <w:widowControl w:val="0"/>
                            <w:suppressAutoHyphens/>
                            <w:ind w:firstLine="709"/>
                            <w:jc w:val="both"/>
                            <w:rPr>
                              <w:color w:val="000000"/>
                            </w:rPr>
                          </w:pPr>
                          <w:sdt>
                            <w:sdtPr>
                              <w:alias w:val="Numeris"/>
                              <w:tag w:val="nr_fa75395e981f46eea4a9c3098dbc2e42"/>
                              <w:lock w:val="sdtLocked"/>
                              <w:richText/>
                            </w:sdtPr>
                            <w:sdtContent>
                              <w:r>
                                <w:rPr>
                                  <w:color w:val="000000"/>
                                </w:rPr>
                                <w:t>4.3.10</w:t>
                              </w:r>
                            </w:sdtContent>
                          </w:sdt>
                          <w:r>
                            <w:rPr>
                              <w:color w:val="000000"/>
                            </w:rPr>
                            <w:t xml:space="preserve">. STR 2.08.01:2004 „Dujų sistemos pastatuose“ (Žin., 2004, Nr. </w:t>
                          </w:r>
                          <w:hyperlink r:id="rId35" w:tgtFrame="_blank" w:history="1">
                            <w:r>
                              <w:rPr>
                                <w:color w:val="0000FF" w:themeColor="hyperlink"/>
                                <w:u w:val="single"/>
                              </w:rPr>
                              <w:t>21-653</w:t>
                            </w:r>
                          </w:hyperlink>
                          <w:r>
                            <w:rPr>
                              <w:color w:val="000000"/>
                            </w:rPr>
                            <w:t>);</w:t>
                          </w:r>
                        </w:p>
                      </w:sdtContent>
                    </w:sdt>
                  </w:sdtContent>
                </w:sdt>
                <w:sdt>
                  <w:sdtPr>
                    <w:alias w:val="4.4 p."/>
                    <w:tag w:val="part_21fadb12774d4f1287f9a0d739e4dba1"/>
                    <w:lock w:val="sdtLocked"/>
                    <w:richText/>
                  </w:sdtPr>
                  <w:sdtContent>
                    <w:p>
                      <w:pPr>
                        <w:widowControl w:val="0"/>
                        <w:suppressAutoHyphens/>
                        <w:ind w:firstLine="709"/>
                        <w:jc w:val="both"/>
                        <w:rPr>
                          <w:color w:val="000000"/>
                        </w:rPr>
                      </w:pPr>
                      <w:sdt>
                        <w:sdtPr>
                          <w:alias w:val="Numeris"/>
                          <w:tag w:val="nr_21fadb12774d4f1287f9a0d739e4dba1"/>
                          <w:lock w:val="sdtLocked"/>
                          <w:richText/>
                        </w:sdtPr>
                        <w:sdtContent>
                          <w:r>
                            <w:rPr>
                              <w:color w:val="000000"/>
                            </w:rPr>
                            <w:t>4.4</w:t>
                          </w:r>
                        </w:sdtContent>
                      </w:sdt>
                      <w:r>
                        <w:rPr>
                          <w:color w:val="000000"/>
                        </w:rPr>
                        <w:t>. kitus teisės aktus:</w:t>
                      </w:r>
                    </w:p>
                    <w:sdt>
                      <w:sdtPr>
                        <w:alias w:val="4.4.1 p."/>
                        <w:tag w:val="part_4266bd3bd7a44f6cbdfd7dee48e81a89"/>
                        <w:lock w:val="sdtLocked"/>
                        <w:richText/>
                      </w:sdtPr>
                      <w:sdtContent>
                        <w:p>
                          <w:pPr>
                            <w:widowControl w:val="0"/>
                            <w:suppressAutoHyphens/>
                            <w:ind w:firstLine="709"/>
                            <w:jc w:val="both"/>
                            <w:rPr>
                              <w:color w:val="000000"/>
                            </w:rPr>
                          </w:pPr>
                          <w:sdt>
                            <w:sdtPr>
                              <w:alias w:val="Numeris"/>
                              <w:tag w:val="nr_4266bd3bd7a44f6cbdfd7dee48e81a89"/>
                              <w:lock w:val="sdtLocked"/>
                              <w:richText/>
                            </w:sdtPr>
                            <w:sdtContent>
                              <w:r>
                                <w:rPr>
                                  <w:color w:val="000000"/>
                                </w:rPr>
                                <w:t>4.4.1</w:t>
                              </w:r>
                            </w:sdtContent>
                          </w:sdt>
                          <w:r>
                            <w:rPr>
                              <w:color w:val="000000"/>
                            </w:rPr>
                            <w:t xml:space="preserve">. Detaliųjų planų rengimo taisykles, patvirtintas Lietuvos Respublikos aplinkos ministro 2004 m. gegužės 3 d. įsakymu Nr. D1-239 (Žin., 2004, Nr. </w:t>
                          </w:r>
                          <w:hyperlink r:id="rId36" w:tgtFrame="_blank" w:history="1">
                            <w:r>
                              <w:rPr>
                                <w:color w:val="0000FF" w:themeColor="hyperlink"/>
                                <w:u w:val="single"/>
                              </w:rPr>
                              <w:t>79-2809</w:t>
                            </w:r>
                          </w:hyperlink>
                          <w:r>
                            <w:rPr>
                              <w:color w:val="000000"/>
                            </w:rPr>
                            <w:t>; 2006, Nr. 114-4634);</w:t>
                          </w:r>
                        </w:p>
                      </w:sdtContent>
                    </w:sdt>
                    <w:sdt>
                      <w:sdtPr>
                        <w:alias w:val="4.4.2 p."/>
                        <w:tag w:val="part_e91f069f82f842dfb7e74d671e213fd0"/>
                        <w:lock w:val="sdtLocked"/>
                        <w:richText/>
                      </w:sdtPr>
                      <w:sdtContent>
                        <w:p>
                          <w:pPr>
                            <w:widowControl w:val="0"/>
                            <w:suppressAutoHyphens/>
                            <w:ind w:firstLine="709"/>
                            <w:jc w:val="both"/>
                            <w:rPr>
                              <w:color w:val="000000"/>
                            </w:rPr>
                          </w:pPr>
                          <w:sdt>
                            <w:sdtPr>
                              <w:alias w:val="Numeris"/>
                              <w:tag w:val="nr_e91f069f82f842dfb7e74d671e213fd0"/>
                              <w:lock w:val="sdtLocked"/>
                              <w:richText/>
                            </w:sdtPr>
                            <w:sdtContent>
                              <w:r>
                                <w:rPr>
                                  <w:color w:val="000000"/>
                                </w:rPr>
                                <w:t>4.4.2</w:t>
                              </w:r>
                            </w:sdtContent>
                          </w:sdt>
                          <w:r>
                            <w:rPr>
                              <w:color w:val="000000"/>
                            </w:rPr>
                            <w:t xml:space="preserve">. Lietuvos higienos normą HN 80:2011 „Elektromagnetinis laukas darbo vietose ir gyvenamojoje aplinkoje. Parametrų normuojamos vertės ir matavimo reikalavimai 10 kHz–300 GHz dažnių juostose“, patvirtintą Lietuvos Respublikos sveikatos apsaugos ministro 2011 m. kovo 2 d. įsakymu Nr. V-199 (Žin., 2011, Nr. </w:t>
                          </w:r>
                          <w:hyperlink r:id="rId37" w:tgtFrame="_blank" w:history="1">
                            <w:r>
                              <w:rPr>
                                <w:color w:val="0000FF" w:themeColor="hyperlink"/>
                                <w:u w:val="single"/>
                              </w:rPr>
                              <w:t>29-1374</w:t>
                            </w:r>
                          </w:hyperlink>
                          <w:r>
                            <w:rPr>
                              <w:color w:val="000000"/>
                            </w:rPr>
                            <w:t>);</w:t>
                          </w:r>
                        </w:p>
                      </w:sdtContent>
                    </w:sdt>
                    <w:sdt>
                      <w:sdtPr>
                        <w:alias w:val="4.4.3 p."/>
                        <w:tag w:val="part_e6e2541fafec4c3087117c1d13ad7bc5"/>
                        <w:lock w:val="sdtLocked"/>
                        <w:richText/>
                      </w:sdtPr>
                      <w:sdtContent>
                        <w:p>
                          <w:pPr>
                            <w:widowControl w:val="0"/>
                            <w:suppressAutoHyphens/>
                            <w:ind w:firstLine="709"/>
                            <w:jc w:val="both"/>
                            <w:rPr>
                              <w:color w:val="000000"/>
                            </w:rPr>
                          </w:pPr>
                          <w:sdt>
                            <w:sdtPr>
                              <w:alias w:val="Numeris"/>
                              <w:tag w:val="nr_e6e2541fafec4c3087117c1d13ad7bc5"/>
                              <w:lock w:val="sdtLocked"/>
                              <w:richText/>
                            </w:sdtPr>
                            <w:sdtContent>
                              <w:r>
                                <w:rPr>
                                  <w:color w:val="000000"/>
                                </w:rPr>
                                <w:t>4.4.3</w:t>
                              </w:r>
                            </w:sdtContent>
                          </w:sdt>
                          <w:r>
                            <w:rPr>
                              <w:color w:val="000000"/>
                            </w:rPr>
                            <w:t xml:space="preserve">. Sanitarinių apsaugos zonų ribų nustatymo ir režimo taisykles, patvirtintas Lietuvos Respublikos sveikatos apsaugos ministro 2004 m. rugpjūčio 19 d. įsakymu Nr. V-586 (Žin., 2004, Nr. </w:t>
                          </w:r>
                          <w:hyperlink r:id="rId38" w:tgtFrame="_blank" w:history="1">
                            <w:r>
                              <w:rPr>
                                <w:color w:val="0000FF" w:themeColor="hyperlink"/>
                                <w:u w:val="single"/>
                              </w:rPr>
                              <w:t>134-4878</w:t>
                            </w:r>
                          </w:hyperlink>
                          <w:r>
                            <w:rPr>
                              <w:color w:val="000000"/>
                            </w:rPr>
                            <w:t>);</w:t>
                          </w:r>
                        </w:p>
                      </w:sdtContent>
                    </w:sdt>
                    <w:sdt>
                      <w:sdtPr>
                        <w:alias w:val="4.4.4 p."/>
                        <w:tag w:val="part_69f237da909043e3aba55f53e043675e"/>
                        <w:lock w:val="sdtLocked"/>
                        <w:richText/>
                      </w:sdtPr>
                      <w:sdtContent>
                        <w:p>
                          <w:pPr>
                            <w:widowControl w:val="0"/>
                            <w:suppressAutoHyphens/>
                            <w:ind w:firstLine="709"/>
                            <w:jc w:val="both"/>
                            <w:rPr>
                              <w:strike/>
                              <w:color w:val="000000"/>
                            </w:rPr>
                          </w:pPr>
                          <w:sdt>
                            <w:sdtPr>
                              <w:alias w:val="Numeris"/>
                              <w:tag w:val="nr_69f237da909043e3aba55f53e043675e"/>
                              <w:lock w:val="sdtLocked"/>
                              <w:richText/>
                            </w:sdtPr>
                            <w:sdtContent>
                              <w:r>
                                <w:rPr>
                                  <w:color w:val="000000"/>
                                </w:rPr>
                                <w:t>4.4.4</w:t>
                              </w:r>
                            </w:sdtContent>
                          </w:sdt>
                          <w:r>
                            <w:rPr>
                              <w:color w:val="000000"/>
                            </w:rPr>
                            <w:t xml:space="preserve">. Lietuvos higienos normą HN 33:2011 „Triukšmo ribiniai dydžiai gyvenamuosiuose ir visuomeninės paskirties pastatuose bei jų aplinkoje“, patvirtintą Lietuvos Respublikos sveikatos apsaugos ministro 2004 m. birželio 13 d. įsakymu Nr. V-604 (Žin., 2011, Nr. </w:t>
                          </w:r>
                          <w:hyperlink r:id="rId39" w:tgtFrame="_blank" w:history="1">
                            <w:r>
                              <w:rPr>
                                <w:color w:val="0000FF" w:themeColor="hyperlink"/>
                                <w:u w:val="single"/>
                              </w:rPr>
                              <w:t>75-3638</w:t>
                            </w:r>
                          </w:hyperlink>
                          <w:r>
                            <w:rPr>
                              <w:color w:val="000000"/>
                            </w:rPr>
                            <w:t>);</w:t>
                          </w:r>
                        </w:p>
                      </w:sdtContent>
                    </w:sdt>
                    <w:sdt>
                      <w:sdtPr>
                        <w:alias w:val="4.4.5 p."/>
                        <w:tag w:val="part_8d16658d9bbd4f94978e192ce17556be"/>
                        <w:lock w:val="sdtLocked"/>
                        <w:richText/>
                      </w:sdtPr>
                      <w:sdtContent>
                        <w:p>
                          <w:pPr>
                            <w:widowControl w:val="0"/>
                            <w:suppressAutoHyphens/>
                            <w:ind w:firstLine="709"/>
                            <w:jc w:val="both"/>
                            <w:rPr>
                              <w:color w:val="000000"/>
                            </w:rPr>
                          </w:pPr>
                          <w:sdt>
                            <w:sdtPr>
                              <w:alias w:val="Numeris"/>
                              <w:tag w:val="nr_8d16658d9bbd4f94978e192ce17556be"/>
                              <w:lock w:val="sdtLocked"/>
                              <w:richText/>
                            </w:sdtPr>
                            <w:sdtContent>
                              <w:r>
                                <w:rPr>
                                  <w:color w:val="000000"/>
                                </w:rPr>
                                <w:t>4.4.5</w:t>
                              </w:r>
                            </w:sdtContent>
                          </w:sdt>
                          <w:r>
                            <w:rPr>
                              <w:color w:val="000000"/>
                            </w:rPr>
                            <w:t xml:space="preserve">. Lietuvos higienos normą HN 98:2000 „Natūralus ir dirbtinis darbo vietų apšvietimas. Apšvietos ribinės vertės ir bendrieji matavimo reikalavimai“, patvirtintą Lietuvos Respublikos sveikatos apsaugos ministro 2000 m. gegužės 24 d. įsakymu Nr. 277 (Žin., 2000, Nr. </w:t>
                          </w:r>
                          <w:hyperlink r:id="rId40" w:tgtFrame="_blank" w:history="1">
                            <w:r>
                              <w:rPr>
                                <w:color w:val="0000FF" w:themeColor="hyperlink"/>
                                <w:u w:val="single"/>
                              </w:rPr>
                              <w:t>44-1278</w:t>
                            </w:r>
                          </w:hyperlink>
                          <w:r>
                            <w:rPr>
                              <w:color w:val="000000"/>
                            </w:rPr>
                            <w:t>);</w:t>
                          </w:r>
                        </w:p>
                      </w:sdtContent>
                    </w:sdt>
                    <w:sdt>
                      <w:sdtPr>
                        <w:alias w:val="4.4.6 p."/>
                        <w:tag w:val="part_41d30e79ff5a45cf93a504237ccbf852"/>
                        <w:lock w:val="sdtLocked"/>
                        <w:richText/>
                      </w:sdtPr>
                      <w:sdtContent>
                        <w:p>
                          <w:pPr>
                            <w:widowControl w:val="0"/>
                            <w:suppressAutoHyphens/>
                            <w:ind w:firstLine="709"/>
                            <w:jc w:val="both"/>
                            <w:rPr>
                              <w:strike/>
                              <w:color w:val="000000"/>
                            </w:rPr>
                          </w:pPr>
                          <w:sdt>
                            <w:sdtPr>
                              <w:alias w:val="Numeris"/>
                              <w:tag w:val="nr_41d30e79ff5a45cf93a504237ccbf852"/>
                              <w:lock w:val="sdtLocked"/>
                              <w:richText/>
                            </w:sdtPr>
                            <w:sdtContent>
                              <w:r>
                                <w:rPr>
                                  <w:color w:val="000000"/>
                                </w:rPr>
                                <w:t>4.4.6</w:t>
                              </w:r>
                            </w:sdtContent>
                          </w:sdt>
                          <w:r>
                            <w:rPr>
                              <w:color w:val="000000"/>
                            </w:rPr>
                            <w:t>. Elektros įrenginių įrengimo bendrąsias taisykles, Elektros linijų ir instaliacijos įrengimo taisykles, Elektros įrenginių relinės apsaugos ir automatikos taisykles ir Skirstyklų ir pastočių elektros įrenginių įrengimo taisykles, patvirtintas Lietuvos Respublikos ūkio ministro 2007 m. sausio 31 d. įsakymu Nr. 4-40 (Žin., 2007, Nr. 24-936, Nr. 25, Nr. 26, Nr. 27);</w:t>
                          </w:r>
                        </w:p>
                      </w:sdtContent>
                    </w:sdt>
                    <w:sdt>
                      <w:sdtPr>
                        <w:alias w:val="4.4.7 p."/>
                        <w:tag w:val="part_f96984c3ca9348178c760758bfff866a"/>
                        <w:lock w:val="sdtLocked"/>
                        <w:richText/>
                      </w:sdtPr>
                      <w:sdtContent>
                        <w:p>
                          <w:pPr>
                            <w:widowControl w:val="0"/>
                            <w:suppressAutoHyphens/>
                            <w:ind w:firstLine="709"/>
                            <w:jc w:val="both"/>
                            <w:rPr>
                              <w:color w:val="000000"/>
                            </w:rPr>
                          </w:pPr>
                          <w:sdt>
                            <w:sdtPr>
                              <w:alias w:val="Numeris"/>
                              <w:tag w:val="nr_f96984c3ca9348178c760758bfff866a"/>
                              <w:lock w:val="sdtLocked"/>
                              <w:richText/>
                            </w:sdtPr>
                            <w:sdtContent>
                              <w:r>
                                <w:rPr>
                                  <w:color w:val="000000"/>
                                </w:rPr>
                                <w:t>4.4.7</w:t>
                              </w:r>
                            </w:sdtContent>
                          </w:sdt>
                          <w:r>
                            <w:rPr>
                              <w:color w:val="000000"/>
                            </w:rPr>
                            <w:t xml:space="preserve">. Respublikines statybos normas „Naftos ir jos produktų sandėliai. Priešgaisriniai reikalavimai. RSN 157-94“, patvirtintas Lietuvos Respublikos statybos ir urbanistikos ministerijos 1994 m. birželio 21 d. įsakymu Nr. 138 (Žin., 1994, Nr. </w:t>
                          </w:r>
                          <w:hyperlink r:id="rId41" w:tgtFrame="_blank" w:history="1">
                            <w:r>
                              <w:rPr>
                                <w:color w:val="0000FF" w:themeColor="hyperlink"/>
                                <w:u w:val="single"/>
                              </w:rPr>
                              <w:t>49-924</w:t>
                            </w:r>
                          </w:hyperlink>
                          <w:r>
                            <w:rPr>
                              <w:color w:val="000000"/>
                            </w:rPr>
                            <w:t>);</w:t>
                          </w:r>
                        </w:p>
                      </w:sdtContent>
                    </w:sdt>
                    <w:sdt>
                      <w:sdtPr>
                        <w:alias w:val="4.4.9 p."/>
                        <w:tag w:val="part_fe250fbdb2624f049f1fb98abe1f85f6"/>
                        <w:lock w:val="sdtLocked"/>
                        <w:richText/>
                      </w:sdtPr>
                      <w:sdtContent>
                        <w:p>
                          <w:pPr>
                            <w:widowControl w:val="0"/>
                            <w:suppressAutoHyphens/>
                            <w:ind w:firstLine="709"/>
                            <w:jc w:val="both"/>
                            <w:rPr>
                              <w:color w:val="000000"/>
                            </w:rPr>
                          </w:pPr>
                          <w:sdt>
                            <w:sdtPr>
                              <w:alias w:val="Numeris"/>
                              <w:tag w:val="nr_fe250fbdb2624f049f1fb98abe1f85f6"/>
                              <w:lock w:val="sdtLocked"/>
                              <w:richText/>
                            </w:sdtPr>
                            <w:sdtContent>
                              <w:r>
                                <w:rPr>
                                  <w:color w:val="000000"/>
                                </w:rPr>
                                <w:t>4.4.9</w:t>
                              </w:r>
                            </w:sdtContent>
                          </w:sdt>
                          <w:r>
                            <w:rPr>
                              <w:color w:val="000000"/>
                            </w:rPr>
                            <w:t xml:space="preserve">. Apšvietimo elektros įrenginių įrengimo taisykles, patvirtintas Lietuvos Respublikos energetikos ministro 2011 m. vasario 3 d. įsakymu Nr. 1-28 (Žin., 2011, Nr. </w:t>
                          </w:r>
                          <w:hyperlink r:id="rId42" w:tgtFrame="_blank" w:history="1">
                            <w:r>
                              <w:rPr>
                                <w:color w:val="0000FF" w:themeColor="hyperlink"/>
                                <w:u w:val="single"/>
                              </w:rPr>
                              <w:t>17-815</w:t>
                            </w:r>
                          </w:hyperlink>
                          <w:r>
                            <w:rPr>
                              <w:color w:val="000000"/>
                            </w:rPr>
                            <w:t>);</w:t>
                          </w:r>
                        </w:p>
                      </w:sdtContent>
                    </w:sdt>
                    <w:sdt>
                      <w:sdtPr>
                        <w:alias w:val="4.4.10 p."/>
                        <w:tag w:val="part_dd39b21a9f5548519f89aeb1705d6ef2"/>
                        <w:lock w:val="sdtLocked"/>
                        <w:richText/>
                      </w:sdtPr>
                      <w:sdtContent>
                        <w:p>
                          <w:pPr>
                            <w:widowControl w:val="0"/>
                            <w:suppressAutoHyphens/>
                            <w:ind w:firstLine="709"/>
                            <w:jc w:val="both"/>
                            <w:rPr>
                              <w:color w:val="000000"/>
                            </w:rPr>
                          </w:pPr>
                          <w:sdt>
                            <w:sdtPr>
                              <w:alias w:val="Numeris"/>
                              <w:tag w:val="nr_dd39b21a9f5548519f89aeb1705d6ef2"/>
                              <w:lock w:val="sdtLocked"/>
                              <w:richText/>
                            </w:sdtPr>
                            <w:sdtContent>
                              <w:r>
                                <w:rPr>
                                  <w:color w:val="000000"/>
                                </w:rPr>
                                <w:t>4.4.10</w:t>
                              </w:r>
                            </w:sdtContent>
                          </w:sdt>
                          <w:r>
                            <w:rPr>
                              <w:color w:val="000000"/>
                            </w:rPr>
                            <w:t xml:space="preserve">. Šilumos tiekimo tinklų ir šilumos punktų įrengimo taisykles, patvirtintas Lietuvos Respublikos energetikos ministro 2011 m. birželio 17 d. įsakymu Nr. 1-160 (Žin., 2011, Nr. </w:t>
                          </w:r>
                          <w:hyperlink r:id="rId43" w:tgtFrame="_blank" w:history="1">
                            <w:r>
                              <w:rPr>
                                <w:color w:val="0000FF" w:themeColor="hyperlink"/>
                                <w:u w:val="single"/>
                              </w:rPr>
                              <w:t>76-3673</w:t>
                            </w:r>
                          </w:hyperlink>
                          <w:r>
                            <w:rPr>
                              <w:color w:val="000000"/>
                            </w:rPr>
                            <w:t>);</w:t>
                          </w:r>
                        </w:p>
                      </w:sdtContent>
                    </w:sdt>
                    <w:sdt>
                      <w:sdtPr>
                        <w:alias w:val="4.4.11 p."/>
                        <w:tag w:val="part_63d2bb5a4c7240b09d187720af7d0d75"/>
                        <w:lock w:val="sdtLocked"/>
                        <w:richText/>
                      </w:sdtPr>
                      <w:sdtContent>
                        <w:p>
                          <w:pPr>
                            <w:widowControl w:val="0"/>
                            <w:suppressAutoHyphens/>
                            <w:ind w:firstLine="709"/>
                            <w:jc w:val="both"/>
                            <w:rPr>
                              <w:strike/>
                              <w:color w:val="000000"/>
                            </w:rPr>
                          </w:pPr>
                          <w:sdt>
                            <w:sdtPr>
                              <w:alias w:val="Numeris"/>
                              <w:tag w:val="nr_63d2bb5a4c7240b09d187720af7d0d75"/>
                              <w:lock w:val="sdtLocked"/>
                              <w:richText/>
                            </w:sdtPr>
                            <w:sdtContent>
                              <w:r>
                                <w:rPr>
                                  <w:color w:val="000000"/>
                                </w:rPr>
                                <w:t>4.4.11</w:t>
                              </w:r>
                            </w:sdtContent>
                          </w:sdt>
                          <w:r>
                            <w:rPr>
                              <w:color w:val="000000"/>
                            </w:rPr>
                            <w:t xml:space="preserve">. Gaisrinės saugos pagrindinius reikalavimus, patvirtintus Priešgaisrinės apsaugos ir gelbėjimo departamento prie Vidaus reikalų ministerijos direktoriaus 2010 m. gruodžio 7 d. įsakymu Nr. 1-338 (Žin., 2010, Nr. </w:t>
                          </w:r>
                          <w:hyperlink r:id="rId44" w:tgtFrame="_blank" w:history="1">
                            <w:r>
                              <w:rPr>
                                <w:color w:val="0000FF" w:themeColor="hyperlink"/>
                                <w:u w:val="single"/>
                              </w:rPr>
                              <w:t>146-7510</w:t>
                            </w:r>
                          </w:hyperlink>
                          <w:r>
                            <w:rPr>
                              <w:color w:val="000000"/>
                            </w:rPr>
                            <w:t>);</w:t>
                          </w:r>
                        </w:p>
                      </w:sdtContent>
                    </w:sdt>
                    <w:sdt>
                      <w:sdtPr>
                        <w:alias w:val="4.4.12 p."/>
                        <w:tag w:val="part_95435fc95ac7472da21bfaf9575f8b48"/>
                        <w:lock w:val="sdtLocked"/>
                        <w:richText/>
                      </w:sdtPr>
                      <w:sdtContent>
                        <w:p>
                          <w:pPr>
                            <w:widowControl w:val="0"/>
                            <w:suppressAutoHyphens/>
                            <w:ind w:firstLine="709"/>
                            <w:jc w:val="both"/>
                            <w:rPr>
                              <w:color w:val="000000"/>
                            </w:rPr>
                          </w:pPr>
                          <w:sdt>
                            <w:sdtPr>
                              <w:alias w:val="Numeris"/>
                              <w:tag w:val="nr_95435fc95ac7472da21bfaf9575f8b48"/>
                              <w:lock w:val="sdtLocked"/>
                              <w:richText/>
                            </w:sdtPr>
                            <w:sdtContent>
                              <w:r>
                                <w:rPr>
                                  <w:color w:val="000000"/>
                                </w:rPr>
                                <w:t>4.4.12</w:t>
                              </w:r>
                            </w:sdtContent>
                          </w:sdt>
                          <w:r>
                            <w:rPr>
                              <w:color w:val="000000"/>
                            </w:rPr>
                            <w:t xml:space="preserve">. Priklausomųjų želdynų normų (plotų) nustatymo tvarkos aprašą, patvirtintą Lietuvos Respublikos aplinkos ministro 2007 m. gruodžio 21 d. įsakymu Nr. D1-694 (Žin., 2007, Nr. </w:t>
                          </w:r>
                          <w:hyperlink r:id="rId45" w:tgtFrame="_blank" w:history="1">
                            <w:r>
                              <w:rPr>
                                <w:color w:val="0000FF" w:themeColor="hyperlink"/>
                                <w:u w:val="single"/>
                              </w:rPr>
                              <w:t>137-5624</w:t>
                            </w:r>
                          </w:hyperlink>
                          <w:r>
                            <w:rPr>
                              <w:color w:val="000000"/>
                            </w:rPr>
                            <w:t>);</w:t>
                          </w:r>
                        </w:p>
                      </w:sdtContent>
                    </w:sdt>
                    <w:sdt>
                      <w:sdtPr>
                        <w:alias w:val="4.4.13 p."/>
                        <w:tag w:val="part_1c10443d0b77459bb71238cd24d07184"/>
                        <w:lock w:val="sdtLocked"/>
                        <w:richText/>
                      </w:sdtPr>
                      <w:sdtContent>
                        <w:p>
                          <w:pPr>
                            <w:widowControl w:val="0"/>
                            <w:suppressAutoHyphens/>
                            <w:ind w:firstLine="709"/>
                            <w:jc w:val="both"/>
                          </w:pPr>
                          <w:sdt>
                            <w:sdtPr>
                              <w:alias w:val="Numeris"/>
                              <w:tag w:val="nr_1c10443d0b77459bb71238cd24d07184"/>
                              <w:lock w:val="sdtLocked"/>
                              <w:richText/>
                            </w:sdtPr>
                            <w:sdtContent>
                              <w:r>
                                <w:rPr>
                                  <w:color w:val="000000"/>
                                </w:rPr>
                                <w:t>4.4.13</w:t>
                              </w:r>
                            </w:sdtContent>
                          </w:sdt>
                          <w:r>
                            <w:rPr>
                              <w:color w:val="000000"/>
                            </w:rPr>
                            <w:t xml:space="preserve">. Medžių ir krūmų veisimo, vejų ir gėlynų įrengimo taisykles, patvirtintas Lietuvos Respublikos aplinkos ministro įsakymu 2007 m. gruodžio 29 d. Nr. D1-717 „Dėl Medžių ir krūmų veisimo, vejų ir gėlynų įrengimo taisyklių patvirtinimo“ (Žin., 2008, Nr. </w:t>
                          </w:r>
                          <w:hyperlink r:id="rId46" w:tgtFrame="_blank" w:history="1">
                            <w:r>
                              <w:rPr>
                                <w:color w:val="0000FF" w:themeColor="hyperlink"/>
                                <w:u w:val="single"/>
                              </w:rPr>
                              <w:t>2-77</w:t>
                            </w:r>
                          </w:hyperlink>
                          <w:r>
                            <w:rPr>
                              <w:color w:val="000000"/>
                            </w:rPr>
                            <w:t>);</w:t>
                          </w:r>
                        </w:p>
                      </w:sdtContent>
                    </w:sdt>
                    <w:sdt>
                      <w:sdtPr>
                        <w:alias w:val="4.4.14 p."/>
                        <w:tag w:val="part_e5f8bed3923e4cfdb4b54e5d90b842fd"/>
                        <w:lock w:val="sdtLocked"/>
                        <w:richText/>
                      </w:sdtPr>
                      <w:sdtContent>
                        <w:p>
                          <w:pPr>
                            <w:ind w:firstLine="709"/>
                            <w:jc w:val="both"/>
                          </w:pPr>
                          <w:sdt>
                            <w:sdtPr>
                              <w:alias w:val="Numeris"/>
                              <w:tag w:val="nr_e5f8bed3923e4cfdb4b54e5d90b842fd"/>
                              <w:lock w:val="sdtLocked"/>
                              <w:richText/>
                            </w:sdtPr>
                            <w:sdtContent>
                              <w:r>
                                <w:rPr>
                                  <w:szCs w:val="24"/>
                                </w:rPr>
                                <w:t>4.4.14</w:t>
                              </w:r>
                            </w:sdtContent>
                          </w:sdt>
                          <w:r>
                            <w:rPr>
                              <w:szCs w:val="24"/>
                            </w:rPr>
                            <w:t xml:space="preserve">. statybos techninį reglamentą STR 1.05.01:2017 „Statybą leidžiantys dokumentai. Statybos užbaigimas. Statybos sustabdymas. Savavališkos statybos padarinių šalinimas. Statybos pagal neteisėtai išduotą statybą leidžiantį dokumentą padarinių šalinimas“, patvirtintą </w:t>
                          </w:r>
                          <w:r>
                            <w:rPr>
                              <w:bCs/>
                              <w:szCs w:val="24"/>
                            </w:rPr>
                            <w:t xml:space="preserve">Lietuvos Respublikos aplinkos ministro 2016 m. gruodžio 12 d. įsakymu Nr. D1-878 „Dėl statybos techninio reglamento </w:t>
                          </w:r>
                          <w:r>
                            <w:rPr>
                              <w:szCs w:val="24"/>
                            </w:rPr>
                            <w:t>STR 1.05.01:2017 „Statybą leidžiantys dokumentai. Statybos užbaigimas. Statybos sustabdymas. Savavališkos statybos padarinių šalinimas. Statybos pagal neteisėtai išduotą statybą leidžiantį dokumentą padarinių šalinimas“</w:t>
                          </w:r>
                          <w:r>
                            <w:rPr>
                              <w:bCs/>
                              <w:szCs w:val="24"/>
                            </w:rPr>
                            <w:t xml:space="preserve"> patvirtinimo“</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28B71CB0468">
                            <w:r w:rsidRPr="00532B9F">
                              <w:rPr>
                                <w:rFonts w:ascii="Times New Roman" w:eastAsia="MS Mincho" w:hAnsi="Times New Roman"/>
                                <w:sz w:val="20"/>
                                <w:i/>
                                <w:iCs/>
                                <w:color w:val="0000FF" w:themeColor="hyperlink"/>
                                <w:u w:val="single"/>
                              </w:rPr>
                              <w:t>D1-411</w:t>
                            </w:r>
                          </w:fldSimple>
                          <w:r>
                            <w:rPr>
                              <w:rFonts w:ascii="Times New Roman" w:eastAsia="MS Mincho" w:hAnsi="Times New Roman"/>
                              <w:sz w:val="20"/>
                              <w:i/>
                              <w:iCs/>
                            </w:rPr>
                            <w:t>,
2012-05-16,
Žin., 2012, Nr.
58-2917 (2012-05-22), i. k. 112301MISAK00D1-411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0f168087d811e7a3c4a5eb10f04386">
                            <w:r w:rsidRPr="00532B9F">
                              <w:rPr>
                                <w:rFonts w:ascii="Times New Roman" w:eastAsia="MS Mincho" w:hAnsi="Times New Roman"/>
                                <w:sz w:val="20"/>
                                <w:i/>
                                <w:iCs/>
                                <w:color w:val="0000FF" w:themeColor="hyperlink"/>
                                <w:u w:val="single"/>
                              </w:rPr>
                              <w:t>D1-621</w:t>
                            </w:r>
                          </w:fldSimple>
                          <w:r>
                            <w:rPr>
                              <w:rFonts w:ascii="Times New Roman" w:eastAsia="MS Mincho" w:hAnsi="Times New Roman"/>
                              <w:sz w:val="20"/>
                              <w:i/>
                              <w:iCs/>
                            </w:rPr>
                            <w:t>,
2017-07-24,
paskelbta TAR 2017-08-24, i. k. 2017-13587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5DC74875D7">
                    <w:r w:rsidRPr="00532B9F">
                      <w:rPr>
                        <w:rFonts w:ascii="Times New Roman" w:eastAsia="MS Mincho" w:hAnsi="Times New Roman"/>
                        <w:sz w:val="20"/>
                        <w:i/>
                        <w:iCs/>
                        <w:color w:val="0000FF" w:themeColor="hyperlink"/>
                        <w:u w:val="single"/>
                      </w:rPr>
                      <w:t>D1-851</w:t>
                    </w:r>
                  </w:fldSimple>
                  <w:r>
                    <w:rPr>
                      <w:rFonts w:ascii="Times New Roman" w:eastAsia="MS Mincho" w:hAnsi="Times New Roman"/>
                      <w:sz w:val="20"/>
                      <w:i/>
                      <w:iCs/>
                    </w:rPr>
                    <w:t>,
2011-11-05,
Žin., 2011, Nr.
134-6384 (2011-11-10), i. k. 111301MISAK00D1-851            </w:t>
                  </w:r>
                </w:p>
                <w:p/>
              </w:sdtContent>
            </w:sdt>
          </w:sdtContent>
        </w:sdt>
        <w:sdt>
          <w:sdtPr>
            <w:alias w:val="skyrius"/>
            <w:tag w:val="part_bcfdea02be514657b07e45ec53db85a9"/>
            <w:lock w:val="sdtLocked"/>
            <w:richText/>
          </w:sdtPr>
          <w:sdtContent>
            <w:p>
              <w:pPr>
                <w:jc w:val="center"/>
                <w:rPr>
                  <w:b/>
                </w:rPr>
              </w:pPr>
              <w:sdt>
                <w:sdtPr>
                  <w:alias w:val="Numeris"/>
                  <w:tag w:val="nr_bcfdea02be514657b07e45ec53db85a9"/>
                  <w:lock w:val="sdtLocked"/>
                  <w:richText/>
                </w:sdtPr>
                <w:sdtContent>
                  <w:r>
                    <w:rPr>
                      <w:b/>
                    </w:rPr>
                    <w:t>III</w:t>
                  </w:r>
                </w:sdtContent>
              </w:sdt>
              <w:r>
                <w:rPr>
                  <w:b/>
                </w:rPr>
                <w:t xml:space="preserve">. </w:t>
              </w:r>
              <w:sdt>
                <w:sdtPr>
                  <w:alias w:val="Pavadinimas"/>
                  <w:tag w:val="title_bcfdea02be514657b07e45ec53db85a9"/>
                  <w:lock w:val="sdtLocked"/>
                  <w:richText/>
                </w:sdtPr>
                <w:sdtContent>
                  <w:r>
                    <w:rPr>
                      <w:b/>
                    </w:rPr>
                    <w:t>PAGRINDINĖS SĄVOKOS</w:t>
                  </w:r>
                </w:sdtContent>
              </w:sdt>
            </w:p>
            <w:p>
              <w:pPr>
                <w:jc w:val="center"/>
                <w:rPr>
                  <w:b/>
                </w:rPr>
              </w:pPr>
            </w:p>
            <w:sdt>
              <w:sdtPr>
                <w:alias w:val="5 p."/>
                <w:tag w:val="part_ddf617b2c6b44d468e5299d6a1441f20"/>
                <w:lock w:val="sdtLocked"/>
                <w:richText/>
              </w:sdtPr>
              <w:sdtContent>
                <w:p>
                  <w:pPr>
                    <w:ind w:firstLine="709"/>
                    <w:jc w:val="both"/>
                  </w:pPr>
                  <w:sdt>
                    <w:sdtPr>
                      <w:alias w:val="Numeris"/>
                      <w:tag w:val="nr_ddf617b2c6b44d468e5299d6a1441f20"/>
                      <w:lock w:val="sdtLocked"/>
                      <w:richText/>
                    </w:sdtPr>
                    <w:sdtContent>
                      <w:r>
                        <w:t>5</w:t>
                      </w:r>
                    </w:sdtContent>
                  </w:sdt>
                  <w:r>
                    <w:t>. Reglamente vartojamos pagrindinės sąvokos atitinka jų apibrėžimus, pateiktus Statybos įstatyme. Kitų sąvokų, vartojamų Reglamente, apibrėžimai pateikti šiame skyriuje:</w:t>
                  </w:r>
                </w:p>
                <w:sdt>
                  <w:sdtPr>
                    <w:alias w:val="5.1 pp."/>
                    <w:tag w:val="part_73450c03917949a698a9c6bab2c1b44e"/>
                    <w:lock w:val="sdtLocked"/>
                    <w:richText/>
                  </w:sdtPr>
                  <w:sdtContent>
                    <w:p>
                      <w:pPr>
                        <w:ind w:firstLine="709"/>
                        <w:jc w:val="both"/>
                      </w:pPr>
                      <w:sdt>
                        <w:sdtPr>
                          <w:alias w:val="Numeris"/>
                          <w:tag w:val="nr_73450c03917949a698a9c6bab2c1b44e"/>
                          <w:lock w:val="sdtLocked"/>
                          <w:richText/>
                        </w:sdtPr>
                        <w:sdtContent>
                          <w:r>
                            <w:t>5.1</w:t>
                          </w:r>
                        </w:sdtContent>
                      </w:sdt>
                      <w:r>
                        <w:t xml:space="preserve">. </w:t>
                      </w:r>
                      <w:r>
                        <w:rPr>
                          <w:b/>
                        </w:rPr>
                        <w:t>gamybos pastatai</w:t>
                      </w:r>
                      <w:r>
                        <w:t xml:space="preserve"> – apibendrintas gamybos, pramonės ir sandėliavimo pastatų [4.3.6] pavadinimas;</w:t>
                      </w:r>
                    </w:p>
                  </w:sdtContent>
                </w:sdt>
                <w:sdt>
                  <w:sdtPr>
                    <w:alias w:val="5.2 pp."/>
                    <w:tag w:val="part_ef49a319fcb64b5ca5a703ecdd219b5f"/>
                    <w:lock w:val="sdtLocked"/>
                    <w:richText/>
                  </w:sdtPr>
                  <w:sdtContent>
                    <w:p>
                      <w:pPr>
                        <w:ind w:firstLine="709"/>
                        <w:jc w:val="both"/>
                      </w:pPr>
                      <w:sdt>
                        <w:sdtPr>
                          <w:alias w:val="Numeris"/>
                          <w:tag w:val="nr_ef49a319fcb64b5ca5a703ecdd219b5f"/>
                          <w:lock w:val="sdtLocked"/>
                          <w:richText/>
                        </w:sdtPr>
                        <w:sdtContent>
                          <w:r>
                            <w:t>5.2</w:t>
                          </w:r>
                        </w:sdtContent>
                      </w:sdt>
                      <w:r>
                        <w:t xml:space="preserve">. </w:t>
                      </w:r>
                      <w:r>
                        <w:rPr>
                          <w:b/>
                        </w:rPr>
                        <w:t>gamybos inžineriniai statiniai</w:t>
                      </w:r>
                      <w:r>
                        <w:t xml:space="preserve"> – gamybos, pramonės ir sandėliavimo [4.3.6] paskirčių inžineriniai statiniai;</w:t>
                      </w:r>
                    </w:p>
                  </w:sdtContent>
                </w:sdt>
                <w:sdt>
                  <w:sdtPr>
                    <w:alias w:val="5.3 pp."/>
                    <w:tag w:val="part_6db4f8ad12df46dc8765abf6ed5c04d2"/>
                    <w:lock w:val="sdtLocked"/>
                    <w:richText/>
                  </w:sdtPr>
                  <w:sdtContent>
                    <w:p>
                      <w:pPr>
                        <w:ind w:firstLine="709"/>
                        <w:jc w:val="both"/>
                      </w:pPr>
                      <w:sdt>
                        <w:sdtPr>
                          <w:alias w:val="Numeris"/>
                          <w:tag w:val="nr_6db4f8ad12df46dc8765abf6ed5c04d2"/>
                          <w:lock w:val="sdtLocked"/>
                          <w:richText/>
                        </w:sdtPr>
                        <w:sdtContent>
                          <w:r>
                            <w:t>5.3</w:t>
                          </w:r>
                        </w:sdtContent>
                      </w:sdt>
                      <w:r>
                        <w:t xml:space="preserve">. </w:t>
                      </w:r>
                      <w:r>
                        <w:rPr>
                          <w:b/>
                        </w:rPr>
                        <w:t>gamybos statiniai</w:t>
                      </w:r>
                      <w:r>
                        <w:t xml:space="preserve"> – gamybos, pramonės ir sandėliavimo pastatai bei šių paskirčių inžineriniai statiniai;</w:t>
                      </w:r>
                    </w:p>
                  </w:sdtContent>
                </w:sdt>
                <w:sdt>
                  <w:sdtPr>
                    <w:alias w:val="5.4 pp."/>
                    <w:tag w:val="part_c01c91c78bb044738c7d012f3dac1215"/>
                    <w:lock w:val="sdtLocked"/>
                    <w:richText/>
                  </w:sdtPr>
                  <w:sdtContent>
                    <w:p>
                      <w:pPr>
                        <w:ind w:firstLine="709"/>
                        <w:jc w:val="both"/>
                      </w:pPr>
                      <w:sdt>
                        <w:sdtPr>
                          <w:alias w:val="Numeris"/>
                          <w:tag w:val="nr_c01c91c78bb044738c7d012f3dac1215"/>
                          <w:lock w:val="sdtLocked"/>
                          <w:richText/>
                        </w:sdtPr>
                        <w:sdtContent>
                          <w:r>
                            <w:t>5.4</w:t>
                          </w:r>
                        </w:sdtContent>
                      </w:sdt>
                      <w:r>
                        <w:t xml:space="preserve">. </w:t>
                      </w:r>
                      <w:r>
                        <w:rPr>
                          <w:b/>
                        </w:rPr>
                        <w:t>gamybos teritorija</w:t>
                      </w:r>
                      <w:r>
                        <w:t xml:space="preserve"> – aptverta Sklypo dalis, kurią sudaro gamybos, sandėliavimo, administracinė – pagalbinė, rekreacijos ir kitų paskirčių zonos. Į gamybos teritoriją neįeina priešgamyklinės paskirties zona (žr. Reglamento IV skyrių);</w:t>
                      </w:r>
                    </w:p>
                  </w:sdtContent>
                </w:sdt>
                <w:sdt>
                  <w:sdtPr>
                    <w:alias w:val="5.5 pp."/>
                    <w:tag w:val="part_195efbd4ce674f97813fb938224fcc67"/>
                    <w:lock w:val="sdtLocked"/>
                    <w:richText/>
                  </w:sdtPr>
                  <w:sdtContent>
                    <w:p>
                      <w:pPr>
                        <w:ind w:firstLine="709"/>
                        <w:jc w:val="both"/>
                      </w:pPr>
                      <w:sdt>
                        <w:sdtPr>
                          <w:alias w:val="Numeris"/>
                          <w:tag w:val="nr_195efbd4ce674f97813fb938224fcc67"/>
                          <w:lock w:val="sdtLocked"/>
                          <w:richText/>
                        </w:sdtPr>
                        <w:sdtContent>
                          <w:r>
                            <w:t>5.5</w:t>
                          </w:r>
                        </w:sdtContent>
                      </w:sdt>
                      <w:r>
                        <w:t xml:space="preserve">. </w:t>
                      </w:r>
                      <w:r>
                        <w:rPr>
                          <w:b/>
                        </w:rPr>
                        <w:t>sklypo užstatymo tankis</w:t>
                      </w:r>
                      <w:r>
                        <w:t xml:space="preserve"> – norminis Sklypo užstatymo rodiklis, išreikštas statiniais užstatyto ploto ir Sklypo ploto santykiu (apskaičiuotu procentais), plačiau žr. Reglamento VI skyrių;</w:t>
                      </w:r>
                    </w:p>
                  </w:sdtContent>
                </w:sdt>
                <w:sdt>
                  <w:sdtPr>
                    <w:alias w:val="5.6 pp."/>
                    <w:tag w:val="part_b4f256c817284c2598306eb68d305a76"/>
                    <w:lock w:val="sdtLocked"/>
                    <w:richText/>
                  </w:sdtPr>
                  <w:sdtContent>
                    <w:p>
                      <w:pPr>
                        <w:ind w:firstLine="709"/>
                        <w:jc w:val="both"/>
                      </w:pPr>
                      <w:sdt>
                        <w:sdtPr>
                          <w:alias w:val="Numeris"/>
                          <w:tag w:val="nr_b4f256c817284c2598306eb68d305a76"/>
                          <w:lock w:val="sdtLocked"/>
                          <w:richText/>
                        </w:sdtPr>
                        <w:sdtContent>
                          <w:r>
                            <w:t>5.6</w:t>
                          </w:r>
                        </w:sdtContent>
                      </w:sdt>
                      <w:r>
                        <w:t xml:space="preserve">. </w:t>
                      </w:r>
                      <w:r>
                        <w:rPr>
                          <w:b/>
                        </w:rPr>
                        <w:t>sklypo užstatymo plotas</w:t>
                      </w:r>
                      <w:r>
                        <w:t xml:space="preserve"> – suma plotų, užimtų Sklype visų paskirčių pastatais ir inžineriniais statiniais (plačiau žr. Reglamento VI skyrių);</w:t>
                      </w:r>
                    </w:p>
                  </w:sdtContent>
                </w:sdt>
                <w:sdt>
                  <w:sdtPr>
                    <w:alias w:val="5.7 pp."/>
                    <w:tag w:val="part_18a3cf502c8645ddbd88b4286eb9ba81"/>
                    <w:lock w:val="sdtLocked"/>
                    <w:richText/>
                  </w:sdtPr>
                  <w:sdtContent>
                    <w:p>
                      <w:pPr>
                        <w:ind w:firstLine="709"/>
                        <w:jc w:val="both"/>
                      </w:pPr>
                      <w:sdt>
                        <w:sdtPr>
                          <w:alias w:val="Numeris"/>
                          <w:tag w:val="nr_18a3cf502c8645ddbd88b4286eb9ba81"/>
                          <w:lock w:val="sdtLocked"/>
                          <w:richText/>
                        </w:sdtPr>
                        <w:sdtContent>
                          <w:r>
                            <w:t>5.7</w:t>
                          </w:r>
                        </w:sdtContent>
                      </w:sdt>
                      <w:r>
                        <w:t xml:space="preserve">. </w:t>
                      </w:r>
                      <w:r>
                        <w:rPr>
                          <w:b/>
                        </w:rPr>
                        <w:t>sklypo tvarkymas</w:t>
                      </w:r>
                      <w:r>
                        <w:t xml:space="preserve"> – gamybos statinių sklypo dalijimas į naudojimo paskirties zonas; Sklypo žemės reljefo (paviršiaus) formavimas; pastatų ir inžinerinių statinių (tarp jų – susisiekimo komunikacijų ir inžinerinių tinklų) išdėstymas Sklype;</w:t>
                      </w:r>
                    </w:p>
                  </w:sdtContent>
                </w:sdt>
                <w:sdt>
                  <w:sdtPr>
                    <w:alias w:val="5.8 pp."/>
                    <w:tag w:val="part_d28711de9a9848b98bb9e806196002ab"/>
                    <w:lock w:val="sdtLocked"/>
                    <w:richText/>
                  </w:sdtPr>
                  <w:sdtContent>
                    <w:p>
                      <w:pPr>
                        <w:ind w:firstLine="709"/>
                        <w:jc w:val="both"/>
                      </w:pPr>
                      <w:sdt>
                        <w:sdtPr>
                          <w:alias w:val="Numeris"/>
                          <w:tag w:val="nr_d28711de9a9848b98bb9e806196002ab"/>
                          <w:lock w:val="sdtLocked"/>
                          <w:richText/>
                        </w:sdtPr>
                        <w:sdtContent>
                          <w:r>
                            <w:t>5.8</w:t>
                          </w:r>
                        </w:sdtContent>
                      </w:sdt>
                      <w:r>
                        <w:t xml:space="preserve">. </w:t>
                      </w:r>
                      <w:r>
                        <w:rPr>
                          <w:b/>
                        </w:rPr>
                        <w:t>sklypo reljefo (paviršiaus) formavimas (aukščių planavimas)</w:t>
                      </w:r>
                      <w:r>
                        <w:t xml:space="preserve"> – Sklypo esamo žemės paviršiaus pakeitimas, jį paaukštinant ar pažeminant, atsižvelgiant į Sklypo naudojimo paskirties, urbanistikos ir kraštovaizdžio reikalavimus;</w:t>
                      </w:r>
                    </w:p>
                  </w:sdtContent>
                </w:sdt>
                <w:sdt>
                  <w:sdtPr>
                    <w:alias w:val="5.9 pp."/>
                    <w:tag w:val="part_549ce85cb51c4f3087c9ad5c7e3d1551"/>
                    <w:lock w:val="sdtLocked"/>
                    <w:richText/>
                  </w:sdtPr>
                  <w:sdtContent>
                    <w:p>
                      <w:pPr>
                        <w:ind w:firstLine="709"/>
                        <w:jc w:val="both"/>
                      </w:pPr>
                      <w:sdt>
                        <w:sdtPr>
                          <w:alias w:val="Numeris"/>
                          <w:tag w:val="nr_549ce85cb51c4f3087c9ad5c7e3d1551"/>
                          <w:lock w:val="sdtLocked"/>
                          <w:richText/>
                        </w:sdtPr>
                        <w:sdtContent>
                          <w:r>
                            <w:t>5.9</w:t>
                          </w:r>
                        </w:sdtContent>
                      </w:sdt>
                      <w:r>
                        <w:t xml:space="preserve">. </w:t>
                      </w:r>
                      <w:r>
                        <w:rPr>
                          <w:b/>
                        </w:rPr>
                        <w:t>pusiau uždaras kiemas</w:t>
                      </w:r>
                      <w:r>
                        <w:t xml:space="preserve"> – Sklypo dalis, iš trijų pusių užstatyta tarpusavyje sujungtais pastatais.</w:t>
                      </w:r>
                    </w:p>
                    <w:p>
                      <w:pPr>
                        <w:ind w:firstLine="709"/>
                        <w:jc w:val="both"/>
                      </w:pPr>
                    </w:p>
                  </w:sdtContent>
                </w:sdt>
              </w:sdtContent>
            </w:sdt>
          </w:sdtContent>
        </w:sdt>
        <w:sdt>
          <w:sdtPr>
            <w:alias w:val="skyrius"/>
            <w:tag w:val="part_0dd1d7094850469fac51891fbbc62c24"/>
            <w:lock w:val="sdtLocked"/>
            <w:richText/>
          </w:sdtPr>
          <w:sdtContent>
            <w:p>
              <w:pPr>
                <w:jc w:val="center"/>
                <w:rPr>
                  <w:b/>
                </w:rPr>
              </w:pPr>
              <w:sdt>
                <w:sdtPr>
                  <w:alias w:val="Numeris"/>
                  <w:tag w:val="nr_0dd1d7094850469fac51891fbbc62c24"/>
                  <w:lock w:val="sdtLocked"/>
                  <w:richText/>
                </w:sdtPr>
                <w:sdtContent>
                  <w:r>
                    <w:rPr>
                      <w:b/>
                    </w:rPr>
                    <w:t>III</w:t>
                  </w:r>
                </w:sdtContent>
              </w:sdt>
              <w:r>
                <w:rPr>
                  <w:b/>
                </w:rPr>
                <w:t xml:space="preserve"> SKYRIUS. </w:t>
              </w:r>
              <w:sdt>
                <w:sdtPr>
                  <w:alias w:val="Pavadinimas"/>
                  <w:tag w:val="title_0dd1d7094850469fac51891fbbc62c24"/>
                  <w:lock w:val="sdtLocked"/>
                  <w:richText/>
                </w:sdtPr>
                <w:sdtContent>
                  <w:r>
                    <w:rPr>
                      <w:b/>
                    </w:rPr>
                    <w:t>SKLYPO TVARKYMO PAGRINDINIAI REIKALAVIMAI</w:t>
                  </w:r>
                </w:sdtContent>
              </w:sdt>
            </w:p>
            <w:p>
              <w:pPr>
                <w:jc w:val="center"/>
                <w:rPr>
                  <w:b/>
                </w:rPr>
              </w:pPr>
            </w:p>
            <w:sdt>
              <w:sdtPr>
                <w:alias w:val="6 p."/>
                <w:tag w:val="part_6223d38dab1e4bcdb4525982ec629697"/>
                <w:lock w:val="sdtLocked"/>
                <w:richText/>
              </w:sdtPr>
              <w:sdtContent>
                <w:p>
                  <w:pPr>
                    <w:ind w:firstLine="709"/>
                    <w:jc w:val="both"/>
                  </w:pPr>
                  <w:sdt>
                    <w:sdtPr>
                      <w:alias w:val="Numeris"/>
                      <w:tag w:val="nr_6223d38dab1e4bcdb4525982ec629697"/>
                      <w:lock w:val="sdtLocked"/>
                      <w:richText/>
                    </w:sdtPr>
                    <w:sdtContent>
                      <w:r>
                        <w:t>6</w:t>
                      </w:r>
                    </w:sdtContent>
                  </w:sdt>
                  <w:r>
                    <w:t>. Projektuojant statinius, projekto Sklypo sutvarkymo dalyje [4.3.2], turi būti atsižvelgiama į:</w:t>
                  </w:r>
                </w:p>
                <w:sdt>
                  <w:sdtPr>
                    <w:alias w:val="6.1 pp."/>
                    <w:tag w:val="part_e0ca98f0ba2c4e2c916998679cce272d"/>
                    <w:lock w:val="sdtLocked"/>
                    <w:richText/>
                  </w:sdtPr>
                  <w:sdtContent>
                    <w:p>
                      <w:pPr>
                        <w:ind w:firstLine="709"/>
                        <w:jc w:val="both"/>
                      </w:pPr>
                      <w:sdt>
                        <w:sdtPr>
                          <w:alias w:val="Numeris"/>
                          <w:tag w:val="nr_e0ca98f0ba2c4e2c916998679cce272d"/>
                          <w:lock w:val="sdtLocked"/>
                          <w:richText/>
                        </w:sdtPr>
                        <w:sdtContent>
                          <w:r>
                            <w:t>6.1</w:t>
                          </w:r>
                        </w:sdtContent>
                      </w:sdt>
                      <w:r>
                        <w:t>. Sklypo padalijimą į paskirties zonas (žr. Reglamento IV skyrių), įvertinant technologinius ryšius, visuomenės sveikatos saugos ir priešgaisrinius reikalavimus, krovinių apyvartą ir transporto rūšis;</w:t>
                      </w:r>
                    </w:p>
                  </w:sdtContent>
                </w:sdt>
                <w:sdt>
                  <w:sdtPr>
                    <w:alias w:val="6.2 pp."/>
                    <w:tag w:val="part_8e1e192c5d98410696f6457a91965234"/>
                    <w:lock w:val="sdtLocked"/>
                    <w:richText/>
                  </w:sdtPr>
                  <w:sdtContent>
                    <w:p>
                      <w:pPr>
                        <w:ind w:firstLine="709"/>
                        <w:jc w:val="both"/>
                      </w:pPr>
                      <w:sdt>
                        <w:sdtPr>
                          <w:alias w:val="Numeris"/>
                          <w:tag w:val="nr_8e1e192c5d98410696f6457a91965234"/>
                          <w:lock w:val="sdtLocked"/>
                          <w:richText/>
                        </w:sdtPr>
                        <w:sdtContent>
                          <w:r>
                            <w:t>6.2</w:t>
                          </w:r>
                        </w:sdtContent>
                      </w:sdt>
                      <w:r>
                        <w:t>. racionalius technologinius, transporto ir kitus inžinerinius ryšius Sklype;</w:t>
                      </w:r>
                    </w:p>
                  </w:sdtContent>
                </w:sdt>
                <w:sdt>
                  <w:sdtPr>
                    <w:alias w:val="6.3 pp."/>
                    <w:tag w:val="part_38b627ed57a34f798e93ee0fac26dc67"/>
                    <w:lock w:val="sdtLocked"/>
                    <w:richText/>
                  </w:sdtPr>
                  <w:sdtContent>
                    <w:p>
                      <w:pPr>
                        <w:ind w:firstLine="709"/>
                        <w:jc w:val="both"/>
                      </w:pPr>
                      <w:sdt>
                        <w:sdtPr>
                          <w:alias w:val="Numeris"/>
                          <w:tag w:val="nr_38b627ed57a34f798e93ee0fac26dc67"/>
                          <w:lock w:val="sdtLocked"/>
                          <w:richText/>
                        </w:sdtPr>
                        <w:sdtContent>
                          <w:r>
                            <w:t>6.3</w:t>
                          </w:r>
                        </w:sdtContent>
                      </w:sdt>
                      <w:r>
                        <w:t>. intensyvų Sklypo antžeminės ir požeminės erdvės panaudojimą, numatant būtiną ir pagrįstą Sklypo ploto rezervą gamybos plėtrai, jei tai numatyta statinio projektavimo užduotyje (toliau – Techninė užduotis) [4.3.2];</w:t>
                      </w:r>
                    </w:p>
                  </w:sdtContent>
                </w:sdt>
                <w:sdt>
                  <w:sdtPr>
                    <w:alias w:val="6.4 pp."/>
                    <w:tag w:val="part_824675c68dda40319bc9dff7d03f96bf"/>
                    <w:lock w:val="sdtLocked"/>
                    <w:richText/>
                  </w:sdtPr>
                  <w:sdtContent>
                    <w:p>
                      <w:pPr>
                        <w:ind w:firstLine="709"/>
                        <w:jc w:val="both"/>
                      </w:pPr>
                      <w:sdt>
                        <w:sdtPr>
                          <w:alias w:val="Numeris"/>
                          <w:tag w:val="nr_824675c68dda40319bc9dff7d03f96bf"/>
                          <w:lock w:val="sdtLocked"/>
                          <w:richText/>
                        </w:sdtPr>
                        <w:sdtContent>
                          <w:r>
                            <w:t>6.4</w:t>
                          </w:r>
                        </w:sdtContent>
                      </w:sdt>
                      <w:r>
                        <w:t>. galimybę vykdyti statybą etapais bei pradėti naudoti Sklype dalį projektuojamų statinių, neužbaigus viso Sklypo užstatymo (jei tai numatyta Techninėje užduotyje) [4.3.2];</w:t>
                      </w:r>
                    </w:p>
                  </w:sdtContent>
                </w:sdt>
                <w:sdt>
                  <w:sdtPr>
                    <w:alias w:val="6.5 pp."/>
                    <w:tag w:val="part_9eb8b100cda74257b2fb6a0f486bb964"/>
                    <w:lock w:val="sdtLocked"/>
                    <w:richText/>
                  </w:sdtPr>
                  <w:sdtContent>
                    <w:p>
                      <w:pPr>
                        <w:ind w:firstLine="709"/>
                        <w:jc w:val="both"/>
                      </w:pPr>
                      <w:sdt>
                        <w:sdtPr>
                          <w:alias w:val="Numeris"/>
                          <w:tag w:val="nr_9eb8b100cda74257b2fb6a0f486bb964"/>
                          <w:lock w:val="sdtLocked"/>
                          <w:richText/>
                        </w:sdtPr>
                        <w:sdtContent>
                          <w:r>
                            <w:t>6.5</w:t>
                          </w:r>
                        </w:sdtContent>
                      </w:sdt>
                      <w:r>
                        <w:t>. Sklypo tvarkymą (žr. Reglamento X skyrių);</w:t>
                      </w:r>
                    </w:p>
                  </w:sdtContent>
                </w:sdt>
                <w:sdt>
                  <w:sdtPr>
                    <w:alias w:val="6.6 pp."/>
                    <w:tag w:val="part_25991973bc8140b7ab8a0732e3a76bce"/>
                    <w:lock w:val="sdtLocked"/>
                    <w:richText/>
                  </w:sdtPr>
                  <w:sdtContent>
                    <w:p>
                      <w:pPr>
                        <w:widowControl w:val="0"/>
                        <w:suppressAutoHyphens/>
                        <w:ind w:firstLine="709"/>
                        <w:jc w:val="both"/>
                      </w:pPr>
                      <w:sdt>
                        <w:sdtPr>
                          <w:alias w:val="Numeris"/>
                          <w:tag w:val="nr_25991973bc8140b7ab8a0732e3a76bce"/>
                          <w:lock w:val="sdtLocked"/>
                          <w:richText/>
                        </w:sdtPr>
                        <w:sdtContent>
                          <w:r>
                            <w:rPr>
                              <w:color w:val="000000"/>
                            </w:rPr>
                            <w:t>6.6</w:t>
                          </w:r>
                        </w:sdtContent>
                      </w:sdt>
                      <w:r>
                        <w:rPr>
                          <w:color w:val="000000"/>
                        </w:rPr>
                        <w:t>. vieningo architektūrinio ansamblio sukūrimą, derinant jį su kraštovaizdžiu, vadovaujantis detaliuoju planu [4.4.1] ir specialiaisiais architektūros reikalavimais [4.1.1]</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5DC74875D7">
                        <w:r w:rsidRPr="00532B9F">
                          <w:rPr>
                            <w:rFonts w:ascii="Times New Roman" w:eastAsia="MS Mincho" w:hAnsi="Times New Roman"/>
                            <w:sz w:val="20"/>
                            <w:i/>
                            <w:iCs/>
                            <w:color w:val="0000FF" w:themeColor="hyperlink"/>
                            <w:u w:val="single"/>
                          </w:rPr>
                          <w:t>D1-851</w:t>
                        </w:r>
                      </w:fldSimple>
                      <w:r>
                        <w:rPr>
                          <w:rFonts w:ascii="Times New Roman" w:eastAsia="MS Mincho" w:hAnsi="Times New Roman"/>
                          <w:sz w:val="20"/>
                          <w:i/>
                          <w:iCs/>
                        </w:rPr>
                        <w:t>,
2011-11-05,
Žin., 2011, Nr.
134-6384 (2011-11-10), i. k. 111301MISAK00D1-851            </w:t>
                      </w:r>
                    </w:p>
                    <w:p/>
                  </w:sdtContent>
                </w:sdt>
                <w:sdt>
                  <w:sdtPr>
                    <w:alias w:val="6.7 pp."/>
                    <w:tag w:val="part_d2c493fd91f542c8981d8f1292da804b"/>
                    <w:lock w:val="sdtLocked"/>
                    <w:richText/>
                  </w:sdtPr>
                  <w:sdtContent>
                    <w:p>
                      <w:pPr>
                        <w:ind w:firstLine="709"/>
                        <w:jc w:val="both"/>
                      </w:pPr>
                      <w:sdt>
                        <w:sdtPr>
                          <w:alias w:val="Numeris"/>
                          <w:tag w:val="nr_d2c493fd91f542c8981d8f1292da804b"/>
                          <w:lock w:val="sdtLocked"/>
                          <w:richText/>
                        </w:sdtPr>
                        <w:sdtContent>
                          <w:r>
                            <w:t>6.7</w:t>
                          </w:r>
                        </w:sdtContent>
                      </w:sdt>
                      <w:r>
                        <w:t>. gretimų sklypų apsaugą nuo erozijos, užpelkėjimo, gruntinių vandenų bei atvirų vandens telkinių užteršimo gamybinėmis nuotekomis bei atliekomis;</w:t>
                      </w:r>
                    </w:p>
                  </w:sdtContent>
                </w:sdt>
                <w:sdt>
                  <w:sdtPr>
                    <w:alias w:val="6.8 pp."/>
                    <w:tag w:val="part_0d64290d2ecc4fd2bdf3fefa03f7865b"/>
                    <w:lock w:val="sdtLocked"/>
                    <w:richText/>
                  </w:sdtPr>
                  <w:sdtContent>
                    <w:p>
                      <w:pPr>
                        <w:ind w:firstLine="709"/>
                        <w:jc w:val="both"/>
                      </w:pPr>
                      <w:sdt>
                        <w:sdtPr>
                          <w:alias w:val="Numeris"/>
                          <w:tag w:val="nr_0d64290d2ecc4fd2bdf3fefa03f7865b"/>
                          <w:lock w:val="sdtLocked"/>
                          <w:richText/>
                        </w:sdtPr>
                        <w:sdtContent>
                          <w:r>
                            <w:t>6.8</w:t>
                          </w:r>
                        </w:sdtContent>
                      </w:sdt>
                      <w:r>
                        <w:t>. už Sklypo ribų esančios statybvietės dalies, laikinai naudojamos tik statybos metu, žemės struktūros, pažeistos statybos metu, rekultivavimą.</w:t>
                      </w:r>
                    </w:p>
                  </w:sdtContent>
                </w:sdt>
              </w:sdtContent>
            </w:sdt>
            <w:sdt>
              <w:sdtPr>
                <w:alias w:val="7 p."/>
                <w:tag w:val="part_1a4af5d3f84c4678ad54e9a9906853f8"/>
                <w:lock w:val="sdtLocked"/>
                <w:richText/>
              </w:sdtPr>
              <w:sdtContent>
                <w:p>
                  <w:pPr>
                    <w:ind w:firstLine="709"/>
                    <w:jc w:val="both"/>
                  </w:pPr>
                  <w:sdt>
                    <w:sdtPr>
                      <w:alias w:val="Numeris"/>
                      <w:tag w:val="nr_1a4af5d3f84c4678ad54e9a9906853f8"/>
                      <w:lock w:val="sdtLocked"/>
                      <w:richText/>
                    </w:sdtPr>
                    <w:sdtContent>
                      <w:r>
                        <w:t>7</w:t>
                      </w:r>
                    </w:sdtContent>
                  </w:sdt>
                  <w:r>
                    <w:t>. Projekto sklypo sutvarkymo dalyje turi būti įvertintos geografinės vietovės, kurioje numatoma statyba, gamtinės sąlygos:</w:t>
                  </w:r>
                </w:p>
                <w:sdt>
                  <w:sdtPr>
                    <w:alias w:val="7.1 pp."/>
                    <w:tag w:val="part_0e78a5f5b1c3453fb45c1017d50a45df"/>
                    <w:lock w:val="sdtLocked"/>
                    <w:richText/>
                  </w:sdtPr>
                  <w:sdtContent>
                    <w:p>
                      <w:pPr>
                        <w:ind w:firstLine="709"/>
                        <w:jc w:val="both"/>
                      </w:pPr>
                      <w:sdt>
                        <w:sdtPr>
                          <w:alias w:val="Numeris"/>
                          <w:tag w:val="nr_0e78a5f5b1c3453fb45c1017d50a45df"/>
                          <w:lock w:val="sdtLocked"/>
                          <w:richText/>
                        </w:sdtPr>
                        <w:sdtContent>
                          <w:r>
                            <w:t>7.1</w:t>
                          </w:r>
                        </w:sdtContent>
                      </w:sdt>
                      <w:r>
                        <w:t>. oro temperatūra, taip pat vyraujančios vėjų kryptys;</w:t>
                      </w:r>
                    </w:p>
                  </w:sdtContent>
                </w:sdt>
                <w:sdt>
                  <w:sdtPr>
                    <w:alias w:val="7.2 pp."/>
                    <w:tag w:val="part_2003e86dabc1439da13a92998979007f"/>
                    <w:lock w:val="sdtLocked"/>
                    <w:richText/>
                  </w:sdtPr>
                  <w:sdtContent>
                    <w:p>
                      <w:pPr>
                        <w:ind w:firstLine="709"/>
                        <w:jc w:val="both"/>
                      </w:pPr>
                      <w:sdt>
                        <w:sdtPr>
                          <w:alias w:val="Numeris"/>
                          <w:tag w:val="nr_2003e86dabc1439da13a92998979007f"/>
                          <w:lock w:val="sdtLocked"/>
                          <w:richText/>
                        </w:sdtPr>
                        <w:sdtContent>
                          <w:r>
                            <w:t>7.2</w:t>
                          </w:r>
                        </w:sdtContent>
                      </w:sdt>
                      <w:r>
                        <w:t>. didelių sniego dangų susidarymo galimybė.</w:t>
                      </w:r>
                    </w:p>
                  </w:sdtContent>
                </w:sdt>
              </w:sdtContent>
            </w:sdt>
            <w:sdt>
              <w:sdtPr>
                <w:alias w:val="8 p."/>
                <w:tag w:val="part_2fa15762cb2849f38f12e62e1ca3fd04"/>
                <w:lock w:val="sdtLocked"/>
                <w:richText/>
              </w:sdtPr>
              <w:sdtContent>
                <w:p>
                  <w:pPr>
                    <w:ind w:firstLine="709"/>
                    <w:jc w:val="both"/>
                  </w:pPr>
                  <w:sdt>
                    <w:sdtPr>
                      <w:alias w:val="Numeris"/>
                      <w:tag w:val="nr_2fa15762cb2849f38f12e62e1ca3fd04"/>
                      <w:lock w:val="sdtLocked"/>
                      <w:richText/>
                    </w:sdtPr>
                    <w:sdtContent>
                      <w:r>
                        <w:rPr>
                          <w:szCs w:val="24"/>
                        </w:rPr>
                        <w:t>8</w:t>
                      </w:r>
                    </w:sdtContent>
                  </w:sdt>
                  <w:r>
                    <w:rPr>
                      <w:szCs w:val="24"/>
                    </w:rPr>
                    <w:t>. Gamybos statiniai turi būti išdėstyti taip, kad kenksmingas poveikis dirbantiesiems, vienų technologinių procesų kenksmingas poveikis kitiems technologiniams procesams, žaliavoms, įrenginiams ir produkcijai (gaminamai tiek Sklype, tiek ir gretimuose sklypuose esančiuose gamybos statiniuose), taip pat gyventojų sveikatai ir buities sąlygoms neviršytų teisės aktuose nustatytų norminių dydžių. Atstumas nuo gamybos, pramonės ir sandėliavimo statinių iki Sklypo ribos turi būti nustatomas pagal STR 1.05.01:2017 [4.4.14] 7 priedo reikalavimus. Aukštesniems kaip 8,5 m statiniams, statomiems 3 m ir didesniu atstumu nuo Sklypo ribos, šis atstumas didinamas 0,5 m kiekvienam papildomam statinio aukščio metrui. Atstumas iki Sklypo ribos nustatomas nuo kiekvienos skirtingą aukštį turinčios statinio dalies. Šiame punkte nurodyti atstumai gali būti mažinami gavus besiribojančio žemės sklypo (kai besiribojančio žemės sklypo naudojimo būdas yra pramonės ir sandėliavimo objektų teritorija) savininko ar valstybinės žemės valdytojo rašytinį sutikimą.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28B71CB0468">
                    <w:r w:rsidRPr="00532B9F">
                      <w:rPr>
                        <w:rFonts w:ascii="Times New Roman" w:eastAsia="MS Mincho" w:hAnsi="Times New Roman"/>
                        <w:sz w:val="20"/>
                        <w:i/>
                        <w:iCs/>
                        <w:color w:val="0000FF" w:themeColor="hyperlink"/>
                        <w:u w:val="single"/>
                      </w:rPr>
                      <w:t>D1-411</w:t>
                    </w:r>
                  </w:fldSimple>
                  <w:r>
                    <w:rPr>
                      <w:rFonts w:ascii="Times New Roman" w:eastAsia="MS Mincho" w:hAnsi="Times New Roman"/>
                      <w:sz w:val="20"/>
                      <w:i/>
                      <w:iCs/>
                    </w:rPr>
                    <w:t>,
2012-05-16,
Žin., 2012, Nr.
58-2917 (2012-05-22), i. k. 112301MISAK00D1-411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0f168087d811e7a3c4a5eb10f04386">
                    <w:r w:rsidRPr="00532B9F">
                      <w:rPr>
                        <w:rFonts w:ascii="Times New Roman" w:eastAsia="MS Mincho" w:hAnsi="Times New Roman"/>
                        <w:sz w:val="20"/>
                        <w:i/>
                        <w:iCs/>
                        <w:color w:val="0000FF" w:themeColor="hyperlink"/>
                        <w:u w:val="single"/>
                      </w:rPr>
                      <w:t>D1-621</w:t>
                    </w:r>
                  </w:fldSimple>
                  <w:r>
                    <w:rPr>
                      <w:rFonts w:ascii="Times New Roman" w:eastAsia="MS Mincho" w:hAnsi="Times New Roman"/>
                      <w:sz w:val="20"/>
                      <w:i/>
                      <w:iCs/>
                    </w:rPr>
                    <w:t>,
2017-07-24,
paskelbta TAR 2017-08-24, i. k. 2017-13587            </w:t>
                  </w:r>
                </w:p>
                <w:p/>
              </w:sdtContent>
            </w:sdt>
            <w:sdt>
              <w:sdtPr>
                <w:alias w:val="9 p."/>
                <w:tag w:val="part_3a6d90c9a7cf4adc85348c7314a81712"/>
                <w:lock w:val="sdtLocked"/>
                <w:richText/>
              </w:sdtPr>
              <w:sdtContent>
                <w:p>
                  <w:pPr>
                    <w:ind w:firstLine="709"/>
                    <w:jc w:val="both"/>
                  </w:pPr>
                  <w:sdt>
                    <w:sdtPr>
                      <w:alias w:val="Numeris"/>
                      <w:tag w:val="nr_3a6d90c9a7cf4adc85348c7314a81712"/>
                      <w:lock w:val="sdtLocked"/>
                      <w:richText/>
                    </w:sdtPr>
                    <w:sdtContent>
                      <w:r>
                        <w:t>9</w:t>
                      </w:r>
                    </w:sdtContent>
                  </w:sdt>
                  <w:r>
                    <w:t>. Jei Sklype išdėstytuose gamybos statiniuose yra atmosferos oro taršos pavojingomis medžiagomis šaltinių, tai kiti statiniai, kurie nesukelia tos taršos, turi būti išdėstomi uždaroje Sklypo dalyje (aerodinaminiame šešėlyje), t. y. apribotose statiniais, apsaugotose nuo vėjų, atitolintose bei žemiau išdėstytose oro taršos pašalinimo iš gamybos statinių vėdinimo sistemų šalinamųjų vamzdžių atžvilgiu vietose.</w:t>
                  </w:r>
                </w:p>
              </w:sdtContent>
            </w:sdt>
            <w:sdt>
              <w:sdtPr>
                <w:alias w:val="10 p."/>
                <w:tag w:val="part_c1e50007d0f1418f853c1a5fb1b36ab5"/>
                <w:lock w:val="sdtLocked"/>
                <w:richText/>
              </w:sdtPr>
              <w:sdtContent>
                <w:p>
                  <w:pPr>
                    <w:ind w:firstLine="709"/>
                    <w:jc w:val="both"/>
                  </w:pPr>
                  <w:sdt>
                    <w:sdtPr>
                      <w:alias w:val="Numeris"/>
                      <w:tag w:val="nr_c1e50007d0f1418f853c1a5fb1b36ab5"/>
                      <w:lock w:val="sdtLocked"/>
                      <w:richText/>
                    </w:sdtPr>
                    <w:sdtContent>
                      <w:r>
                        <w:t>10</w:t>
                      </w:r>
                    </w:sdtContent>
                  </w:sdt>
                  <w:r>
                    <w:t>. Rekonstruojant ar kapitališkai remontuojant gamybos statinius, kurių Sklypas neatitinka Reglamento nustatytų tvarkymo reikalavimų, turi būti numatyta:</w:t>
                  </w:r>
                </w:p>
                <w:sdt>
                  <w:sdtPr>
                    <w:alias w:val="10.1 pp."/>
                    <w:tag w:val="part_d8f4e971e727431b9c145d89778ab273"/>
                    <w:lock w:val="sdtLocked"/>
                    <w:richText/>
                  </w:sdtPr>
                  <w:sdtContent>
                    <w:p>
                      <w:pPr>
                        <w:ind w:firstLine="709"/>
                        <w:jc w:val="both"/>
                      </w:pPr>
                      <w:sdt>
                        <w:sdtPr>
                          <w:alias w:val="Numeris"/>
                          <w:tag w:val="nr_d8f4e971e727431b9c145d89778ab273"/>
                          <w:lock w:val="sdtLocked"/>
                          <w:richText/>
                        </w:sdtPr>
                        <w:sdtContent>
                          <w:r>
                            <w:t>10.1</w:t>
                          </w:r>
                        </w:sdtContent>
                      </w:sdt>
                      <w:r>
                        <w:t>. sanitarinės apsauginės zonos (kai tai privaloma) [4.2.1], [4.4.3] organizavimas. Jeigu pramonės įmonės išdėstytos kompleksiškai (pramonės rajonas, įmonių grupė), turi būti nustatoma bendra jų sanitarinė apsaugos zona;</w:t>
                      </w:r>
                    </w:p>
                  </w:sdtContent>
                </w:sdt>
                <w:sdt>
                  <w:sdtPr>
                    <w:alias w:val="10.2 pp."/>
                    <w:tag w:val="part_a0a7c94b7fff410ebdb01f1dee34f1b1"/>
                    <w:lock w:val="sdtLocked"/>
                    <w:richText/>
                  </w:sdtPr>
                  <w:sdtContent>
                    <w:p>
                      <w:pPr>
                        <w:ind w:firstLine="709"/>
                        <w:jc w:val="both"/>
                      </w:pPr>
                      <w:sdt>
                        <w:sdtPr>
                          <w:alias w:val="Numeris"/>
                          <w:tag w:val="nr_a0a7c94b7fff410ebdb01f1dee34f1b1"/>
                          <w:lock w:val="sdtLocked"/>
                          <w:richText/>
                        </w:sdtPr>
                        <w:sdtContent>
                          <w:r>
                            <w:t>10.2</w:t>
                          </w:r>
                        </w:sdtContent>
                      </w:sdt>
                      <w:r>
                        <w:t>. palaipsnis Sklypo dalijimo į paskirties zonas ir pavienių Sklypo zonų planavimo ir tvarkymo sprendinių tobulinimas, nesustabdant įmonės pagrindinės gamybos;</w:t>
                      </w:r>
                    </w:p>
                  </w:sdtContent>
                </w:sdt>
                <w:sdt>
                  <w:sdtPr>
                    <w:alias w:val="10.3 pp."/>
                    <w:tag w:val="part_a060b2c7a3f546cd81c6f98eecb7a1b5"/>
                    <w:lock w:val="sdtLocked"/>
                    <w:richText/>
                  </w:sdtPr>
                  <w:sdtContent>
                    <w:p>
                      <w:pPr>
                        <w:ind w:firstLine="709"/>
                        <w:jc w:val="both"/>
                      </w:pPr>
                      <w:sdt>
                        <w:sdtPr>
                          <w:alias w:val="Numeris"/>
                          <w:tag w:val="nr_a060b2c7a3f546cd81c6f98eecb7a1b5"/>
                          <w:lock w:val="sdtLocked"/>
                          <w:richText/>
                        </w:sdtPr>
                        <w:sdtContent>
                          <w:r>
                            <w:t>10.3</w:t>
                          </w:r>
                        </w:sdtContent>
                      </w:sdt>
                      <w:r>
                        <w:t>. teritorijos naudojimo efektyvumo didinimas;</w:t>
                      </w:r>
                    </w:p>
                  </w:sdtContent>
                </w:sdt>
                <w:sdt>
                  <w:sdtPr>
                    <w:alias w:val="10.4 pp."/>
                    <w:tag w:val="part_999453bef0824a758cda760387ded35d"/>
                    <w:lock w:val="sdtLocked"/>
                    <w:richText/>
                  </w:sdtPr>
                  <w:sdtContent>
                    <w:p>
                      <w:pPr>
                        <w:ind w:firstLine="709"/>
                        <w:jc w:val="both"/>
                      </w:pPr>
                      <w:sdt>
                        <w:sdtPr>
                          <w:alias w:val="Numeris"/>
                          <w:tag w:val="nr_999453bef0824a758cda760387ded35d"/>
                          <w:lock w:val="sdtLocked"/>
                          <w:richText/>
                        </w:sdtPr>
                        <w:sdtContent>
                          <w:r>
                            <w:t>10.4</w:t>
                          </w:r>
                        </w:sdtContent>
                      </w:sdt>
                      <w:r>
                        <w:t>. Sklypo užstatymo architektūrinės išraiškos gerinimas.</w:t>
                      </w:r>
                    </w:p>
                    <w:p>
                      <w:pPr>
                        <w:ind w:firstLine="709"/>
                        <w:jc w:val="both"/>
                      </w:pPr>
                    </w:p>
                  </w:sdtContent>
                </w:sdt>
              </w:sdtContent>
            </w:sdt>
          </w:sdtContent>
        </w:sdt>
        <w:sdt>
          <w:sdtPr>
            <w:alias w:val="skyrius"/>
            <w:tag w:val="part_3b21efc5162440dc8da9450c514a32d4"/>
            <w:lock w:val="sdtLocked"/>
            <w:richText/>
          </w:sdtPr>
          <w:sdtContent>
            <w:p>
              <w:pPr>
                <w:jc w:val="center"/>
                <w:rPr>
                  <w:b/>
                </w:rPr>
              </w:pPr>
              <w:sdt>
                <w:sdtPr>
                  <w:alias w:val="Numeris"/>
                  <w:tag w:val="nr_3b21efc5162440dc8da9450c514a32d4"/>
                  <w:lock w:val="sdtLocked"/>
                  <w:richText/>
                </w:sdtPr>
                <w:sdtContent>
                  <w:r>
                    <w:rPr>
                      <w:b/>
                    </w:rPr>
                    <w:t>IV</w:t>
                  </w:r>
                </w:sdtContent>
              </w:sdt>
              <w:r>
                <w:rPr>
                  <w:b/>
                </w:rPr>
                <w:t xml:space="preserve"> SKYRIUS. </w:t>
              </w:r>
              <w:sdt>
                <w:sdtPr>
                  <w:alias w:val="Pavadinimas"/>
                  <w:tag w:val="title_3b21efc5162440dc8da9450c514a32d4"/>
                  <w:lock w:val="sdtLocked"/>
                  <w:richText/>
                </w:sdtPr>
                <w:sdtContent>
                  <w:r>
                    <w:rPr>
                      <w:b/>
                    </w:rPr>
                    <w:t>SKLYPO DALIJIMAS Į PASKIRTIES ZONAS</w:t>
                  </w:r>
                </w:sdtContent>
              </w:sdt>
            </w:p>
            <w:p>
              <w:pPr>
                <w:jc w:val="center"/>
                <w:rPr>
                  <w:b/>
                </w:rPr>
              </w:pPr>
            </w:p>
            <w:sdt>
              <w:sdtPr>
                <w:alias w:val="11 p."/>
                <w:tag w:val="part_c426f7c024cf4210a1513c1fdb8e9e84"/>
                <w:lock w:val="sdtLocked"/>
                <w:richText/>
              </w:sdtPr>
              <w:sdtContent>
                <w:p>
                  <w:pPr>
                    <w:ind w:firstLine="709"/>
                    <w:jc w:val="both"/>
                  </w:pPr>
                  <w:sdt>
                    <w:sdtPr>
                      <w:alias w:val="Numeris"/>
                      <w:tag w:val="nr_c426f7c024cf4210a1513c1fdb8e9e84"/>
                      <w:lock w:val="sdtLocked"/>
                      <w:richText/>
                    </w:sdtPr>
                    <w:sdtContent>
                      <w:r>
                        <w:t>11</w:t>
                      </w:r>
                    </w:sdtContent>
                  </w:sdt>
                  <w:r>
                    <w:t>. Sklypas dalijamas į šias pagrindines paskirties zonas:</w:t>
                  </w:r>
                </w:p>
                <w:sdt>
                  <w:sdtPr>
                    <w:alias w:val="11.1 pp."/>
                    <w:tag w:val="part_89a47fd3d8a04ad1b3b48f3cb16c63ba"/>
                    <w:lock w:val="sdtLocked"/>
                    <w:richText/>
                  </w:sdtPr>
                  <w:sdtContent>
                    <w:p>
                      <w:pPr>
                        <w:ind w:firstLine="709"/>
                        <w:jc w:val="both"/>
                      </w:pPr>
                      <w:sdt>
                        <w:sdtPr>
                          <w:alias w:val="Numeris"/>
                          <w:tag w:val="nr_89a47fd3d8a04ad1b3b48f3cb16c63ba"/>
                          <w:lock w:val="sdtLocked"/>
                          <w:richText/>
                        </w:sdtPr>
                        <w:sdtContent>
                          <w:r>
                            <w:t>11.1</w:t>
                          </w:r>
                        </w:sdtContent>
                      </w:sdt>
                      <w:r>
                        <w:t>. gamybos, kurioje išdėstomi gamybos ir pramonės statiniai (tarp jų gamybos reikmėms skirti energetikos ir kitos inžinerinės infrastruktūros statiniai);</w:t>
                      </w:r>
                    </w:p>
                  </w:sdtContent>
                </w:sdt>
                <w:sdt>
                  <w:sdtPr>
                    <w:alias w:val="11.2 pp."/>
                    <w:tag w:val="part_bdd63ee8e97741e79dce35157b9c453c"/>
                    <w:lock w:val="sdtLocked"/>
                    <w:richText/>
                  </w:sdtPr>
                  <w:sdtContent>
                    <w:p>
                      <w:pPr>
                        <w:ind w:firstLine="709"/>
                        <w:jc w:val="both"/>
                      </w:pPr>
                      <w:sdt>
                        <w:sdtPr>
                          <w:alias w:val="Numeris"/>
                          <w:tag w:val="nr_bdd63ee8e97741e79dce35157b9c453c"/>
                          <w:lock w:val="sdtLocked"/>
                          <w:richText/>
                        </w:sdtPr>
                        <w:sdtContent>
                          <w:r>
                            <w:t>11.2</w:t>
                          </w:r>
                        </w:sdtContent>
                      </w:sdt>
                      <w:r>
                        <w:t>. sandėliavimo, kurioje išdėstomi sandėliavimo statiniai;</w:t>
                      </w:r>
                    </w:p>
                  </w:sdtContent>
                </w:sdt>
                <w:sdt>
                  <w:sdtPr>
                    <w:alias w:val="11.3 pp."/>
                    <w:tag w:val="part_214ec27e3b5440cca8adbb949b97ae8c"/>
                    <w:lock w:val="sdtLocked"/>
                    <w:richText/>
                  </w:sdtPr>
                  <w:sdtContent>
                    <w:p>
                      <w:pPr>
                        <w:ind w:firstLine="709"/>
                        <w:jc w:val="both"/>
                      </w:pPr>
                      <w:sdt>
                        <w:sdtPr>
                          <w:alias w:val="Numeris"/>
                          <w:tag w:val="nr_214ec27e3b5440cca8adbb949b97ae8c"/>
                          <w:lock w:val="sdtLocked"/>
                          <w:richText/>
                        </w:sdtPr>
                        <w:sdtContent>
                          <w:r>
                            <w:t>11.3</w:t>
                          </w:r>
                        </w:sdtContent>
                      </w:sdt>
                      <w:r>
                        <w:t>. administracinę-pagalbinę, kurioje išdėstomi administracijos (valdymo) ir pagalbiniai statiniai (ar patalpos pastatuose), skirti darbuotojų reikmėms tenkinti (žr. Reglamento 12 punktą);</w:t>
                      </w:r>
                    </w:p>
                  </w:sdtContent>
                </w:sdt>
                <w:sdt>
                  <w:sdtPr>
                    <w:alias w:val="11.4 pp."/>
                    <w:tag w:val="part_318d91b4edce4b10b95dc1b8679377cc"/>
                    <w:lock w:val="sdtLocked"/>
                    <w:richText/>
                  </w:sdtPr>
                  <w:sdtContent>
                    <w:p>
                      <w:pPr>
                        <w:ind w:firstLine="709"/>
                        <w:jc w:val="both"/>
                      </w:pPr>
                      <w:sdt>
                        <w:sdtPr>
                          <w:alias w:val="Numeris"/>
                          <w:tag w:val="nr_318d91b4edce4b10b95dc1b8679377cc"/>
                          <w:lock w:val="sdtLocked"/>
                          <w:richText/>
                        </w:sdtPr>
                        <w:sdtContent>
                          <w:r>
                            <w:t>11.4</w:t>
                          </w:r>
                        </w:sdtContent>
                      </w:sdt>
                      <w:r>
                        <w:t>. rekreacijos (želdynai, poilsio aikštelės ir pan.).</w:t>
                      </w:r>
                    </w:p>
                    <w:p>
                      <w:pPr>
                        <w:ind w:firstLine="709"/>
                        <w:jc w:val="both"/>
                      </w:pPr>
                      <w:r>
                        <w:t>Atskirais atvejais, techniškai ekonomiškai pagrindus, be aukščiau nurodytų zonų, gali būti papildomai numatomos ir kitos zonos, tarp jų – priešgamyklinė zona, kuri išdėstoma Sklypo ribose už gamybos teritorijos aptvaro išorinio kontūro.</w:t>
                      </w:r>
                    </w:p>
                  </w:sdtContent>
                </w:sdt>
              </w:sdtContent>
            </w:sdt>
            <w:sdt>
              <w:sdtPr>
                <w:alias w:val="12 p."/>
                <w:tag w:val="part_8ceea787ae2e4dd090d698dd33e56ac4"/>
                <w:lock w:val="sdtLocked"/>
                <w:richText/>
              </w:sdtPr>
              <w:sdtContent>
                <w:p>
                  <w:pPr>
                    <w:ind w:firstLine="709"/>
                    <w:jc w:val="both"/>
                  </w:pPr>
                  <w:sdt>
                    <w:sdtPr>
                      <w:alias w:val="Numeris"/>
                      <w:tag w:val="nr_8ceea787ae2e4dd090d698dd33e56ac4"/>
                      <w:lock w:val="sdtLocked"/>
                      <w:richText/>
                    </w:sdtPr>
                    <w:sdtContent>
                      <w:r>
                        <w:t>12</w:t>
                      </w:r>
                    </w:sdtContent>
                  </w:sdt>
                  <w:r>
                    <w:t>. Priešgamyklinėje zonoje gali būti statomi šių paskirčių statiniai (ar patalpos pastatuose), jei jie nurodyti Techninėje užduotyje [4.3.2]:</w:t>
                  </w:r>
                </w:p>
                <w:sdt>
                  <w:sdtPr>
                    <w:alias w:val="12.1 pp."/>
                    <w:tag w:val="part_19e9b39765a14ba69ffced60feeb9df5"/>
                    <w:lock w:val="sdtLocked"/>
                    <w:richText/>
                  </w:sdtPr>
                  <w:sdtContent>
                    <w:p>
                      <w:pPr>
                        <w:ind w:firstLine="709"/>
                        <w:jc w:val="both"/>
                      </w:pPr>
                      <w:sdt>
                        <w:sdtPr>
                          <w:alias w:val="Numeris"/>
                          <w:tag w:val="nr_19e9b39765a14ba69ffced60feeb9df5"/>
                          <w:lock w:val="sdtLocked"/>
                          <w:richText/>
                        </w:sdtPr>
                        <w:sdtContent>
                          <w:r>
                            <w:t>12.1</w:t>
                          </w:r>
                        </w:sdtContent>
                      </w:sdt>
                      <w:r>
                        <w:t>. gamyklos administracijos (valdymo);</w:t>
                      </w:r>
                    </w:p>
                  </w:sdtContent>
                </w:sdt>
                <w:sdt>
                  <w:sdtPr>
                    <w:alias w:val="12.2 pp."/>
                    <w:tag w:val="part_49858f19f3fa4ffaac3d2ae22d1ceb6b"/>
                    <w:lock w:val="sdtLocked"/>
                    <w:richText/>
                  </w:sdtPr>
                  <w:sdtContent>
                    <w:p>
                      <w:pPr>
                        <w:ind w:firstLine="709"/>
                        <w:jc w:val="both"/>
                      </w:pPr>
                      <w:sdt>
                        <w:sdtPr>
                          <w:alias w:val="Numeris"/>
                          <w:tag w:val="nr_49858f19f3fa4ffaac3d2ae22d1ceb6b"/>
                          <w:lock w:val="sdtLocked"/>
                          <w:richText/>
                        </w:sdtPr>
                        <w:sdtContent>
                          <w:r>
                            <w:t>12.2</w:t>
                          </w:r>
                        </w:sdtContent>
                      </w:sdt>
                      <w:r>
                        <w:t>. įėjimo į įmonę kontrolės;</w:t>
                      </w:r>
                    </w:p>
                  </w:sdtContent>
                </w:sdt>
                <w:sdt>
                  <w:sdtPr>
                    <w:alias w:val="12.3 pp."/>
                    <w:tag w:val="part_6fcbaa515018451690569f44d1c56821"/>
                    <w:lock w:val="sdtLocked"/>
                    <w:richText/>
                  </w:sdtPr>
                  <w:sdtContent>
                    <w:p>
                      <w:pPr>
                        <w:ind w:firstLine="709"/>
                        <w:jc w:val="both"/>
                      </w:pPr>
                      <w:sdt>
                        <w:sdtPr>
                          <w:alias w:val="Numeris"/>
                          <w:tag w:val="nr_6fcbaa515018451690569f44d1c56821"/>
                          <w:lock w:val="sdtLocked"/>
                          <w:richText/>
                        </w:sdtPr>
                        <w:sdtContent>
                          <w:r>
                            <w:t>12.3</w:t>
                          </w:r>
                        </w:sdtContent>
                      </w:sdt>
                      <w:r>
                        <w:t>. darbuotojų buities, sanitarinių ir higienos patalpų [4.2.2];</w:t>
                      </w:r>
                    </w:p>
                  </w:sdtContent>
                </w:sdt>
                <w:sdt>
                  <w:sdtPr>
                    <w:alias w:val="12.4 pp."/>
                    <w:tag w:val="part_4e5f5d6311024bd78a67d39ca52b2be4"/>
                    <w:lock w:val="sdtLocked"/>
                    <w:richText/>
                  </w:sdtPr>
                  <w:sdtContent>
                    <w:p>
                      <w:pPr>
                        <w:ind w:firstLine="709"/>
                        <w:jc w:val="both"/>
                      </w:pPr>
                      <w:sdt>
                        <w:sdtPr>
                          <w:alias w:val="Numeris"/>
                          <w:tag w:val="nr_4e5f5d6311024bd78a67d39ca52b2be4"/>
                          <w:lock w:val="sdtLocked"/>
                          <w:richText/>
                        </w:sdtPr>
                        <w:sdtContent>
                          <w:r>
                            <w:t>12.4</w:t>
                          </w:r>
                        </w:sdtContent>
                      </w:sdt>
                      <w:r>
                        <w:t>. darbuotojų viešojo maitinimo, sveikatos priežiūros ir kitų paslaugų;</w:t>
                      </w:r>
                    </w:p>
                  </w:sdtContent>
                </w:sdt>
                <w:sdt>
                  <w:sdtPr>
                    <w:alias w:val="12.5 pp."/>
                    <w:tag w:val="part_453adb074e8240949b0bd89770271755"/>
                    <w:lock w:val="sdtLocked"/>
                    <w:richText/>
                  </w:sdtPr>
                  <w:sdtContent>
                    <w:p>
                      <w:pPr>
                        <w:ind w:firstLine="709"/>
                        <w:jc w:val="both"/>
                      </w:pPr>
                      <w:sdt>
                        <w:sdtPr>
                          <w:alias w:val="Numeris"/>
                          <w:tag w:val="nr_453adb074e8240949b0bd89770271755"/>
                          <w:lock w:val="sdtLocked"/>
                          <w:richText/>
                        </w:sdtPr>
                        <w:sdtContent>
                          <w:r>
                            <w:t>12.5</w:t>
                          </w:r>
                        </w:sdtContent>
                      </w:sdt>
                      <w:r>
                        <w:t>. darbuotojų mokymo;</w:t>
                      </w:r>
                    </w:p>
                  </w:sdtContent>
                </w:sdt>
                <w:sdt>
                  <w:sdtPr>
                    <w:alias w:val="12.6 pp."/>
                    <w:tag w:val="part_dc843b07f52d4102806df56fcd8e7c8f"/>
                    <w:lock w:val="sdtLocked"/>
                    <w:richText/>
                  </w:sdtPr>
                  <w:sdtContent>
                    <w:p>
                      <w:pPr>
                        <w:ind w:firstLine="709"/>
                        <w:jc w:val="both"/>
                      </w:pPr>
                      <w:sdt>
                        <w:sdtPr>
                          <w:alias w:val="Numeris"/>
                          <w:tag w:val="nr_dc843b07f52d4102806df56fcd8e7c8f"/>
                          <w:lock w:val="sdtLocked"/>
                          <w:richText/>
                        </w:sdtPr>
                        <w:sdtContent>
                          <w:r>
                            <w:t>12.6</w:t>
                          </w:r>
                        </w:sdtContent>
                      </w:sdt>
                      <w:r>
                        <w:t>. klientų bei darbuotojų atviros ar uždaros automobilių bei bevariklio transporto saugyklos;</w:t>
                      </w:r>
                    </w:p>
                  </w:sdtContent>
                </w:sdt>
                <w:sdt>
                  <w:sdtPr>
                    <w:alias w:val="12.7 pp."/>
                    <w:tag w:val="part_4fd9a9a2721647ed8dc24e050b14af73"/>
                    <w:lock w:val="sdtLocked"/>
                    <w:richText/>
                  </w:sdtPr>
                  <w:sdtContent>
                    <w:p>
                      <w:pPr>
                        <w:ind w:firstLine="709"/>
                        <w:jc w:val="both"/>
                      </w:pPr>
                      <w:sdt>
                        <w:sdtPr>
                          <w:alias w:val="Numeris"/>
                          <w:tag w:val="nr_4fd9a9a2721647ed8dc24e050b14af73"/>
                          <w:lock w:val="sdtLocked"/>
                          <w:richText/>
                        </w:sdtPr>
                        <w:sdtContent>
                          <w:r>
                            <w:t>12.7</w:t>
                          </w:r>
                        </w:sdtContent>
                      </w:sdt>
                      <w:r>
                        <w:t>. kiti pastatai bei statiniai, išskyrus gamybos statinius, priklausomai nuo Sklypo naudojimo paskirties.</w:t>
                      </w:r>
                    </w:p>
                  </w:sdtContent>
                </w:sdt>
              </w:sdtContent>
            </w:sdt>
            <w:sdt>
              <w:sdtPr>
                <w:alias w:val="13 p."/>
                <w:tag w:val="part_5ca2d56bacaa4f338be63a81ddc909f5"/>
                <w:lock w:val="sdtLocked"/>
                <w:richText/>
              </w:sdtPr>
              <w:sdtContent>
                <w:p>
                  <w:pPr>
                    <w:ind w:firstLine="709"/>
                    <w:jc w:val="both"/>
                  </w:pPr>
                  <w:sdt>
                    <w:sdtPr>
                      <w:alias w:val="Numeris"/>
                      <w:tag w:val="nr_5ca2d56bacaa4f338be63a81ddc909f5"/>
                      <w:lock w:val="sdtLocked"/>
                      <w:richText/>
                    </w:sdtPr>
                    <w:sdtContent>
                      <w:r>
                        <w:t>13</w:t>
                      </w:r>
                    </w:sdtContent>
                  </w:sdt>
                  <w:r>
                    <w:t>. Dalijimas į zonas gali būti patikslintas, įvertinant konkretaus Sklypo naudojimo reikalavimus.</w:t>
                  </w:r>
                </w:p>
              </w:sdtContent>
            </w:sdt>
            <w:sdt>
              <w:sdtPr>
                <w:alias w:val="14 p."/>
                <w:tag w:val="part_fb052467e7cb4dd589427a6c5b0a0bed"/>
                <w:lock w:val="sdtLocked"/>
                <w:richText/>
              </w:sdtPr>
              <w:sdtContent>
                <w:p>
                  <w:pPr>
                    <w:ind w:firstLine="709"/>
                    <w:jc w:val="both"/>
                  </w:pPr>
                  <w:sdt>
                    <w:sdtPr>
                      <w:alias w:val="Numeris"/>
                      <w:tag w:val="nr_fb052467e7cb4dd589427a6c5b0a0bed"/>
                      <w:lock w:val="sdtLocked"/>
                      <w:richText/>
                    </w:sdtPr>
                    <w:sdtContent>
                      <w:r>
                        <w:t>14</w:t>
                      </w:r>
                    </w:sdtContent>
                  </w:sdt>
                  <w:r>
                    <w:t>. Sklypas gali būti nedalijamas į zonas, jei jame yra tik vienas ar keli pastatai, kuriuose talpinamos visų paskirčių patalpos (gamybos, administracinės – pagalbinės ir kt.).</w:t>
                  </w:r>
                </w:p>
              </w:sdtContent>
            </w:sdt>
            <w:sdt>
              <w:sdtPr>
                <w:alias w:val="15 p."/>
                <w:tag w:val="part_b1ac303c8c644fe799858fb17f9a400f"/>
                <w:lock w:val="sdtLocked"/>
                <w:richText/>
              </w:sdtPr>
              <w:sdtContent>
                <w:p>
                  <w:pPr>
                    <w:ind w:firstLine="709"/>
                    <w:jc w:val="both"/>
                  </w:pPr>
                  <w:sdt>
                    <w:sdtPr>
                      <w:alias w:val="Numeris"/>
                      <w:tag w:val="nr_b1ac303c8c644fe799858fb17f9a400f"/>
                      <w:lock w:val="sdtLocked"/>
                      <w:richText/>
                    </w:sdtPr>
                    <w:sdtContent>
                      <w:r>
                        <w:t>15</w:t>
                      </w:r>
                    </w:sdtContent>
                  </w:sdt>
                  <w:r>
                    <w:t>. Kai įmanoma, priešgamyklinė zona išdėstoma iš tos Sklypo pusės, kurioje yra projektuojami transporto įvažiavimai ir darbuotojams skirti įėjimai į gamybos teritoriją.</w:t>
                  </w:r>
                </w:p>
              </w:sdtContent>
            </w:sdt>
            <w:sdt>
              <w:sdtPr>
                <w:alias w:val="16 p."/>
                <w:tag w:val="part_2730eeadd65141ed9f5cc719a0f1147a"/>
                <w:lock w:val="sdtLocked"/>
                <w:richText/>
              </w:sdtPr>
              <w:sdtContent>
                <w:p>
                  <w:pPr>
                    <w:ind w:firstLine="709"/>
                    <w:jc w:val="both"/>
                  </w:pPr>
                  <w:sdt>
                    <w:sdtPr>
                      <w:alias w:val="Numeris"/>
                      <w:tag w:val="nr_2730eeadd65141ed9f5cc719a0f1147a"/>
                      <w:lock w:val="sdtLocked"/>
                      <w:richText/>
                    </w:sdtPr>
                    <w:sdtContent>
                      <w:r>
                        <w:t>16</w:t>
                      </w:r>
                    </w:sdtContent>
                  </w:sdt>
                  <w:r>
                    <w:t>. Priešgamyklinės zonos plotas nustatomas priklausomai nuo šioje zonoje numatomų statinių. Automobilių saugyklų (stovėjimo aikštelių) plotas nustatomas pagal STR 2.06.01:1999 [4.3.4] reikalavimus.</w:t>
                  </w:r>
                </w:p>
                <w:p>
                  <w:pPr>
                    <w:ind w:firstLine="709"/>
                    <w:jc w:val="both"/>
                  </w:pPr>
                </w:p>
              </w:sdtContent>
            </w:sdt>
          </w:sdtContent>
        </w:sdt>
        <w:sdt>
          <w:sdtPr>
            <w:alias w:val="skyrius"/>
            <w:tag w:val="part_1bd35258a1f74c77a7acc46b23402ed3"/>
            <w:lock w:val="sdtLocked"/>
            <w:richText/>
          </w:sdtPr>
          <w:sdtContent>
            <w:p>
              <w:pPr>
                <w:jc w:val="center"/>
                <w:rPr>
                  <w:b/>
                </w:rPr>
              </w:pPr>
              <w:sdt>
                <w:sdtPr>
                  <w:alias w:val="Numeris"/>
                  <w:tag w:val="nr_1bd35258a1f74c77a7acc46b23402ed3"/>
                  <w:lock w:val="sdtLocked"/>
                  <w:richText/>
                </w:sdtPr>
                <w:sdtContent>
                  <w:r>
                    <w:rPr>
                      <w:b/>
                    </w:rPr>
                    <w:t>V</w:t>
                  </w:r>
                </w:sdtContent>
              </w:sdt>
              <w:r>
                <w:rPr>
                  <w:b/>
                </w:rPr>
                <w:t xml:space="preserve"> SKYRIUS. </w:t>
              </w:r>
              <w:sdt>
                <w:sdtPr>
                  <w:alias w:val="Pavadinimas"/>
                  <w:tag w:val="title_1bd35258a1f74c77a7acc46b23402ed3"/>
                  <w:lock w:val="sdtLocked"/>
                  <w:richText/>
                </w:sdtPr>
                <w:sdtContent>
                  <w:r>
                    <w:rPr>
                      <w:b/>
                    </w:rPr>
                    <w:t>GAMYBOS STATINIŲ IŠDĖSTYMAS SKLYPE</w:t>
                  </w:r>
                </w:sdtContent>
              </w:sdt>
            </w:p>
            <w:p>
              <w:pPr>
                <w:jc w:val="center"/>
                <w:rPr>
                  <w:b/>
                </w:rPr>
              </w:pPr>
            </w:p>
            <w:sdt>
              <w:sdtPr>
                <w:alias w:val="17 p."/>
                <w:tag w:val="part_79199a0fcb5441a9aa1a462d6da62594"/>
                <w:lock w:val="sdtLocked"/>
                <w:richText/>
              </w:sdtPr>
              <w:sdtContent>
                <w:p>
                  <w:pPr>
                    <w:ind w:firstLine="709"/>
                    <w:jc w:val="both"/>
                  </w:pPr>
                  <w:sdt>
                    <w:sdtPr>
                      <w:alias w:val="Numeris"/>
                      <w:tag w:val="nr_79199a0fcb5441a9aa1a462d6da62594"/>
                      <w:lock w:val="sdtLocked"/>
                      <w:richText/>
                    </w:sdtPr>
                    <w:sdtContent>
                      <w:r>
                        <w:t>17</w:t>
                      </w:r>
                    </w:sdtContent>
                  </w:sdt>
                  <w:r>
                    <w:t>. Įėjimų ir įvažiavimų į Sklypą ir gamybos teritoriją vietos ir skaičius nurodomas Techninėje užduotyje [4.3.2]. Atstumai tarp įėjimų ar įvažiavimų turi būti ne didesni kaip 1,5 km, jei Techninėje užduotyje nenurodyta kitaip.</w:t>
                  </w:r>
                </w:p>
              </w:sdtContent>
            </w:sdt>
            <w:sdt>
              <w:sdtPr>
                <w:alias w:val="18 p."/>
                <w:tag w:val="part_ae65d40cd1a6429297ee80e94b9fdd54"/>
                <w:lock w:val="sdtLocked"/>
                <w:richText/>
              </w:sdtPr>
              <w:sdtContent>
                <w:p>
                  <w:pPr>
                    <w:ind w:firstLine="709"/>
                    <w:jc w:val="both"/>
                  </w:pPr>
                  <w:sdt>
                    <w:sdtPr>
                      <w:alias w:val="Numeris"/>
                      <w:tag w:val="nr_ae65d40cd1a6429297ee80e94b9fdd54"/>
                      <w:lock w:val="sdtLocked"/>
                      <w:richText/>
                    </w:sdtPr>
                    <w:sdtContent>
                      <w:r>
                        <w:t>18</w:t>
                      </w:r>
                    </w:sdtContent>
                  </w:sdt>
                  <w:r>
                    <w:t>. Prie įėjimų ir įvažiavimų į gamybos teritoriją numatomi praėjimo punktai. Kontrolės sistema nurodoma Techninėje užduotyje [4.3.2].</w:t>
                  </w:r>
                </w:p>
              </w:sdtContent>
            </w:sdt>
            <w:sdt>
              <w:sdtPr>
                <w:alias w:val="19 p."/>
                <w:tag w:val="part_024c3304f7ce4de0b69c421cbe627311"/>
                <w:lock w:val="sdtLocked"/>
                <w:richText/>
              </w:sdtPr>
              <w:sdtContent>
                <w:p>
                  <w:pPr>
                    <w:ind w:firstLine="709"/>
                    <w:jc w:val="both"/>
                  </w:pPr>
                  <w:sdt>
                    <w:sdtPr>
                      <w:alias w:val="Numeris"/>
                      <w:tag w:val="nr_024c3304f7ce4de0b69c421cbe627311"/>
                      <w:lock w:val="sdtLocked"/>
                      <w:richText/>
                    </w:sdtPr>
                    <w:sdtContent>
                      <w:r>
                        <w:t>19</w:t>
                      </w:r>
                    </w:sdtContent>
                  </w:sdt>
                  <w:r>
                    <w:t>. Atstumas nuo įėjimų ir įvažiavimų į gamybos teritoriją iki įėjimų į pagrindinių cechų darbuotojų buities higienos patalpas neturi būti didesnis kaip 800 m.</w:t>
                  </w:r>
                </w:p>
              </w:sdtContent>
            </w:sdt>
            <w:sdt>
              <w:sdtPr>
                <w:alias w:val="20 p."/>
                <w:tag w:val="part_1470beb6ba304c258004b381f73c5e17"/>
                <w:lock w:val="sdtLocked"/>
                <w:richText/>
              </w:sdtPr>
              <w:sdtContent>
                <w:p>
                  <w:pPr>
                    <w:ind w:firstLine="709"/>
                    <w:jc w:val="both"/>
                  </w:pPr>
                  <w:sdt>
                    <w:sdtPr>
                      <w:alias w:val="Numeris"/>
                      <w:tag w:val="nr_1470beb6ba304c258004b381f73c5e17"/>
                      <w:lock w:val="sdtLocked"/>
                      <w:richText/>
                    </w:sdtPr>
                    <w:sdtContent>
                      <w:r>
                        <w:t>20</w:t>
                      </w:r>
                    </w:sdtContent>
                  </w:sdt>
                  <w:r>
                    <w:t>. Atstumai nuo gamybinių darbo vietų iki darbuotojų buities, sanitarinių ir higienos patalpų nustatomi pagal buities, sanitarinių ir higienos patalpų įrengimo reikalavimus [4.2.2].</w:t>
                  </w:r>
                </w:p>
                <w:p>
                  <w:pPr>
                    <w:ind w:firstLine="709"/>
                    <w:jc w:val="both"/>
                  </w:pPr>
                  <w:r>
                    <w:t>Prieš įėjimus į gamybos teritoriją ir įėjimus į buities higienos patalpas, valgyklas ir administracinius pastatus turi būti numatyta aikštelė, kurios plotas apskaičiuojamas pagal didžiausioje pamainoje dirbančiųjų skaičių – ne mažiau, kaip 0,15 m</w:t>
                  </w:r>
                  <w:r>
                    <w:rPr>
                      <w:vertAlign w:val="superscript"/>
                    </w:rPr>
                    <w:t>2</w:t>
                  </w:r>
                  <w:r>
                    <w:t xml:space="preserve"> 1 žmogui.</w:t>
                  </w:r>
                </w:p>
              </w:sdtContent>
            </w:sdt>
            <w:sdt>
              <w:sdtPr>
                <w:alias w:val="21 p."/>
                <w:tag w:val="part_6634cf01a3124468a6cf083f17ca766e"/>
                <w:lock w:val="sdtLocked"/>
                <w:richText/>
              </w:sdtPr>
              <w:sdtContent>
                <w:p>
                  <w:pPr>
                    <w:ind w:firstLine="709"/>
                    <w:jc w:val="both"/>
                  </w:pPr>
                  <w:sdt>
                    <w:sdtPr>
                      <w:alias w:val="Numeris"/>
                      <w:tag w:val="nr_6634cf01a3124468a6cf083f17ca766e"/>
                      <w:lock w:val="sdtLocked"/>
                      <w:richText/>
                    </w:sdtPr>
                    <w:sdtContent>
                      <w:r>
                        <w:t>21</w:t>
                      </w:r>
                    </w:sdtContent>
                  </w:sdt>
                  <w:r>
                    <w:t>. Jei Sklype projektuojamose ar esamuose statiniuose numatomas žmonių su negalia, naudojančių kėdes-vežimėlius, darbas, įėjimuose į gamybos, taip pat į administracijos, darbuotojų buities higienos ir kitus pagalbinius pastatus turi būti įrengti pandusai pagal STR 2.03.01:2001 [4.3.5] reikalavimus.</w:t>
                  </w:r>
                </w:p>
              </w:sdtContent>
            </w:sdt>
            <w:sdt>
              <w:sdtPr>
                <w:alias w:val="22 p."/>
                <w:tag w:val="part_b3d64e7200b742b98280d39c4ad18356"/>
                <w:lock w:val="sdtLocked"/>
                <w:richText/>
              </w:sdtPr>
              <w:sdtContent>
                <w:p>
                  <w:pPr>
                    <w:ind w:firstLine="709"/>
                    <w:jc w:val="both"/>
                  </w:pPr>
                  <w:sdt>
                    <w:sdtPr>
                      <w:alias w:val="Numeris"/>
                      <w:tag w:val="nr_b3d64e7200b742b98280d39c4ad18356"/>
                      <w:lock w:val="sdtLocked"/>
                      <w:richText/>
                    </w:sdtPr>
                    <w:sdtContent>
                      <w:r>
                        <w:t>22</w:t>
                      </w:r>
                    </w:sdtContent>
                  </w:sdt>
                  <w:r>
                    <w:t>. Atstumai tarp pastatų, inžinerinių statinių (tarp jų – inžinerinių tinklų) turi būti priimami mažiausiai leistini su sąlyga, kad būtų nepažeistas sklypo užstatymo tankis, nustatytas teritorijų planavimo dokumentuose.</w:t>
                  </w:r>
                </w:p>
              </w:sdtContent>
            </w:sdt>
            <w:sdt>
              <w:sdtPr>
                <w:alias w:val="23 p."/>
                <w:tag w:val="part_7edefd1263624ac08731589ab57db6b3"/>
                <w:lock w:val="sdtLocked"/>
                <w:richText/>
              </w:sdtPr>
              <w:sdtContent>
                <w:p>
                  <w:pPr>
                    <w:ind w:firstLine="709"/>
                    <w:jc w:val="both"/>
                  </w:pPr>
                  <w:sdt>
                    <w:sdtPr>
                      <w:alias w:val="Numeris"/>
                      <w:tag w:val="nr_7edefd1263624ac08731589ab57db6b3"/>
                      <w:lock w:val="sdtLocked"/>
                      <w:richText/>
                    </w:sdtPr>
                    <w:sdtContent>
                      <w:r>
                        <w:t>23</w:t>
                      </w:r>
                    </w:sdtContent>
                  </w:sdt>
                  <w:r>
                    <w:t>. Gamybos pastatai, atsižvelgiant į gamybos specifiką ir gamtines sąlygas, turi būti išdėstomi, atsižvelgiant į šiuos reikalavimus:</w:t>
                  </w:r>
                </w:p>
                <w:sdt>
                  <w:sdtPr>
                    <w:alias w:val="23.1 pp."/>
                    <w:tag w:val="part_81c0b6c6cefa4b01910ddcba6e58fe11"/>
                    <w:lock w:val="sdtLocked"/>
                    <w:richText/>
                  </w:sdtPr>
                  <w:sdtContent>
                    <w:p>
                      <w:pPr>
                        <w:ind w:firstLine="709"/>
                        <w:jc w:val="both"/>
                      </w:pPr>
                      <w:sdt>
                        <w:sdtPr>
                          <w:alias w:val="Numeris"/>
                          <w:tag w:val="nr_81c0b6c6cefa4b01910ddcba6e58fe11"/>
                          <w:lock w:val="sdtLocked"/>
                          <w:richText/>
                        </w:sdtPr>
                        <w:sdtContent>
                          <w:r>
                            <w:t>23.1</w:t>
                          </w:r>
                        </w:sdtContent>
                      </w:sdt>
                      <w:r>
                        <w:t>. pastato ir stoglangių išilginės ašys turi būti orientuotos 45</w:t>
                      </w:r>
                      <w:r>
                        <w:rPr>
                          <w:vertAlign w:val="superscript"/>
                        </w:rPr>
                        <w:t>o</w:t>
                      </w:r>
                      <w:r>
                        <w:t>-110</w:t>
                      </w:r>
                      <w:r>
                        <w:rPr>
                          <w:vertAlign w:val="superscript"/>
                        </w:rPr>
                        <w:t>o</w:t>
                      </w:r>
                      <w:r>
                        <w:t xml:space="preserve"> kampu į meridianą;</w:t>
                      </w:r>
                    </w:p>
                  </w:sdtContent>
                </w:sdt>
                <w:sdt>
                  <w:sdtPr>
                    <w:alias w:val="23.2 pp."/>
                    <w:tag w:val="part_e866e37c46f24e8199fa9a7857bb5617"/>
                    <w:lock w:val="sdtLocked"/>
                    <w:richText/>
                  </w:sdtPr>
                  <w:sdtContent>
                    <w:p>
                      <w:pPr>
                        <w:ind w:firstLine="709"/>
                        <w:jc w:val="both"/>
                      </w:pPr>
                      <w:sdt>
                        <w:sdtPr>
                          <w:alias w:val="Numeris"/>
                          <w:tag w:val="nr_e866e37c46f24e8199fa9a7857bb5617"/>
                          <w:lock w:val="sdtLocked"/>
                          <w:richText/>
                        </w:sdtPr>
                        <w:sdtContent>
                          <w:r>
                            <w:t>23.2</w:t>
                          </w:r>
                        </w:sdtContent>
                      </w:sdt>
                      <w:r>
                        <w:t>. aeracinių angų išilginės ašys ir pastato sienos su angomis, naudojamomis patalpų aeracijai, turi būti orientuotos statmenai arba kampu, ne mažesniu kaip 45</w:t>
                      </w:r>
                      <w:r>
                        <w:rPr>
                          <w:vertAlign w:val="superscript"/>
                        </w:rPr>
                        <w:t>o</w:t>
                      </w:r>
                      <w:r>
                        <w:t>, vasaros periodo vėjų vyraujančios krypties atžvilgiu.</w:t>
                      </w:r>
                    </w:p>
                  </w:sdtContent>
                </w:sdt>
              </w:sdtContent>
            </w:sdt>
            <w:sdt>
              <w:sdtPr>
                <w:alias w:val="24 p."/>
                <w:tag w:val="part_3c067c1579484f1d96fa7df5188df71e"/>
                <w:lock w:val="sdtLocked"/>
                <w:richText/>
              </w:sdtPr>
              <w:sdtContent>
                <w:p>
                  <w:pPr>
                    <w:ind w:firstLine="709"/>
                    <w:jc w:val="both"/>
                  </w:pPr>
                  <w:sdt>
                    <w:sdtPr>
                      <w:alias w:val="Numeris"/>
                      <w:tag w:val="nr_3c067c1579484f1d96fa7df5188df71e"/>
                      <w:lock w:val="sdtLocked"/>
                      <w:richText/>
                    </w:sdtPr>
                    <w:sdtContent>
                      <w:r>
                        <w:t>24</w:t>
                      </w:r>
                    </w:sdtContent>
                  </w:sdt>
                  <w:r>
                    <w:t>. Gamybos pastatus, sudarančius pusiau uždarus kiemus, leidžiama projektuoti tais atvejais, kai kiti projektiniai sprendiniai negali būti priimti dėl technologijos sąlygų arba rekonstravimo sąlygų.</w:t>
                  </w:r>
                </w:p>
              </w:sdtContent>
            </w:sdt>
            <w:sdt>
              <w:sdtPr>
                <w:alias w:val="25 p."/>
                <w:tag w:val="part_17db3b2d236f454aa95523ca5238eee4"/>
                <w:lock w:val="sdtLocked"/>
                <w:richText/>
              </w:sdtPr>
              <w:sdtContent>
                <w:p>
                  <w:pPr>
                    <w:ind w:firstLine="709"/>
                    <w:jc w:val="both"/>
                  </w:pPr>
                  <w:sdt>
                    <w:sdtPr>
                      <w:alias w:val="Numeris"/>
                      <w:tag w:val="nr_17db3b2d236f454aa95523ca5238eee4"/>
                      <w:lock w:val="sdtLocked"/>
                      <w:richText/>
                    </w:sdtPr>
                    <w:sdtContent>
                      <w:r>
                        <w:t>25</w:t>
                      </w:r>
                    </w:sdtContent>
                  </w:sdt>
                  <w:r>
                    <w:t>. Pusiau uždari kiemai turi būti išdėstyti ilgąja puse lygiagrečiai vyraujančiai vėjų krypčiai, ne didesniu kaip 45</w:t>
                  </w:r>
                  <w:r>
                    <w:rPr>
                      <w:vertAlign w:val="superscript"/>
                    </w:rPr>
                    <w:t>o</w:t>
                  </w:r>
                  <w:r>
                    <w:t xml:space="preserve"> nukrypimu su sąlyga, kad atvira kiemo pusė yra atsukta į priešvėjinę vasaros periodo vėjų vyraujančią kryptį.</w:t>
                  </w:r>
                </w:p>
              </w:sdtContent>
            </w:sdt>
            <w:sdt>
              <w:sdtPr>
                <w:alias w:val="26 p."/>
                <w:tag w:val="part_53dbd5fce7564003b5cb2340f0c31066"/>
                <w:lock w:val="sdtLocked"/>
                <w:richText/>
              </w:sdtPr>
              <w:sdtContent>
                <w:p>
                  <w:pPr>
                    <w:ind w:firstLine="709"/>
                    <w:jc w:val="both"/>
                  </w:pPr>
                  <w:sdt>
                    <w:sdtPr>
                      <w:alias w:val="Numeris"/>
                      <w:tag w:val="nr_53dbd5fce7564003b5cb2340f0c31066"/>
                      <w:lock w:val="sdtLocked"/>
                      <w:richText/>
                    </w:sdtPr>
                    <w:sdtContent>
                      <w:r>
                        <w:t>26</w:t>
                      </w:r>
                    </w:sdtContent>
                  </w:sdt>
                  <w:r>
                    <w:t>. Pusiau uždaro kiemo plotis, kai pastatai apšviečiami per langus, turi būti ne mažesnis už pastatų, sudarančių pusiau uždarą kiemą ir stovinčių vienas prieš kitą, aukščių (iki karnizų viršaus) sumos pusę, bet šis dydis visais atvejais turi būti ne mažesnis kaip 15 m.</w:t>
                  </w:r>
                </w:p>
              </w:sdtContent>
            </w:sdt>
            <w:sdt>
              <w:sdtPr>
                <w:alias w:val="27 p."/>
                <w:tag w:val="part_12347d7364f94aacb87d543e6f5ebe83"/>
                <w:lock w:val="sdtLocked"/>
                <w:richText/>
              </w:sdtPr>
              <w:sdtContent>
                <w:p>
                  <w:pPr>
                    <w:ind w:firstLine="709"/>
                    <w:jc w:val="both"/>
                  </w:pPr>
                  <w:sdt>
                    <w:sdtPr>
                      <w:alias w:val="Numeris"/>
                      <w:tag w:val="nr_12347d7364f94aacb87d543e6f5ebe83"/>
                      <w:lock w:val="sdtLocked"/>
                      <w:richText/>
                    </w:sdtPr>
                    <w:sdtContent>
                      <w:r>
                        <w:t>27</w:t>
                      </w:r>
                    </w:sdtContent>
                  </w:sdt>
                  <w:r>
                    <w:t>. Kai pusiau uždarame kieme nėra stacionarinių cheminių teršalų ir dulkių išmetimo šaltinių, jo plotis gali būti sumažintas iki 12 m, nepažeidžiant pastatų patalpose esančių darbo vietų natūralaus apšvietimo reikalavimų [4.4.5].</w:t>
                  </w:r>
                </w:p>
                <w:p>
                  <w:pPr>
                    <w:ind w:firstLine="709"/>
                    <w:jc w:val="both"/>
                  </w:pPr>
                  <w:r>
                    <w:t>Kai kiemo gylio santykis su jo pločiu didesnis už 3 ir yra gamybos taršos galimybė, pastato dalyje, uždarančioje kiemą, turi būti numatyta prapūtimo anga, ne siauresnė kaip 4 m ir ne žemesnė kaip 4,5 m. Angos apačia turi sutapti su gretimu žemės paviršiumi. Neleidžiama angoje įrengti vartų, aptvarų ir kitų įrenginių, pažeidžiančių angos paskirtį.</w:t>
                  </w:r>
                </w:p>
              </w:sdtContent>
            </w:sdt>
            <w:sdt>
              <w:sdtPr>
                <w:alias w:val="28 p."/>
                <w:tag w:val="part_8d1a696a6147475c80fa66cb01e793ff"/>
                <w:lock w:val="sdtLocked"/>
                <w:richText/>
              </w:sdtPr>
              <w:sdtContent>
                <w:p>
                  <w:pPr>
                    <w:ind w:firstLine="709"/>
                    <w:jc w:val="both"/>
                  </w:pPr>
                  <w:sdt>
                    <w:sdtPr>
                      <w:alias w:val="Numeris"/>
                      <w:tag w:val="nr_8d1a696a6147475c80fa66cb01e793ff"/>
                      <w:lock w:val="sdtLocked"/>
                      <w:richText/>
                    </w:sdtPr>
                    <w:sdtContent>
                      <w:r>
                        <w:t>28</w:t>
                      </w:r>
                    </w:sdtContent>
                  </w:sdt>
                  <w:r>
                    <w:t>. Išdėstyti gamybos pastatus, kad jie sudarytų iš visų pusių uždarus kiemus, leidžiama, tik esant technologijos arba kitiems projektiniams pagrindimams ir laikantis šių sąlygų:</w:t>
                  </w:r>
                </w:p>
                <w:sdt>
                  <w:sdtPr>
                    <w:alias w:val="28.1 pp."/>
                    <w:tag w:val="part_8afca38497564e6cbf04bde2d836a0f0"/>
                    <w:lock w:val="sdtLocked"/>
                    <w:richText/>
                  </w:sdtPr>
                  <w:sdtContent>
                    <w:p>
                      <w:pPr>
                        <w:ind w:firstLine="709"/>
                        <w:jc w:val="both"/>
                      </w:pPr>
                      <w:sdt>
                        <w:sdtPr>
                          <w:alias w:val="Numeris"/>
                          <w:tag w:val="nr_8afca38497564e6cbf04bde2d836a0f0"/>
                          <w:lock w:val="sdtLocked"/>
                          <w:richText/>
                        </w:sdtPr>
                        <w:sdtContent>
                          <w:r>
                            <w:t>28.1</w:t>
                          </w:r>
                        </w:sdtContent>
                      </w:sdt>
                      <w:r>
                        <w:t>. kiemo plotis turi būti ne siauresnis už didžiausią aukštį, apskaičiuotą iki pastatų (sudarančių kiemą) karnizų viršaus, bet ne mažesnis kaip 18 m;</w:t>
                      </w:r>
                    </w:p>
                  </w:sdtContent>
                </w:sdt>
                <w:sdt>
                  <w:sdtPr>
                    <w:alias w:val="28.2 pp."/>
                    <w:tag w:val="part_d10ef6a3b2854ecfb43e32411fc4bf91"/>
                    <w:lock w:val="sdtLocked"/>
                    <w:richText/>
                  </w:sdtPr>
                  <w:sdtContent>
                    <w:p>
                      <w:pPr>
                        <w:ind w:firstLine="709"/>
                        <w:jc w:val="both"/>
                      </w:pPr>
                      <w:sdt>
                        <w:sdtPr>
                          <w:alias w:val="Numeris"/>
                          <w:tag w:val="nr_d10ef6a3b2854ecfb43e32411fc4bf91"/>
                          <w:lock w:val="sdtLocked"/>
                          <w:richText/>
                        </w:sdtPr>
                        <w:sdtContent>
                          <w:r>
                            <w:t>28.2</w:t>
                          </w:r>
                        </w:sdtContent>
                      </w:sdt>
                      <w:r>
                        <w:t>. kai yra gamybos taršos galimybė, turi būti užtikrintas kiauras kiemo prapūtimas, įrengiant visuose pastatuose angas, ne siauresnes kaip 4 m pločio ir ne žemesnes kaip 4,5 m.</w:t>
                      </w:r>
                    </w:p>
                  </w:sdtContent>
                </w:sdt>
              </w:sdtContent>
            </w:sdt>
            <w:sdt>
              <w:sdtPr>
                <w:alias w:val="29 p."/>
                <w:tag w:val="part_351d8e53df0f449bbc38dbb6dac01aa9"/>
                <w:lock w:val="sdtLocked"/>
                <w:richText/>
              </w:sdtPr>
              <w:sdtContent>
                <w:p>
                  <w:pPr>
                    <w:ind w:firstLine="709"/>
                    <w:jc w:val="both"/>
                  </w:pPr>
                  <w:sdt>
                    <w:sdtPr>
                      <w:alias w:val="Numeris"/>
                      <w:tag w:val="nr_351d8e53df0f449bbc38dbb6dac01aa9"/>
                      <w:lock w:val="sdtLocked"/>
                      <w:richText/>
                    </w:sdtPr>
                    <w:sdtContent>
                      <w:r>
                        <w:t>29</w:t>
                      </w:r>
                    </w:sdtContent>
                  </w:sdt>
                  <w:r>
                    <w:t>. Uždaruose ir pusiau uždaruose kiemuose leidžiama statyti priestatus prie pastatų, taip pat tiesti inžinerinius tinklus ir susisiekimo komunikacijas.</w:t>
                  </w:r>
                </w:p>
                <w:p>
                  <w:pPr>
                    <w:ind w:firstLine="709"/>
                    <w:jc w:val="both"/>
                  </w:pPr>
                  <w:r>
                    <w:t>Uždaruose ir pusiau uždaruose kiemuose priestatai gali užimti ne daugiau kaip 25 % pastato sienos, prie kurios jis pristatomas, ilgio, o kiemo plotis tarp priestato ir priešais jį stovinčio pastato turi būti ne siauresnis už pastato, prie kurio jis pristatomas, ir prieš jį stovinčio pastato, pastatų sudarančių kiemą, aukščių sumos pusę, išlaikant nustatytus priešgaisrinius atstumus tarp statinių (Reglamento 1 priedas).</w:t>
                  </w:r>
                </w:p>
                <w:p>
                  <w:pPr>
                    <w:ind w:firstLine="709"/>
                    <w:jc w:val="both"/>
                  </w:pPr>
                  <w:r>
                    <w:t>Gamybai skirtus priestatus nurodytuose kiemuose leidžiama statyti, tik esant atitinkamam pagrindimui ir su sąlyga, kad priestatas neišskirs taršos.</w:t>
                  </w:r>
                </w:p>
              </w:sdtContent>
            </w:sdt>
            <w:sdt>
              <w:sdtPr>
                <w:alias w:val="30 p."/>
                <w:tag w:val="part_255ac1580aee4c1890dc252e55674c98"/>
                <w:lock w:val="sdtLocked"/>
                <w:richText/>
              </w:sdtPr>
              <w:sdtContent>
                <w:p>
                  <w:pPr>
                    <w:ind w:firstLine="709"/>
                    <w:jc w:val="both"/>
                  </w:pPr>
                  <w:sdt>
                    <w:sdtPr>
                      <w:alias w:val="Numeris"/>
                      <w:tag w:val="nr_255ac1580aee4c1890dc252e55674c98"/>
                      <w:lock w:val="sdtLocked"/>
                      <w:richText/>
                    </w:sdtPr>
                    <w:sdtContent>
                      <w:r>
                        <w:t>30</w:t>
                      </w:r>
                    </w:sdtContent>
                  </w:sdt>
                  <w:r>
                    <w:t>. Pusiau uždaruose kiemuose leidžiama išdėstyti pavienius energetikos ar vėdinimo sistemų statinius. Atstumai nuo šių statinių iki pastatų turi atitikti pusiau uždariems kiemams taikomus reikalavimus.</w:t>
                  </w:r>
                </w:p>
              </w:sdtContent>
            </w:sdt>
            <w:sdt>
              <w:sdtPr>
                <w:alias w:val="31 p."/>
                <w:tag w:val="part_131801d01d684ea784be7efa61b13cda"/>
                <w:lock w:val="sdtLocked"/>
                <w:richText/>
              </w:sdtPr>
              <w:sdtContent>
                <w:p>
                  <w:pPr>
                    <w:ind w:firstLine="709"/>
                    <w:jc w:val="both"/>
                  </w:pPr>
                  <w:sdt>
                    <w:sdtPr>
                      <w:alias w:val="Numeris"/>
                      <w:tag w:val="nr_131801d01d684ea784be7efa61b13cda"/>
                      <w:lock w:val="sdtLocked"/>
                      <w:richText/>
                    </w:sdtPr>
                    <w:sdtContent>
                      <w:r>
                        <w:t>31</w:t>
                      </w:r>
                    </w:sdtContent>
                  </w:sdt>
                  <w:r>
                    <w:t>. Atstumai tarp gamybos pastatų ir inžinerinių statinių, apšviečiamų per langus ar kitas šviesai laidžias angas, turi būti ne mažesni už vienas prieš kitą stovinčių pastatų ir inžinerinių statinių didžiausią absoliutų aukštį ir ne mažesni už nurodytus Reglamento 1 priede.</w:t>
                  </w:r>
                </w:p>
                <w:p>
                  <w:pPr>
                    <w:ind w:firstLine="709"/>
                    <w:jc w:val="both"/>
                  </w:pPr>
                  <w:r>
                    <w:t>Kai pastatai yra be langų ar kitų šviesai laidžių angų, turi būti išlaikomi priešgaisriniai atstumai, nustatomi pagal Reglamento 1 priedą.</w:t>
                  </w:r>
                </w:p>
                <w:p>
                  <w:pPr>
                    <w:ind w:firstLine="709"/>
                    <w:jc w:val="both"/>
                  </w:pPr>
                  <w:r>
                    <w:t>Jei vienas iš gamybos statinių, stovinčių prieš kitą, neturi langų ar kitų šviesai laidžių angų atgręžtoje į kitą pastatą ar inžinerinį statinį pusėje ir yra galimoje šešėlinėje zonoje, tai atstumai tarp jų nustatomi tik pagal pastato ar inžinerinio statinio, kuris neturi langų ar kitų šviesai laidžių angų, aukštį.</w:t>
                  </w:r>
                </w:p>
                <w:p>
                  <w:pPr>
                    <w:ind w:firstLine="709"/>
                    <w:jc w:val="both"/>
                  </w:pPr>
                  <w:r>
                    <w:t>Aukštybinius inžinerinius statinius, neturinčius langų (kaminai, bokštai, etažerės, kolonos ir pan.), leidžiama išdėstyti nuo pastatų, turinčių langus ar kitų šviesai laidžių angų, per atstumą, ne mažesnį už statinio diametrą arba statinio kraštinę, atgręžtą į pastatą. Jeigu galimoje šešėlinėje zonoje, kurią sudaro aukštybinis statinys, langų ar kitų šviesai laidžių angų nėra, atstumai nenormuojami.</w:t>
                  </w:r>
                </w:p>
                <w:p>
                  <w:pPr>
                    <w:ind w:firstLine="709"/>
                    <w:jc w:val="both"/>
                  </w:pPr>
                  <w:r>
                    <w:t>Nurodyti atstumai gali būti sumažinti tuo atveju, kuomet pagal apskaičiavimus, įvertinant vienas prieš kitą stovinčių pastatų langų užšešėlinimą, gali būti užtikrintas nustatytas normomis [4.4.5] natūralus arba kombinuotas apšvietimas abiejuose vienas prieš kitą stovinčiuose pastatuose.</w:t>
                  </w:r>
                </w:p>
              </w:sdtContent>
            </w:sdt>
            <w:sdt>
              <w:sdtPr>
                <w:alias w:val="32 p."/>
                <w:tag w:val="part_65565d99aef448c88b0d4bb4646388a1"/>
                <w:lock w:val="sdtLocked"/>
                <w:richText/>
              </w:sdtPr>
              <w:sdtContent>
                <w:p>
                  <w:pPr>
                    <w:ind w:firstLine="709"/>
                    <w:jc w:val="both"/>
                  </w:pPr>
                  <w:sdt>
                    <w:sdtPr>
                      <w:alias w:val="Numeris"/>
                      <w:tag w:val="nr_65565d99aef448c88b0d4bb4646388a1"/>
                      <w:lock w:val="sdtLocked"/>
                      <w:richText/>
                    </w:sdtPr>
                    <w:sdtContent>
                      <w:r>
                        <w:t>32</w:t>
                      </w:r>
                    </w:sdtContent>
                  </w:sdt>
                  <w:r>
                    <w:t>. Vienas prieš kitą Sklype stovinčių gamybos pastatų koordinatinės ašys turi būti lygiagrečios.</w:t>
                  </w:r>
                </w:p>
              </w:sdtContent>
            </w:sdt>
            <w:sdt>
              <w:sdtPr>
                <w:alias w:val="33 p."/>
                <w:tag w:val="part_2f58e1738cbf45e29c5ae2ae2aa36cd7"/>
                <w:lock w:val="sdtLocked"/>
                <w:richText/>
              </w:sdtPr>
              <w:sdtContent>
                <w:p>
                  <w:pPr>
                    <w:ind w:firstLine="709"/>
                    <w:jc w:val="both"/>
                  </w:pPr>
                  <w:sdt>
                    <w:sdtPr>
                      <w:alias w:val="Numeris"/>
                      <w:tag w:val="nr_2f58e1738cbf45e29c5ae2ae2aa36cd7"/>
                      <w:lock w:val="sdtLocked"/>
                      <w:richText/>
                    </w:sdtPr>
                    <w:sdtContent>
                      <w:r>
                        <w:t>33</w:t>
                      </w:r>
                    </w:sdtContent>
                  </w:sdt>
                  <w:r>
                    <w:t>. Gamybos statiniai, kuriuose yra įrenginiai, sukeliantys dideles dinamines apkrovas ir grunto vibraciją, turi būti atitolinti nuo gamybos statinių, jei juose įrengtoms technologijos sistemoms pagal normatyvinius technologinius reikalavimus vibracija yra kenksminga. Atstumai tarp šių pastatų apskaičiuojami, įvertinant Sklypo inžinerines geologines sąlygas, pamatų pagrindų gruntų fizikines-mechanines savybes, o taip pat priemones, pašalinančias dinaminių apkrovų ir vibracijos įtaką į gruntus pagal įrenginių su dinaminėmis apkrovomis projektavimo reikalavimus, taip pat įvertinant Reglamento 1 priede nustatytus reikalavimus.</w:t>
                  </w:r>
                </w:p>
              </w:sdtContent>
            </w:sdt>
            <w:sdt>
              <w:sdtPr>
                <w:alias w:val="34 p."/>
                <w:tag w:val="part_c78f1ca8184d419596e86914682b3b10"/>
                <w:lock w:val="sdtLocked"/>
                <w:richText/>
              </w:sdtPr>
              <w:sdtContent>
                <w:p>
                  <w:pPr>
                    <w:ind w:firstLine="709"/>
                    <w:jc w:val="both"/>
                  </w:pPr>
                  <w:sdt>
                    <w:sdtPr>
                      <w:alias w:val="Numeris"/>
                      <w:tag w:val="nr_c78f1ca8184d419596e86914682b3b10"/>
                      <w:lock w:val="sdtLocked"/>
                      <w:richText/>
                    </w:sdtPr>
                    <w:sdtContent>
                      <w:r>
                        <w:t>34</w:t>
                      </w:r>
                    </w:sdtContent>
                  </w:sdt>
                  <w:r>
                    <w:t>. Gamybos ir bandymo stotys su ypatingai kenksmingais procesais, sprogūs ir gaisro atžvilgiu pavojingi statiniai, o taip pat degių, pavojingų cheminių medžiagų ir sprogių medžiagų sandėliai turi būti išdėstomi pagal specialiąsias normas.</w:t>
                  </w:r>
                </w:p>
              </w:sdtContent>
            </w:sdt>
            <w:sdt>
              <w:sdtPr>
                <w:alias w:val="35 p."/>
                <w:tag w:val="part_8038a10bffc74245af6f3bb4b0ccaec6"/>
                <w:lock w:val="sdtLocked"/>
                <w:richText/>
              </w:sdtPr>
              <w:sdtContent>
                <w:p>
                  <w:pPr>
                    <w:ind w:firstLine="709"/>
                    <w:jc w:val="both"/>
                  </w:pPr>
                  <w:sdt>
                    <w:sdtPr>
                      <w:alias w:val="Numeris"/>
                      <w:tag w:val="nr_8038a10bffc74245af6f3bb4b0ccaec6"/>
                      <w:lock w:val="sdtLocked"/>
                      <w:richText/>
                    </w:sdtPr>
                    <w:sdtContent>
                      <w:r>
                        <w:t>35</w:t>
                      </w:r>
                    </w:sdtContent>
                  </w:sdt>
                  <w:r>
                    <w:t>. Gamybos statiniai, atviri įrenginiai su gamybiniais procesais, išskiriančiais į atmosferą dujas, dūmus ir dulkes, sprogūs ir pavojingi gaisro atžvilgiu statiniai neturi būti išdėstomi kitų gamybos statinių atžvilgiu pavėjui nuo vyraujančios vėjų krypties pusės.</w:t>
                  </w:r>
                </w:p>
              </w:sdtContent>
            </w:sdt>
            <w:sdt>
              <w:sdtPr>
                <w:alias w:val="36 p."/>
                <w:tag w:val="part_ddfc513b77744f89b9d2fc80621c4c32"/>
                <w:lock w:val="sdtLocked"/>
                <w:richText/>
              </w:sdtPr>
              <w:sdtContent>
                <w:p>
                  <w:pPr>
                    <w:ind w:firstLine="709"/>
                    <w:jc w:val="both"/>
                  </w:pPr>
                  <w:sdt>
                    <w:sdtPr>
                      <w:alias w:val="Numeris"/>
                      <w:tag w:val="nr_ddfc513b77744f89b9d2fc80621c4c32"/>
                      <w:lock w:val="sdtLocked"/>
                      <w:richText/>
                    </w:sdtPr>
                    <w:sdtContent>
                      <w:r>
                        <w:t>36</w:t>
                      </w:r>
                    </w:sdtContent>
                  </w:sdt>
                  <w:r>
                    <w:t>. Vandens saugyklos – aušintuvai, šlamo nusodintuvai ir pan. turi būti išdėstyti taip, kad avarijos atveju ištekėdamas skystis nesukeltų Sklype ar už jo ribų esančių statinių užtvindymo pavojaus.</w:t>
                  </w:r>
                </w:p>
              </w:sdtContent>
            </w:sdt>
            <w:sdt>
              <w:sdtPr>
                <w:alias w:val="37 p."/>
                <w:tag w:val="part_f8662386a0ee4760806d90792f1e14de"/>
                <w:lock w:val="sdtLocked"/>
                <w:richText/>
              </w:sdtPr>
              <w:sdtContent>
                <w:p>
                  <w:pPr>
                    <w:ind w:firstLine="709"/>
                    <w:jc w:val="both"/>
                  </w:pPr>
                  <w:sdt>
                    <w:sdtPr>
                      <w:alias w:val="Numeris"/>
                      <w:tag w:val="nr_f8662386a0ee4760806d90792f1e14de"/>
                      <w:lock w:val="sdtLocked"/>
                      <w:richText/>
                    </w:sdtPr>
                    <w:sdtContent>
                      <w:r>
                        <w:t>37</w:t>
                      </w:r>
                    </w:sdtContent>
                  </w:sdt>
                  <w:r>
                    <w:t>. Pursliniai baseinai turi būti išdėstomi taip, kad jų ilgoji kraštinė būtų statmena metų vasaros periodo vėjų vyraujančios krypties atžvilgiu.</w:t>
                  </w:r>
                </w:p>
              </w:sdtContent>
            </w:sdt>
            <w:sdt>
              <w:sdtPr>
                <w:alias w:val="38 p."/>
                <w:tag w:val="part_200467dc94fd4f47b20e9f6426e5172a"/>
                <w:lock w:val="sdtLocked"/>
                <w:richText/>
              </w:sdtPr>
              <w:sdtContent>
                <w:p>
                  <w:pPr>
                    <w:ind w:firstLine="709"/>
                    <w:jc w:val="both"/>
                  </w:pPr>
                  <w:sdt>
                    <w:sdtPr>
                      <w:alias w:val="Numeris"/>
                      <w:tag w:val="nr_200467dc94fd4f47b20e9f6426e5172a"/>
                      <w:lock w:val="sdtLocked"/>
                      <w:richText/>
                    </w:sdtPr>
                    <w:sdtContent>
                      <w:r>
                        <w:t>38</w:t>
                      </w:r>
                    </w:sdtContent>
                  </w:sdt>
                  <w:r>
                    <w:t>. Atstumai tarp pastatų ir inžinerinių statinių priklausomai nuo atsparumo ugniai laipsnio ir gamybos kategorijos turi būti nustatyti ne mažesni už nurodytus Reglamento 1 priede.</w:t>
                  </w:r>
                </w:p>
              </w:sdtContent>
            </w:sdt>
            <w:sdt>
              <w:sdtPr>
                <w:alias w:val="39 p."/>
                <w:tag w:val="part_43d5d0faf319484cb1d0a876debd8652"/>
                <w:lock w:val="sdtLocked"/>
                <w:richText/>
              </w:sdtPr>
              <w:sdtContent>
                <w:p>
                  <w:pPr>
                    <w:ind w:firstLine="709"/>
                    <w:jc w:val="both"/>
                  </w:pPr>
                  <w:sdt>
                    <w:sdtPr>
                      <w:alias w:val="Numeris"/>
                      <w:tag w:val="nr_43d5d0faf319484cb1d0a876debd8652"/>
                      <w:lock w:val="sdtLocked"/>
                      <w:richText/>
                    </w:sdtPr>
                    <w:sdtContent>
                      <w:r>
                        <w:t>39</w:t>
                      </w:r>
                    </w:sdtContent>
                  </w:sdt>
                  <w:r>
                    <w:t>. Atstumai tarp atvirų technologinių įrenginių, taip pat tarp jų ir gamybos statinių turi būti priimami pagal technologijos projektavimo normų reikalavimus.</w:t>
                  </w:r>
                </w:p>
              </w:sdtContent>
            </w:sdt>
            <w:sdt>
              <w:sdtPr>
                <w:alias w:val="40 p."/>
                <w:tag w:val="part_0325eebde9844c1baff3a0b077647d80"/>
                <w:lock w:val="sdtLocked"/>
                <w:richText/>
              </w:sdtPr>
              <w:sdtContent>
                <w:p>
                  <w:pPr>
                    <w:ind w:firstLine="709"/>
                    <w:jc w:val="both"/>
                  </w:pPr>
                  <w:sdt>
                    <w:sdtPr>
                      <w:alias w:val="Numeris"/>
                      <w:tag w:val="nr_0325eebde9844c1baff3a0b077647d80"/>
                      <w:lock w:val="sdtLocked"/>
                      <w:richText/>
                    </w:sdtPr>
                    <w:sdtContent>
                      <w:r>
                        <w:t>40</w:t>
                      </w:r>
                    </w:sdtContent>
                  </w:sdt>
                  <w:r>
                    <w:t>. Atstumai nuo vandens aušintuvų iki kitų statinių turi būti ne mažesni už nurodytus Reglamento 2 priede.</w:t>
                  </w:r>
                </w:p>
              </w:sdtContent>
            </w:sdt>
            <w:sdt>
              <w:sdtPr>
                <w:alias w:val="41 p."/>
                <w:tag w:val="part_4693390ca82a40e7a655947f5bb71102"/>
                <w:lock w:val="sdtLocked"/>
                <w:richText/>
              </w:sdtPr>
              <w:sdtContent>
                <w:p>
                  <w:pPr>
                    <w:widowControl w:val="0"/>
                    <w:suppressAutoHyphens/>
                    <w:ind w:firstLine="709"/>
                    <w:jc w:val="both"/>
                  </w:pPr>
                  <w:sdt>
                    <w:sdtPr>
                      <w:alias w:val="Numeris"/>
                      <w:tag w:val="nr_4693390ca82a40e7a655947f5bb71102"/>
                      <w:lock w:val="sdtLocked"/>
                      <w:richText/>
                    </w:sdtPr>
                    <w:sdtContent>
                      <w:r>
                        <w:rPr>
                          <w:color w:val="000000"/>
                        </w:rPr>
                        <w:t>41</w:t>
                      </w:r>
                    </w:sdtContent>
                  </w:sdt>
                  <w:r>
                    <w:rPr>
                      <w:color w:val="000000"/>
                    </w:rPr>
                    <w:t>. Sklypo teritorijoje, taip pat ant pastatų sienų ir dengimų išdėstytų įrenginių skleidžiamas triukšmas arba elektromagnetinė spinduliuotė neturi viršyti HN 33:2011 [4.4.4] ir HN 80:2011 [4.4.2] nustatytų leistinų dydžių.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5DC74875D7">
                    <w:r w:rsidRPr="00532B9F">
                      <w:rPr>
                        <w:rFonts w:ascii="Times New Roman" w:eastAsia="MS Mincho" w:hAnsi="Times New Roman"/>
                        <w:sz w:val="20"/>
                        <w:i/>
                        <w:iCs/>
                        <w:color w:val="0000FF" w:themeColor="hyperlink"/>
                        <w:u w:val="single"/>
                      </w:rPr>
                      <w:t>D1-851</w:t>
                    </w:r>
                  </w:fldSimple>
                  <w:r>
                    <w:rPr>
                      <w:rFonts w:ascii="Times New Roman" w:eastAsia="MS Mincho" w:hAnsi="Times New Roman"/>
                      <w:sz w:val="20"/>
                      <w:i/>
                      <w:iCs/>
                    </w:rPr>
                    <w:t>,
2011-11-05,
Žin., 2011, Nr.
134-6384 (2011-11-10), i. k. 111301MISAK00D1-851            </w:t>
                  </w:r>
                </w:p>
                <w:p/>
              </w:sdtContent>
            </w:sdt>
          </w:sdtContent>
        </w:sdt>
        <w:sdt>
          <w:sdtPr>
            <w:alias w:val="skyrius"/>
            <w:tag w:val="part_3f815e93afd34242ad9f26f356ae9109"/>
            <w:lock w:val="sdtLocked"/>
            <w:richText/>
          </w:sdtPr>
          <w:sdtContent>
            <w:p>
              <w:pPr>
                <w:jc w:val="center"/>
                <w:rPr>
                  <w:b/>
                </w:rPr>
              </w:pPr>
              <w:sdt>
                <w:sdtPr>
                  <w:alias w:val="Numeris"/>
                  <w:tag w:val="nr_3f815e93afd34242ad9f26f356ae9109"/>
                  <w:lock w:val="sdtLocked"/>
                  <w:richText/>
                </w:sdtPr>
                <w:sdtContent>
                  <w:r>
                    <w:rPr>
                      <w:b/>
                    </w:rPr>
                    <w:t>VI</w:t>
                  </w:r>
                </w:sdtContent>
              </w:sdt>
              <w:r>
                <w:rPr>
                  <w:b/>
                </w:rPr>
                <w:t xml:space="preserve"> SKYRIUS. </w:t>
              </w:r>
              <w:sdt>
                <w:sdtPr>
                  <w:alias w:val="Pavadinimas"/>
                  <w:tag w:val="title_3f815e93afd34242ad9f26f356ae9109"/>
                  <w:lock w:val="sdtLocked"/>
                  <w:richText/>
                </w:sdtPr>
                <w:sdtContent>
                  <w:r>
                    <w:rPr>
                      <w:b/>
                    </w:rPr>
                    <w:t>SKLYPO UŽSTATYMO TANKIS</w:t>
                  </w:r>
                </w:sdtContent>
              </w:sdt>
            </w:p>
            <w:p>
              <w:pPr>
                <w:jc w:val="center"/>
                <w:rPr>
                  <w:b/>
                </w:rPr>
              </w:pPr>
            </w:p>
            <w:sdt>
              <w:sdtPr>
                <w:alias w:val="42 p."/>
                <w:tag w:val="part_7acf38cd6c014ca8ae0f0cdc163272d7"/>
                <w:lock w:val="sdtLocked"/>
                <w:richText/>
              </w:sdtPr>
              <w:sdtContent>
                <w:p>
                  <w:pPr>
                    <w:ind w:firstLine="709"/>
                    <w:jc w:val="both"/>
                  </w:pPr>
                  <w:sdt>
                    <w:sdtPr>
                      <w:alias w:val="Numeris"/>
                      <w:tag w:val="nr_7acf38cd6c014ca8ae0f0cdc163272d7"/>
                      <w:lock w:val="sdtLocked"/>
                      <w:richText/>
                    </w:sdtPr>
                    <w:sdtContent>
                      <w:r>
                        <w:t>42</w:t>
                      </w:r>
                    </w:sdtContent>
                  </w:sdt>
                  <w:r>
                    <w:t>. Apskaičiuojant sklypo užstatymo tankį, užstatymo plotas nustatomas, kaip suma plotų, užimtų visų rūšių pastatais ir inžineriniais statiniais, tarp jų: geležinkelių vėduoklėmis, stoginėmis, atvirais technologijos, vandentiekio ir nuotekų, vėdinimo energetikos ir kitais statiniais, estakadomis ir galerijomis, pakrovimo ir iškrovimo įtaisų aikštelėmis, taip pat požeminiais statiniais (rezervuarais, rūsiais, slėptuvėmis, tuneliais), virš kurių negalima statyti pastatų ir inžinerinių statinių, bei atviromis automobilių saugyklomis, mašinomis ir įvairios paskirties sandėliais su sąlyga, kad šių statinių matmenys ir aikštelių bei sandėlių įranga priimami pagal technologijos normas.</w:t>
                  </w:r>
                </w:p>
                <w:p>
                  <w:pPr>
                    <w:ind w:firstLine="709"/>
                    <w:jc w:val="both"/>
                  </w:pPr>
                  <w:r>
                    <w:t>Į užstatymo plotą turi būti įskaičiuotas Sklype paliekamas rezervinis plotas, kuris pagal Techninę užduotį [4.3.2] numatytas perspektyvinių pastatų ir inžinerinių statinių išdėstymui (pastatų ir inžinerinių statinių matmenų ribose).</w:t>
                  </w:r>
                </w:p>
                <w:p>
                  <w:pPr>
                    <w:ind w:firstLine="709"/>
                    <w:jc w:val="both"/>
                  </w:pPr>
                  <w:r>
                    <w:t>Į užstatymo plotą neįskaičiuojami plotai, užimti dirbtine ar natūralia žemės paviršiaus danga apie pastatus, šaligatviais, keliais ir geležinkeliais, geležinkelio stotimis, laikinais pastatais ir inžineriniais statiniais, atviromis sporto aikštelėmis, dirbančiųjų poilsio aikštelėmis, želdiniais (medžiais, krūmais, gėlėmis ir veja), atviromis automobilių (skirtų ne gamybos reikmėms), saugyklomis, atvirais vandens nuvedimo ir kitais grioviais, atraminėmis sienelėmis, požeminiais pastatais ir inžineriniais statiniais arba jų dalimis, virš kurių gali būti statomi kiti pastatai ir inžineriniai statiniai.</w:t>
                  </w:r>
                </w:p>
              </w:sdtContent>
            </w:sdt>
            <w:sdt>
              <w:sdtPr>
                <w:alias w:val="43 p."/>
                <w:tag w:val="part_d74babf648e3495596e4b11124ba6536"/>
                <w:lock w:val="sdtLocked"/>
                <w:richText/>
              </w:sdtPr>
              <w:sdtContent>
                <w:p>
                  <w:pPr>
                    <w:ind w:firstLine="709"/>
                    <w:jc w:val="both"/>
                  </w:pPr>
                  <w:sdt>
                    <w:sdtPr>
                      <w:alias w:val="Numeris"/>
                      <w:tag w:val="nr_d74babf648e3495596e4b11124ba6536"/>
                      <w:lock w:val="sdtLocked"/>
                      <w:richText/>
                    </w:sdtPr>
                    <w:sdtContent>
                      <w:r>
                        <w:t>43</w:t>
                      </w:r>
                    </w:sdtContent>
                  </w:sdt>
                  <w:r>
                    <w:t>. Gamybos statinių užimami plotai apskaičiuojami pagal jų išorinių sienų išorinį kontūrą planuojamų žemės aukščio altitudžių lygyje.</w:t>
                  </w:r>
                </w:p>
                <w:p>
                  <w:pPr>
                    <w:ind w:firstLine="709"/>
                    <w:jc w:val="both"/>
                  </w:pPr>
                  <w:r>
                    <w:t>Į užstatymo plotą įskaičiuojami tų galerijų ir estakadų elementų plotai, po kuriais pagal matmenis negali būti statomi kiti pastatai ir inžineriniai statiniai. Šiuo atveju užstatymo plotas apskaičiuojamas pagal statinių projekciją į žemės paviršių. Kitų šių statinių elementų plotai skaičiuojami tik tie, kurie užimami galerijų ir estakadų atramų pamatais planuojamų žemės paviršiaus altitudžių lygyje.</w:t>
                  </w:r>
                </w:p>
                <w:p>
                  <w:pPr>
                    <w:ind w:firstLine="709"/>
                    <w:jc w:val="both"/>
                  </w:pPr>
                </w:p>
              </w:sdtContent>
            </w:sdt>
          </w:sdtContent>
        </w:sdt>
        <w:sdt>
          <w:sdtPr>
            <w:alias w:val="skyrius"/>
            <w:tag w:val="part_6d91060d419f4fd0bc636a96306f5625"/>
            <w:lock w:val="sdtLocked"/>
            <w:richText/>
          </w:sdtPr>
          <w:sdtContent>
            <w:p>
              <w:pPr>
                <w:jc w:val="center"/>
                <w:rPr>
                  <w:b/>
                </w:rPr>
              </w:pPr>
              <w:sdt>
                <w:sdtPr>
                  <w:alias w:val="Numeris"/>
                  <w:tag w:val="nr_6d91060d419f4fd0bc636a96306f5625"/>
                  <w:lock w:val="sdtLocked"/>
                  <w:richText/>
                </w:sdtPr>
                <w:sdtContent>
                  <w:r>
                    <w:rPr>
                      <w:b/>
                    </w:rPr>
                    <w:t>VII</w:t>
                  </w:r>
                </w:sdtContent>
              </w:sdt>
              <w:r>
                <w:rPr>
                  <w:b/>
                </w:rPr>
                <w:t xml:space="preserve"> SKYRIUS. </w:t>
              </w:r>
              <w:sdt>
                <w:sdtPr>
                  <w:alias w:val="Pavadinimas"/>
                  <w:tag w:val="title_6d91060d419f4fd0bc636a96306f5625"/>
                  <w:lock w:val="sdtLocked"/>
                  <w:richText/>
                </w:sdtPr>
                <w:sdtContent>
                  <w:r>
                    <w:rPr>
                      <w:b/>
                    </w:rPr>
                    <w:t>SKLYPO RELJEFO FORMAVIMAS</w:t>
                  </w:r>
                </w:sdtContent>
              </w:sdt>
            </w:p>
            <w:p>
              <w:pPr>
                <w:jc w:val="center"/>
                <w:rPr>
                  <w:b/>
                </w:rPr>
              </w:pPr>
            </w:p>
            <w:sdt>
              <w:sdtPr>
                <w:alias w:val="44 p."/>
                <w:tag w:val="part_b39f536653474bfe897f13c94f8f2f0b"/>
                <w:lock w:val="sdtLocked"/>
                <w:richText/>
              </w:sdtPr>
              <w:sdtContent>
                <w:p>
                  <w:pPr>
                    <w:ind w:firstLine="709"/>
                    <w:jc w:val="both"/>
                  </w:pPr>
                  <w:sdt>
                    <w:sdtPr>
                      <w:alias w:val="Numeris"/>
                      <w:tag w:val="nr_b39f536653474bfe897f13c94f8f2f0b"/>
                      <w:lock w:val="sdtLocked"/>
                      <w:richText/>
                    </w:sdtPr>
                    <w:sdtContent>
                      <w:r>
                        <w:t>44</w:t>
                      </w:r>
                    </w:sdtContent>
                  </w:sdt>
                  <w:r>
                    <w:t>. Formuojant Sklypo reljefą, turi būti numatomos mažiausios žemės darbų apimtys įsisavinamame Sklype.</w:t>
                  </w:r>
                </w:p>
              </w:sdtContent>
            </w:sdt>
            <w:sdt>
              <w:sdtPr>
                <w:alias w:val="45 p."/>
                <w:tag w:val="part_4b78a04c530f4d5a9bc9b3151e8dd90e"/>
                <w:lock w:val="sdtLocked"/>
                <w:richText/>
              </w:sdtPr>
              <w:sdtContent>
                <w:p>
                  <w:pPr>
                    <w:ind w:firstLine="709"/>
                    <w:jc w:val="both"/>
                  </w:pPr>
                  <w:sdt>
                    <w:sdtPr>
                      <w:alias w:val="Numeris"/>
                      <w:tag w:val="nr_4b78a04c530f4d5a9bc9b3151e8dd90e"/>
                      <w:lock w:val="sdtLocked"/>
                      <w:richText/>
                    </w:sdtPr>
                    <w:sdtContent>
                      <w:r>
                        <w:t>45</w:t>
                      </w:r>
                    </w:sdtContent>
                  </w:sdt>
                  <w:r>
                    <w:t>. Sklype turi būti numatytas derlingojo žemės sluoksnio nuėmimas (tiek paaukštinant, tiek pažeminant žemės paviršių) ir saugojamas taip, kad vykdant statybos darbus ir eksploatuojant įmones, pastatus ir inžinerinius statinius, jis nebūtų pažeistas, užterštas ir užtvindytas.</w:t>
                  </w:r>
                </w:p>
              </w:sdtContent>
            </w:sdt>
            <w:sdt>
              <w:sdtPr>
                <w:alias w:val="46 p."/>
                <w:tag w:val="part_bdbbb668b4044c6097e3922794f2c71d"/>
                <w:lock w:val="sdtLocked"/>
                <w:richText/>
              </w:sdtPr>
              <w:sdtContent>
                <w:p>
                  <w:pPr>
                    <w:ind w:firstLine="709"/>
                    <w:jc w:val="both"/>
                  </w:pPr>
                  <w:sdt>
                    <w:sdtPr>
                      <w:alias w:val="Numeris"/>
                      <w:tag w:val="nr_bdbbb668b4044c6097e3922794f2c71d"/>
                      <w:lock w:val="sdtLocked"/>
                      <w:richText/>
                    </w:sdtPr>
                    <w:sdtContent>
                      <w:r>
                        <w:t>46</w:t>
                      </w:r>
                    </w:sdtContent>
                  </w:sdt>
                  <w:r>
                    <w:t>. Sklypo paviršiaus nuolydžiai turi būti priimami ne mažesni kaip 0,003 ir ne didesni kaip:</w:t>
                  </w:r>
                </w:p>
                <w:sdt>
                  <w:sdtPr>
                    <w:alias w:val="46.1 pp."/>
                    <w:tag w:val="part_4fb54f723182470a86746337bfe4117e"/>
                    <w:lock w:val="sdtLocked"/>
                    <w:richText/>
                  </w:sdtPr>
                  <w:sdtContent>
                    <w:p>
                      <w:pPr>
                        <w:ind w:firstLine="709"/>
                        <w:jc w:val="both"/>
                      </w:pPr>
                      <w:sdt>
                        <w:sdtPr>
                          <w:alias w:val="Numeris"/>
                          <w:tag w:val="nr_4fb54f723182470a86746337bfe4117e"/>
                          <w:lock w:val="sdtLocked"/>
                          <w:richText/>
                        </w:sdtPr>
                        <w:sdtContent>
                          <w:r>
                            <w:t>46.1</w:t>
                          </w:r>
                        </w:sdtContent>
                      </w:sdt>
                      <w:r>
                        <w:t>. 0,05 – moliniams gruntams;</w:t>
                      </w:r>
                    </w:p>
                  </w:sdtContent>
                </w:sdt>
                <w:sdt>
                  <w:sdtPr>
                    <w:alias w:val="46.2 pp."/>
                    <w:tag w:val="part_868c1f84727e44f2875d3a6c26a9a681"/>
                    <w:lock w:val="sdtLocked"/>
                    <w:richText/>
                  </w:sdtPr>
                  <w:sdtContent>
                    <w:p>
                      <w:pPr>
                        <w:ind w:firstLine="709"/>
                        <w:jc w:val="both"/>
                      </w:pPr>
                      <w:sdt>
                        <w:sdtPr>
                          <w:alias w:val="Numeris"/>
                          <w:tag w:val="nr_868c1f84727e44f2875d3a6c26a9a681"/>
                          <w:lock w:val="sdtLocked"/>
                          <w:richText/>
                        </w:sdtPr>
                        <w:sdtContent>
                          <w:r>
                            <w:t>46.2</w:t>
                          </w:r>
                        </w:sdtContent>
                      </w:sdt>
                      <w:r>
                        <w:t>. 0,03 – smėliniams gruntams;</w:t>
                      </w:r>
                    </w:p>
                  </w:sdtContent>
                </w:sdt>
                <w:sdt>
                  <w:sdtPr>
                    <w:alias w:val="46.3 pp."/>
                    <w:tag w:val="part_e0c186743f5c44028b910d2bf87932f4"/>
                    <w:lock w:val="sdtLocked"/>
                    <w:richText/>
                  </w:sdtPr>
                  <w:sdtContent>
                    <w:p>
                      <w:pPr>
                        <w:ind w:firstLine="709"/>
                        <w:jc w:val="both"/>
                      </w:pPr>
                      <w:sdt>
                        <w:sdtPr>
                          <w:alias w:val="Numeris"/>
                          <w:tag w:val="nr_e0c186743f5c44028b910d2bf87932f4"/>
                          <w:lock w:val="sdtLocked"/>
                          <w:richText/>
                        </w:sdtPr>
                        <w:sdtContent>
                          <w:r>
                            <w:t>46.3</w:t>
                          </w:r>
                        </w:sdtContent>
                      </w:sdt>
                      <w:r>
                        <w:t>. 0,01 – lengvai išplaunamiems gruntams (smulkiasmėliams);</w:t>
                      </w:r>
                    </w:p>
                  </w:sdtContent>
                </w:sdt>
                <w:sdt>
                  <w:sdtPr>
                    <w:alias w:val="46.4 pp."/>
                    <w:tag w:val="part_682a643d23aa4fd8a11275f71eef315c"/>
                    <w:lock w:val="sdtLocked"/>
                    <w:richText/>
                  </w:sdtPr>
                  <w:sdtContent>
                    <w:p>
                      <w:pPr>
                        <w:ind w:firstLine="709"/>
                        <w:jc w:val="both"/>
                      </w:pPr>
                      <w:sdt>
                        <w:sdtPr>
                          <w:alias w:val="Numeris"/>
                          <w:tag w:val="nr_682a643d23aa4fd8a11275f71eef315c"/>
                          <w:lock w:val="sdtLocked"/>
                          <w:richText/>
                        </w:sdtPr>
                        <w:sdtContent>
                          <w:r>
                            <w:t>46.4</w:t>
                          </w:r>
                        </w:sdtContent>
                      </w:sdt>
                      <w:r>
                        <w:t>. II tipo slūgstančių gruntų sąlygomis – 0,005.</w:t>
                      </w:r>
                    </w:p>
                  </w:sdtContent>
                </w:sdt>
              </w:sdtContent>
            </w:sdt>
            <w:sdt>
              <w:sdtPr>
                <w:alias w:val="47 p."/>
                <w:tag w:val="part_02cb78feace04cb2afb8014da9b5e88d"/>
                <w:lock w:val="sdtLocked"/>
                <w:richText/>
              </w:sdtPr>
              <w:sdtContent>
                <w:p>
                  <w:pPr>
                    <w:ind w:firstLine="709"/>
                    <w:jc w:val="both"/>
                  </w:pPr>
                  <w:sdt>
                    <w:sdtPr>
                      <w:alias w:val="Numeris"/>
                      <w:tag w:val="nr_02cb78feace04cb2afb8014da9b5e88d"/>
                      <w:lock w:val="sdtLocked"/>
                      <w:richText/>
                    </w:sdtPr>
                    <w:sdtContent>
                      <w:r>
                        <w:t>47</w:t>
                      </w:r>
                    </w:sdtContent>
                  </w:sdt>
                  <w:r>
                    <w:t>. Jei Sklypas yra ant šlaito ar jo papėdėje, teritorija turi būti apsaugota nuo užtvindymo iš aukštutinės žemės reljefo pusės.</w:t>
                  </w:r>
                </w:p>
              </w:sdtContent>
            </w:sdt>
            <w:sdt>
              <w:sdtPr>
                <w:alias w:val="48 p."/>
                <w:tag w:val="part_fc5143659e0a4bbe82032ca0618cade5"/>
                <w:lock w:val="sdtLocked"/>
                <w:richText/>
              </w:sdtPr>
              <w:sdtContent>
                <w:p>
                  <w:pPr>
                    <w:ind w:firstLine="709"/>
                    <w:jc w:val="both"/>
                  </w:pPr>
                  <w:sdt>
                    <w:sdtPr>
                      <w:alias w:val="Numeris"/>
                      <w:tag w:val="nr_fc5143659e0a4bbe82032ca0618cade5"/>
                      <w:lock w:val="sdtLocked"/>
                      <w:richText/>
                    </w:sdtPr>
                    <w:sdtContent>
                      <w:r>
                        <w:t>48</w:t>
                      </w:r>
                    </w:sdtContent>
                  </w:sdt>
                  <w:r>
                    <w:t>. Sklypuose turi būti įrengta uždara lietaus nuotekų šalinimo sistema. Šios sistemos reikalavimai nustatomi STR 2.07.01:2003 [4.3.8]. Išimtys iš šio reikalavimo gali būti taikomos kaimo vietovėse. Šiuo atveju mažiausi kelio griovių ir griovių skerspjūviai priimami: dugno plotis – 0,3 m, gylis – 0,4 m.</w:t>
                  </w:r>
                </w:p>
              </w:sdtContent>
            </w:sdt>
            <w:sdt>
              <w:sdtPr>
                <w:alias w:val="49 p."/>
                <w:tag w:val="part_5864b9b24825452ea63dc6dd7577e29b"/>
                <w:lock w:val="sdtLocked"/>
                <w:richText/>
              </w:sdtPr>
              <w:sdtContent>
                <w:p>
                  <w:pPr>
                    <w:ind w:firstLine="709"/>
                    <w:jc w:val="both"/>
                  </w:pPr>
                  <w:sdt>
                    <w:sdtPr>
                      <w:alias w:val="Numeris"/>
                      <w:tag w:val="nr_5864b9b24825452ea63dc6dd7577e29b"/>
                      <w:lock w:val="sdtLocked"/>
                      <w:richText/>
                    </w:sdtPr>
                    <w:sdtContent>
                      <w:r>
                        <w:t>49</w:t>
                      </w:r>
                    </w:sdtContent>
                  </w:sdt>
                  <w:r>
                    <w:t>. Rezervuarų grupės ar pavieniai rezervuarai su degiais skysčiais, suskystintomis degiomis dujomis, nuodingomis medžiagomis turi būti išdėstyti, kaip taisyklė, ant žemesnių žemės paviršiaus altitudžių Sklypo pastatų ir inžinerinių statinių atžvilgiu ir pagal priešgaisrinių normų [4.4.7] reikalavimus turi būti apjuosti (atsižvelgiant į vietos reljefą) ištisomis sienomis iš Al, A2 degumo klasių statybos produktų arba žemės volais.</w:t>
                  </w:r>
                </w:p>
                <w:p>
                  <w:pPr>
                    <w:ind w:firstLine="709"/>
                    <w:jc w:val="both"/>
                  </w:pPr>
                  <w:r>
                    <w:t>Tais atvejais, kai nurodyti inžineriniai statiniai išdėstyti ant aukštesnio žemės paviršiaus, turi būti numatytos papildomos priemonės, padedančios išvengti išsiliejusių skysčių nutekėjimo už sienų iš ne žemesnės kaip Al degumo klasės statybos produktų ar žemės volų ribos, įvykus antžeminių rezervuarų avarijoms.</w:t>
                  </w:r>
                </w:p>
              </w:sdtContent>
            </w:sdt>
            <w:sdt>
              <w:sdtPr>
                <w:alias w:val="50 p."/>
                <w:tag w:val="part_44c67e78cecf4f9296325243397dc1cc"/>
                <w:lock w:val="sdtLocked"/>
                <w:richText/>
              </w:sdtPr>
              <w:sdtContent>
                <w:p>
                  <w:pPr>
                    <w:ind w:firstLine="709"/>
                    <w:jc w:val="both"/>
                  </w:pPr>
                  <w:sdt>
                    <w:sdtPr>
                      <w:alias w:val="Numeris"/>
                      <w:tag w:val="nr_44c67e78cecf4f9296325243397dc1cc"/>
                      <w:lock w:val="sdtLocked"/>
                      <w:richText/>
                    </w:sdtPr>
                    <w:sdtContent>
                      <w:r>
                        <w:t>50</w:t>
                      </w:r>
                    </w:sdtContent>
                  </w:sdt>
                  <w:r>
                    <w:t>. Sklypo statinių planuojamos žemės paviršiaus altitudės turi būti priimamos techninių ekonominių rodiklių variantinių palyginimų pagrindu, siekiant užtikrinti iškasamo ir užpilamo žemės kiekio balansą.</w:t>
                  </w:r>
                </w:p>
              </w:sdtContent>
            </w:sdt>
            <w:sdt>
              <w:sdtPr>
                <w:alias w:val="51 p."/>
                <w:tag w:val="part_4d81c3af484449339e35190a0a506cd2"/>
                <w:lock w:val="sdtLocked"/>
                <w:richText/>
              </w:sdtPr>
              <w:sdtContent>
                <w:p>
                  <w:pPr>
                    <w:ind w:firstLine="709"/>
                    <w:jc w:val="both"/>
                  </w:pPr>
                  <w:sdt>
                    <w:sdtPr>
                      <w:alias w:val="Numeris"/>
                      <w:tag w:val="nr_4d81c3af484449339e35190a0a506cd2"/>
                      <w:lock w:val="sdtLocked"/>
                      <w:richText/>
                    </w:sdtPr>
                    <w:sdtContent>
                      <w:r>
                        <w:t>51</w:t>
                      </w:r>
                    </w:sdtContent>
                  </w:sdt>
                  <w:r>
                    <w:t>. Pastatų pirmųjų aukštų grindų lygio altitudė turi būti 0,15 m aukštesnė už gretimos Sklypo dalies paviršiaus planuojamą altitudę. Išimtys iš šio reikalavimo turi būti techniškai ir ekonomiškai pagrįstos.</w:t>
                  </w:r>
                </w:p>
              </w:sdtContent>
            </w:sdt>
            <w:sdt>
              <w:sdtPr>
                <w:alias w:val="52 p."/>
                <w:tag w:val="part_6b63c8f9bdd94766847297ee2602c39c"/>
                <w:lock w:val="sdtLocked"/>
                <w:richText/>
              </w:sdtPr>
              <w:sdtContent>
                <w:p>
                  <w:pPr>
                    <w:ind w:firstLine="709"/>
                    <w:jc w:val="both"/>
                  </w:pPr>
                  <w:sdt>
                    <w:sdtPr>
                      <w:alias w:val="Numeris"/>
                      <w:tag w:val="nr_6b63c8f9bdd94766847297ee2602c39c"/>
                      <w:lock w:val="sdtLocked"/>
                      <w:richText/>
                    </w:sdtPr>
                    <w:sdtContent>
                      <w:r>
                        <w:t>52</w:t>
                      </w:r>
                    </w:sdtContent>
                  </w:sdt>
                  <w:r>
                    <w:t>. Rūsio ar kitų įgilintų patalpų grindų altitudė turi būti aukštesnė už gruntinio vandens lygį ne mažiau kaip 0,5 m.</w:t>
                  </w:r>
                </w:p>
                <w:p>
                  <w:pPr>
                    <w:ind w:firstLine="709"/>
                    <w:jc w:val="both"/>
                  </w:pPr>
                  <w:r>
                    <w:t>Kai dėl technologinių reikalavimų būtina įrengti rūsio ar kitas įgilintas patalpas su žemesne nei gruntinio vandens lygio altitude, turi būti numatytas patalpų hidroizoliavimas arba gruntinio vandens lygio pažeminimas. Būtina atsižvelgti į gruntinio vandens lygio pakilimo galimybę Sklype.</w:t>
                  </w:r>
                </w:p>
              </w:sdtContent>
            </w:sdt>
            <w:sdt>
              <w:sdtPr>
                <w:alias w:val="53 p."/>
                <w:tag w:val="part_5e37709469774bdeb5d6b2636688a631"/>
                <w:lock w:val="sdtLocked"/>
                <w:richText/>
              </w:sdtPr>
              <w:sdtContent>
                <w:p>
                  <w:pPr>
                    <w:ind w:firstLine="709"/>
                    <w:jc w:val="both"/>
                  </w:pPr>
                  <w:sdt>
                    <w:sdtPr>
                      <w:alias w:val="Numeris"/>
                      <w:tag w:val="nr_5e37709469774bdeb5d6b2636688a631"/>
                      <w:lock w:val="sdtLocked"/>
                      <w:richText/>
                    </w:sdtPr>
                    <w:sdtContent>
                      <w:r>
                        <w:t>53</w:t>
                      </w:r>
                    </w:sdtContent>
                  </w:sdt>
                  <w:r>
                    <w:t>. Kai būtina vandenį nuvesti išilgai pastato, prie kurio nėra šaligatvių, prie grindinio turi būti numatyti latakai.</w:t>
                  </w:r>
                </w:p>
                <w:p>
                  <w:pPr>
                    <w:ind w:firstLine="709"/>
                    <w:jc w:val="both"/>
                  </w:pPr>
                </w:p>
              </w:sdtContent>
            </w:sdt>
          </w:sdtContent>
        </w:sdt>
        <w:sdt>
          <w:sdtPr>
            <w:alias w:val="skyrius"/>
            <w:tag w:val="part_2a1cb1b2aca14e3292f512fbc467ecc9"/>
            <w:lock w:val="sdtLocked"/>
            <w:richText/>
          </w:sdtPr>
          <w:sdtContent>
            <w:p>
              <w:pPr>
                <w:jc w:val="center"/>
                <w:rPr>
                  <w:b/>
                </w:rPr>
              </w:pPr>
              <w:sdt>
                <w:sdtPr>
                  <w:alias w:val="Numeris"/>
                  <w:tag w:val="nr_2a1cb1b2aca14e3292f512fbc467ecc9"/>
                  <w:lock w:val="sdtLocked"/>
                  <w:richText/>
                </w:sdtPr>
                <w:sdtContent>
                  <w:r>
                    <w:rPr>
                      <w:b/>
                    </w:rPr>
                    <w:t>VIII</w:t>
                  </w:r>
                </w:sdtContent>
              </w:sdt>
              <w:r>
                <w:rPr>
                  <w:b/>
                </w:rPr>
                <w:t xml:space="preserve"> SKYRIUS. </w:t>
              </w:r>
              <w:sdt>
                <w:sdtPr>
                  <w:alias w:val="Pavadinimas"/>
                  <w:tag w:val="title_2a1cb1b2aca14e3292f512fbc467ecc9"/>
                  <w:lock w:val="sdtLocked"/>
                  <w:richText/>
                </w:sdtPr>
                <w:sdtContent>
                  <w:r>
                    <w:rPr>
                      <w:b/>
                    </w:rPr>
                    <w:t>SKLYPO SUSISIEKIMO KOMUNIKACIJOS</w:t>
                  </w:r>
                </w:sdtContent>
              </w:sdt>
            </w:p>
            <w:p>
              <w:pPr>
                <w:jc w:val="center"/>
                <w:rPr>
                  <w:b/>
                </w:rPr>
              </w:pPr>
            </w:p>
            <w:sdt>
              <w:sdtPr>
                <w:alias w:val="54 p."/>
                <w:tag w:val="part_858e1e9aee4c4cbeb4cc5c832ec1f04c"/>
                <w:lock w:val="sdtLocked"/>
                <w:richText/>
              </w:sdtPr>
              <w:sdtContent>
                <w:p>
                  <w:pPr>
                    <w:ind w:firstLine="709"/>
                    <w:jc w:val="both"/>
                  </w:pPr>
                  <w:sdt>
                    <w:sdtPr>
                      <w:alias w:val="Numeris"/>
                      <w:tag w:val="nr_858e1e9aee4c4cbeb4cc5c832ec1f04c"/>
                      <w:lock w:val="sdtLocked"/>
                      <w:richText/>
                    </w:sdtPr>
                    <w:sdtContent>
                      <w:r>
                        <w:t>54</w:t>
                      </w:r>
                    </w:sdtContent>
                  </w:sdt>
                  <w:r>
                    <w:t>. Sklypo geležinkeliai, hidraulinis, konvejerinis transportas ir pakabinamieji lynų keliai turi būti projektuojami pagal jų projektavimą reglamentuojančius normatyvinius dokumentus. Atstumai nuo Sklypo vidaus geležinkelio ašies iki Sklypo statinių elementų nustatomi pagal Reglamento 4 priedą.</w:t>
                  </w:r>
                </w:p>
              </w:sdtContent>
            </w:sdt>
            <w:sdt>
              <w:sdtPr>
                <w:alias w:val="55 p."/>
                <w:tag w:val="part_3c104a0d99364a3082e548220823f821"/>
                <w:lock w:val="sdtLocked"/>
                <w:richText/>
              </w:sdtPr>
              <w:sdtContent>
                <w:p>
                  <w:pPr>
                    <w:ind w:firstLine="709"/>
                    <w:jc w:val="both"/>
                  </w:pPr>
                  <w:sdt>
                    <w:sdtPr>
                      <w:alias w:val="Numeris"/>
                      <w:tag w:val="nr_3c104a0d99364a3082e548220823f821"/>
                      <w:lock w:val="sdtLocked"/>
                      <w:richText/>
                    </w:sdtPr>
                    <w:sdtContent>
                      <w:r>
                        <w:t>55</w:t>
                      </w:r>
                    </w:sdtContent>
                  </w:sdt>
                  <w:r>
                    <w:t>. Sklypo keliai (gatvės), skirti transportui, pėstiesiems ir dviračiams, turi būti projektuojami pagal STR 2.06.01:1999 [4.3.4] reikalavimus, nustatytus D, E ir F klasės gatvėms, taip pat pagal normatyvinius dokumentus, nustatančius pramonės transporto reikalavimus. Sklypo kelių (gatvių) persikirtimai su pėsčiųjų keliais turi būti projektuojami pagal miestų, miestelių kaimo ir gyvenviečių planavimo ir užstatymo norminius reikalavimus.</w:t>
                  </w:r>
                </w:p>
              </w:sdtContent>
            </w:sdt>
            <w:sdt>
              <w:sdtPr>
                <w:alias w:val="56 p."/>
                <w:tag w:val="part_633c7439192e49299b5d374b7184f1ea"/>
                <w:lock w:val="sdtLocked"/>
                <w:richText/>
              </w:sdtPr>
              <w:sdtContent>
                <w:p>
                  <w:pPr>
                    <w:ind w:firstLine="709"/>
                    <w:jc w:val="both"/>
                  </w:pPr>
                  <w:sdt>
                    <w:sdtPr>
                      <w:alias w:val="Numeris"/>
                      <w:tag w:val="nr_633c7439192e49299b5d374b7184f1ea"/>
                      <w:lock w:val="sdtLocked"/>
                      <w:richText/>
                    </w:sdtPr>
                    <w:sdtContent>
                      <w:r>
                        <w:t>56</w:t>
                      </w:r>
                    </w:sdtContent>
                  </w:sdt>
                  <w:r>
                    <w:t>. Į gamybos teritorijas, kurių plotas didesnis kaip 5 ha, turi būti ne mažiau kaip du įvažiavimai.</w:t>
                  </w:r>
                </w:p>
                <w:p>
                  <w:pPr>
                    <w:ind w:firstLine="709"/>
                    <w:jc w:val="both"/>
                  </w:pPr>
                  <w:r>
                    <w:t>Kai gamybos teritorijos kraštinė ilgesnė už 1000 m ir orientuota išilgai gatvės ar kelio, iš jos pusės turi būti numatyti ne mažiau kaip du įvažiavimai. Atstumas tarp įvažiavimų neturi viršyti 1500 m.</w:t>
                  </w:r>
                </w:p>
                <w:p>
                  <w:pPr>
                    <w:ind w:firstLine="709"/>
                    <w:jc w:val="both"/>
                  </w:pPr>
                  <w:r>
                    <w:t>Iš gamybos teritorijoje aptvertų aikštelių (atviros transformatorinės pastotės, sandėlių ir pan.), kurių plotas yra didesnis kaip 5 ha, turi būti ne mažiau kaip du išvažiavimai, įrengiami vadovaujantis šio Reglamento punkto pirmąja pastraipa. Automobilių įvažiavimų ar išvažiavimų iš įmonės gamybos teritorijos vartų plotis turi būti priimamas pagal didžiausią naudojamo automobilio plotį bei aukštį, pridedant 1,5 m, bet ne siauresnis kaip 4,5 m ir ne žemesnis kaip 4,25 m, o geležinkelio vartų – ne siauresnis kaip 4,9 m.</w:t>
                  </w:r>
                </w:p>
              </w:sdtContent>
            </w:sdt>
            <w:sdt>
              <w:sdtPr>
                <w:alias w:val="57 p."/>
                <w:tag w:val="part_bc79a5d7cef6440f9e60cd681e11e7e7"/>
                <w:lock w:val="sdtLocked"/>
                <w:richText/>
              </w:sdtPr>
              <w:sdtContent>
                <w:p>
                  <w:pPr>
                    <w:ind w:firstLine="709"/>
                    <w:jc w:val="both"/>
                  </w:pPr>
                  <w:sdt>
                    <w:sdtPr>
                      <w:alias w:val="Numeris"/>
                      <w:tag w:val="nr_bc79a5d7cef6440f9e60cd681e11e7e7"/>
                      <w:lock w:val="sdtLocked"/>
                      <w:richText/>
                    </w:sdtPr>
                    <w:sdtContent>
                      <w:r>
                        <w:t>57</w:t>
                      </w:r>
                    </w:sdtContent>
                  </w:sdt>
                  <w:r>
                    <w:t>. Sklypo vidaus transporto rūšis turi būti parenkama įvairių variantų techninių ekonominių palyginimų pagrindu, atsižvelgiant į vieningo transportavimo proceso nuo sandėlių vietų iki vartojimo vietų organizavimą tomis pačiomis transporto priemonėmis, išvengiant perkrovimo iš tarpcechinio transporto į cechinį vidaus transportą.</w:t>
                  </w:r>
                </w:p>
              </w:sdtContent>
            </w:sdt>
            <w:sdt>
              <w:sdtPr>
                <w:alias w:val="58 p."/>
                <w:tag w:val="part_9a86db10959c434497f5cf900af5d2b2"/>
                <w:lock w:val="sdtLocked"/>
                <w:richText/>
              </w:sdtPr>
              <w:sdtContent>
                <w:p>
                  <w:pPr>
                    <w:ind w:firstLine="709"/>
                    <w:jc w:val="both"/>
                  </w:pPr>
                  <w:sdt>
                    <w:sdtPr>
                      <w:alias w:val="Numeris"/>
                      <w:tag w:val="nr_9a86db10959c434497f5cf900af5d2b2"/>
                      <w:lock w:val="sdtLocked"/>
                      <w:richText/>
                    </w:sdtPr>
                    <w:sdtContent>
                      <w:r>
                        <w:t>58</w:t>
                      </w:r>
                    </w:sdtContent>
                  </w:sdt>
                  <w:r>
                    <w:t>. Prie pastatų ir inžinerinių statinių pagal visą jų ilgį turi būti užtikrintas priešgaisrinių automobilių privažiavimas: iš vienos pusės – kai pastato ar inžinerinio statinio plotis ne didesnis kaip 18 m ir iš dviejų pusių – kai plotis didesnis kaip 18 m, taip pat kai kiemai yra uždari ar pusiau uždari.</w:t>
                  </w:r>
                </w:p>
              </w:sdtContent>
            </w:sdt>
            <w:sdt>
              <w:sdtPr>
                <w:alias w:val="59 p."/>
                <w:tag w:val="part_7535c9a9b187447fb5cf96011d9c4aad"/>
                <w:lock w:val="sdtLocked"/>
                <w:richText/>
              </w:sdtPr>
              <w:sdtContent>
                <w:p>
                  <w:pPr>
                    <w:ind w:firstLine="709"/>
                    <w:jc w:val="both"/>
                  </w:pPr>
                  <w:sdt>
                    <w:sdtPr>
                      <w:alias w:val="Numeris"/>
                      <w:tag w:val="nr_7535c9a9b187447fb5cf96011d9c4aad"/>
                      <w:lock w:val="sdtLocked"/>
                      <w:richText/>
                    </w:sdtPr>
                    <w:sdtContent>
                      <w:r>
                        <w:t>59</w:t>
                      </w:r>
                    </w:sdtContent>
                  </w:sdt>
                  <w:r>
                    <w:t>. Prie pastatų, kurių plotas didesnis kaip 10 ha arba plotis didesnis kaip 100 m, priešgaisrinių automobilių privažiavimas turi būtų užtikrintas iš visų pusių, laikantis šių reikalavimų:</w:t>
                  </w:r>
                </w:p>
                <w:sdt>
                  <w:sdtPr>
                    <w:alias w:val="59.1 pp."/>
                    <w:tag w:val="part_cc43482107d2460f9060b853f16c5c3f"/>
                    <w:lock w:val="sdtLocked"/>
                    <w:richText/>
                  </w:sdtPr>
                  <w:sdtContent>
                    <w:p>
                      <w:pPr>
                        <w:ind w:firstLine="709"/>
                        <w:jc w:val="both"/>
                      </w:pPr>
                      <w:sdt>
                        <w:sdtPr>
                          <w:alias w:val="Numeris"/>
                          <w:tag w:val="nr_cc43482107d2460f9060b853f16c5c3f"/>
                          <w:lock w:val="sdtLocked"/>
                          <w:richText/>
                        </w:sdtPr>
                        <w:sdtContent>
                          <w:r>
                            <w:t>59.1</w:t>
                          </w:r>
                        </w:sdtContent>
                      </w:sdt>
                      <w:r>
                        <w:t>. atvejais, kai pagal gamybos sąlygas nereikalingi keliai, leidžiama numatyti, kad priešgaisriniai automobiliai privažiuotų išlygintu sutankinto grunto žemės paviršiumi, sustiprintu pravažiavimo vietose 3,5 m plotyje, sudarant nuolydžius, užtikrinančius natūralų paviršinio vandens nuotėkį;</w:t>
                      </w:r>
                    </w:p>
                  </w:sdtContent>
                </w:sdt>
                <w:sdt>
                  <w:sdtPr>
                    <w:alias w:val="59.2 pp."/>
                    <w:tag w:val="part_c83a2b3bf08a4de1a415ce8579c0920e"/>
                    <w:lock w:val="sdtLocked"/>
                    <w:richText/>
                  </w:sdtPr>
                  <w:sdtContent>
                    <w:p>
                      <w:pPr>
                        <w:ind w:firstLine="709"/>
                        <w:jc w:val="both"/>
                      </w:pPr>
                      <w:sdt>
                        <w:sdtPr>
                          <w:alias w:val="Numeris"/>
                          <w:tag w:val="nr_c83a2b3bf08a4de1a415ce8579c0920e"/>
                          <w:lock w:val="sdtLocked"/>
                          <w:richText/>
                        </w:sdtPr>
                        <w:sdtContent>
                          <w:r>
                            <w:t>59.2</w:t>
                          </w:r>
                        </w:sdtContent>
                      </w:sdt>
                      <w:r>
                        <w:t>. atstumas nuo važiuojamosios dalies ar išlyginto paviršiaus, užtikrinančio priešgaisrinių mašinų privažiavimą iki pastatų, kurių aukštis iki 12 m, turi būti ne didesnis kaip 25 m, kai pastatų aukštis nuo 12 iki 28 m – ne didesnis kaip 10 m, kai pastatai aukštesni kaip 28 m – ne didesnis kaip 8 m;</w:t>
                      </w:r>
                    </w:p>
                  </w:sdtContent>
                </w:sdt>
                <w:sdt>
                  <w:sdtPr>
                    <w:alias w:val="59.3 pp."/>
                    <w:tag w:val="part_7fa103c941144265933e0100e4912e7d"/>
                    <w:lock w:val="sdtLocked"/>
                    <w:richText/>
                  </w:sdtPr>
                  <w:sdtContent>
                    <w:p>
                      <w:pPr>
                        <w:ind w:firstLine="709"/>
                        <w:jc w:val="both"/>
                      </w:pPr>
                      <w:sdt>
                        <w:sdtPr>
                          <w:alias w:val="Numeris"/>
                          <w:tag w:val="nr_7fa103c941144265933e0100e4912e7d"/>
                          <w:lock w:val="sdtLocked"/>
                          <w:richText/>
                        </w:sdtPr>
                        <w:sdtContent>
                          <w:r>
                            <w:t>59.3</w:t>
                          </w:r>
                        </w:sdtContent>
                      </w:sdt>
                      <w:r>
                        <w:t>. atstumą nuo važiuojamosios kelio dalies iki statinių kraštutinės ašies leidžiama padidinti iki 60 m su sąlyga, kad prie statinių bus nutiesti aklikeliai su priešgaisrinių mašinų apsisukimo aikštelėmis 12x12 m ir įrengti gaisriniai hidrantai, išlaikant atstumą nuo statinių iki priešgaisrinių mašinų apsisukimo aikštelių ne mažesnį kaip 5 m ir ne didesnį kaip 15 m. Atstumas tarp aklikelių turi būti ne didesnis kaip 100 m;</w:t>
                      </w:r>
                    </w:p>
                  </w:sdtContent>
                </w:sdt>
                <w:sdt>
                  <w:sdtPr>
                    <w:alias w:val="59.4 pp."/>
                    <w:tag w:val="part_bdf582dc79654644972f433d76fef78e"/>
                    <w:lock w:val="sdtLocked"/>
                    <w:richText/>
                  </w:sdtPr>
                  <w:sdtContent>
                    <w:p>
                      <w:pPr>
                        <w:ind w:firstLine="709"/>
                        <w:jc w:val="both"/>
                      </w:pPr>
                      <w:sdt>
                        <w:sdtPr>
                          <w:alias w:val="Numeris"/>
                          <w:tag w:val="nr_bdf582dc79654644972f433d76fef78e"/>
                          <w:lock w:val="sdtLocked"/>
                          <w:richText/>
                        </w:sdtPr>
                        <w:sdtContent>
                          <w:r>
                            <w:t>59.4</w:t>
                          </w:r>
                        </w:sdtContent>
                      </w:sdt>
                      <w:r>
                        <w:t>. pastatų ir inžinerinių statinių plotis priimamas lygus atstumui tarp kraštinių nužymėjimo ašių;</w:t>
                      </w:r>
                    </w:p>
                  </w:sdtContent>
                </w:sdt>
                <w:sdt>
                  <w:sdtPr>
                    <w:alias w:val="59.5 pp."/>
                    <w:tag w:val="part_4072d07a53d24c479b14ae123f56db59"/>
                    <w:lock w:val="sdtLocked"/>
                    <w:richText/>
                  </w:sdtPr>
                  <w:sdtContent>
                    <w:p>
                      <w:pPr>
                        <w:ind w:firstLine="709"/>
                        <w:jc w:val="both"/>
                      </w:pPr>
                      <w:sdt>
                        <w:sdtPr>
                          <w:alias w:val="Numeris"/>
                          <w:tag w:val="nr_4072d07a53d24c479b14ae123f56db59"/>
                          <w:lock w:val="sdtLocked"/>
                          <w:richText/>
                        </w:sdtPr>
                        <w:sdtContent>
                          <w:r>
                            <w:t>59.5</w:t>
                          </w:r>
                        </w:sdtContent>
                      </w:sdt>
                      <w:r>
                        <w:t>. privažiavimai prie vandens telkinių, kurie gali būti naudojami gaisrams gesinti, turi būti su aikštelėmis, kurių matmenys ne mažesni kaip 12x12 m;</w:t>
                      </w:r>
                    </w:p>
                  </w:sdtContent>
                </w:sdt>
                <w:sdt>
                  <w:sdtPr>
                    <w:alias w:val="59.6 pp."/>
                    <w:tag w:val="part_258b96cf6b4a4ff884543cf95935ee10"/>
                    <w:lock w:val="sdtLocked"/>
                    <w:richText/>
                  </w:sdtPr>
                  <w:sdtContent>
                    <w:p>
                      <w:pPr>
                        <w:ind w:firstLine="709"/>
                        <w:jc w:val="both"/>
                      </w:pPr>
                      <w:sdt>
                        <w:sdtPr>
                          <w:alias w:val="Numeris"/>
                          <w:tag w:val="nr_258b96cf6b4a4ff884543cf95935ee10"/>
                          <w:lock w:val="sdtLocked"/>
                          <w:richText/>
                        </w:sdtPr>
                        <w:sdtContent>
                          <w:r>
                            <w:t>59.6</w:t>
                          </w:r>
                        </w:sdtContent>
                      </w:sdt>
                      <w:r>
                        <w:t>. antžeminiai gaisriniai hidrantai turi būti išdėstomi išilgai kelio atstumu netrumpesniu kaip 2,5 m nuo važiuojamosios dalies krašto, bet ne arčiau kaip 5 m nuo pastato sienos. Tuo atveju, jei esamoje įmonėje, kai ji rekonstruojama, šis plotas yra užimtas esamais inžineriniais statiniais ar technologiniais įrenginiais, leidžiama požeminius hidrantus išdėstyti važiuojamoje dalyje;</w:t>
                      </w:r>
                    </w:p>
                  </w:sdtContent>
                </w:sdt>
                <w:sdt>
                  <w:sdtPr>
                    <w:alias w:val="59.7 pp."/>
                    <w:tag w:val="part_1696e70aa73048b1b4327200fac1d32b"/>
                    <w:lock w:val="sdtLocked"/>
                    <w:richText/>
                  </w:sdtPr>
                  <w:sdtContent>
                    <w:p>
                      <w:pPr>
                        <w:ind w:firstLine="709"/>
                        <w:jc w:val="both"/>
                      </w:pPr>
                      <w:sdt>
                        <w:sdtPr>
                          <w:alias w:val="Numeris"/>
                          <w:tag w:val="nr_1696e70aa73048b1b4327200fac1d32b"/>
                          <w:lock w:val="sdtLocked"/>
                          <w:richText/>
                        </w:sdtPr>
                        <w:sdtContent>
                          <w:r>
                            <w:t>59.7</w:t>
                          </w:r>
                        </w:sdtContent>
                      </w:sdt>
                      <w:r>
                        <w:t>. priešgaisrinių mašinų privažiavimas prie I atsparumo ugniai E kategorijos pagal sprogimo ir gaisro pavojų statinių nenumatomas;</w:t>
                      </w:r>
                    </w:p>
                  </w:sdtContent>
                </w:sdt>
                <w:sdt>
                  <w:sdtPr>
                    <w:alias w:val="59.8 pp."/>
                    <w:tag w:val="part_35397384b9514482accc5a816a57c72e"/>
                    <w:lock w:val="sdtLocked"/>
                    <w:richText/>
                  </w:sdtPr>
                  <w:sdtContent>
                    <w:p>
                      <w:pPr>
                        <w:ind w:firstLine="709"/>
                        <w:jc w:val="both"/>
                      </w:pPr>
                      <w:sdt>
                        <w:sdtPr>
                          <w:alias w:val="Numeris"/>
                          <w:tag w:val="nr_35397384b9514482accc5a816a57c72e"/>
                          <w:lock w:val="sdtLocked"/>
                          <w:richText/>
                        </w:sdtPr>
                        <w:sdtContent>
                          <w:r>
                            <w:t>59.8</w:t>
                          </w:r>
                        </w:sdtContent>
                      </w:sdt>
                      <w:r>
                        <w:t>. Sklypo pravažiavimų plotis priimamas, atsižvelgiant į kompaktinį kelių, inžinerinių tinklų ir apželdinimo juostų išdėstymą, bet tuo atveju, kai abiejose pravažiavimo pusėse išdėstyti statiniai, pravažiavimų plotis turi būti ne mažesnis už atstumus tarp pastatų ir inžinerinių statinių, nustatytus Reglamento 1 priede.</w:t>
                      </w:r>
                    </w:p>
                    <w:p>
                      <w:pPr>
                        <w:ind w:firstLine="709"/>
                        <w:jc w:val="both"/>
                      </w:pPr>
                      <w:r>
                        <w:t>Pravažiavimo pločiu laikomas atstumas tarp statinių, apribojančių privažiavimą, koordinačių ašių.</w:t>
                      </w:r>
                    </w:p>
                  </w:sdtContent>
                </w:sdt>
              </w:sdtContent>
            </w:sdt>
            <w:sdt>
              <w:sdtPr>
                <w:alias w:val="60 p."/>
                <w:tag w:val="part_149619774fe44ed7b53d1fbcc214d5ec"/>
                <w:lock w:val="sdtLocked"/>
                <w:richText/>
              </w:sdtPr>
              <w:sdtContent>
                <w:p>
                  <w:pPr>
                    <w:ind w:firstLine="709"/>
                    <w:jc w:val="both"/>
                  </w:pPr>
                  <w:sdt>
                    <w:sdtPr>
                      <w:alias w:val="Numeris"/>
                      <w:tag w:val="nr_149619774fe44ed7b53d1fbcc214d5ec"/>
                      <w:lock w:val="sdtLocked"/>
                      <w:richText/>
                    </w:sdtPr>
                    <w:sdtContent>
                      <w:r>
                        <w:t>60</w:t>
                      </w:r>
                    </w:sdtContent>
                  </w:sdt>
                  <w:r>
                    <w:t>. Pravažiavime turi būti vienas kelias. Dviejų kelių tiesimas viename pravažiavime leidžiamas:</w:t>
                  </w:r>
                </w:p>
                <w:sdt>
                  <w:sdtPr>
                    <w:alias w:val="60.1 pp."/>
                    <w:tag w:val="part_2c1509c51ed14f3799adfe0cb3ffa28a"/>
                    <w:lock w:val="sdtLocked"/>
                    <w:richText/>
                  </w:sdtPr>
                  <w:sdtContent>
                    <w:p>
                      <w:pPr>
                        <w:ind w:firstLine="709"/>
                        <w:jc w:val="both"/>
                      </w:pPr>
                      <w:sdt>
                        <w:sdtPr>
                          <w:alias w:val="Numeris"/>
                          <w:tag w:val="nr_2c1509c51ed14f3799adfe0cb3ffa28a"/>
                          <w:lock w:val="sdtLocked"/>
                          <w:richText/>
                        </w:sdtPr>
                        <w:sdtContent>
                          <w:r>
                            <w:t>60.1</w:t>
                          </w:r>
                        </w:sdtContent>
                      </w:sdt>
                      <w:r>
                        <w:t>. kai vieno kelio su privažiavimais dangos plotas lygus ar yra didesnis už dviejų kelių su privažiavimais dangos plotą;</w:t>
                      </w:r>
                    </w:p>
                  </w:sdtContent>
                </w:sdt>
                <w:sdt>
                  <w:sdtPr>
                    <w:alias w:val="60.2 pp."/>
                    <w:tag w:val="part_79dbc213f66140fcbdee0d9afbb703ee"/>
                    <w:lock w:val="sdtLocked"/>
                    <w:richText/>
                  </w:sdtPr>
                  <w:sdtContent>
                    <w:p>
                      <w:pPr>
                        <w:ind w:firstLine="709"/>
                        <w:jc w:val="both"/>
                      </w:pPr>
                      <w:sdt>
                        <w:sdtPr>
                          <w:alias w:val="Numeris"/>
                          <w:tag w:val="nr_79dbc213f66140fcbdee0d9afbb703ee"/>
                          <w:lock w:val="sdtLocked"/>
                          <w:richText/>
                        </w:sdtPr>
                        <w:sdtContent>
                          <w:r>
                            <w:t>60.2</w:t>
                          </w:r>
                        </w:sdtContent>
                      </w:sdt>
                      <w:r>
                        <w:t>. esant sudėtingam Sklypo reljefui, kai reikalinga tiesti kelius skirtinguose lygiuose, užtikrinant nebėginio transporto priemonių įvažiavimą į statinius.</w:t>
                      </w:r>
                    </w:p>
                  </w:sdtContent>
                </w:sdt>
              </w:sdtContent>
            </w:sdt>
            <w:sdt>
              <w:sdtPr>
                <w:alias w:val="61 p."/>
                <w:tag w:val="part_84c8aa59d6154790a8936cafd7e3af27"/>
                <w:lock w:val="sdtLocked"/>
                <w:richText/>
              </w:sdtPr>
              <w:sdtContent>
                <w:p>
                  <w:pPr>
                    <w:ind w:firstLine="709"/>
                    <w:jc w:val="both"/>
                  </w:pPr>
                  <w:sdt>
                    <w:sdtPr>
                      <w:alias w:val="Numeris"/>
                      <w:tag w:val="nr_84c8aa59d6154790a8936cafd7e3af27"/>
                      <w:lock w:val="sdtLocked"/>
                      <w:richText/>
                    </w:sdtPr>
                    <w:sdtContent>
                      <w:r>
                        <w:t>61</w:t>
                      </w:r>
                    </w:sdtContent>
                  </w:sdt>
                  <w:r>
                    <w:t>. Atstumai nuo borto arba kelkraščio iki statinių priimami ne mažesni už nustatytus Reglamento 3 priede.</w:t>
                  </w:r>
                </w:p>
                <w:p>
                  <w:pPr>
                    <w:ind w:firstLine="709"/>
                    <w:jc w:val="both"/>
                  </w:pPr>
                </w:p>
              </w:sdtContent>
            </w:sdt>
          </w:sdtContent>
        </w:sdt>
        <w:sdt>
          <w:sdtPr>
            <w:alias w:val="skyrius"/>
            <w:tag w:val="part_5b4c2a2a7f7c4326a31193480e1ea2e7"/>
            <w:lock w:val="sdtLocked"/>
            <w:richText/>
          </w:sdtPr>
          <w:sdtContent>
            <w:p>
              <w:pPr>
                <w:jc w:val="center"/>
                <w:rPr>
                  <w:b/>
                </w:rPr>
              </w:pPr>
              <w:sdt>
                <w:sdtPr>
                  <w:alias w:val="Numeris"/>
                  <w:tag w:val="nr_5b4c2a2a7f7c4326a31193480e1ea2e7"/>
                  <w:lock w:val="sdtLocked"/>
                  <w:richText/>
                </w:sdtPr>
                <w:sdtContent>
                  <w:r>
                    <w:rPr>
                      <w:b/>
                    </w:rPr>
                    <w:t>IX</w:t>
                  </w:r>
                </w:sdtContent>
              </w:sdt>
              <w:r>
                <w:rPr>
                  <w:b/>
                </w:rPr>
                <w:t xml:space="preserve"> SKYRIUS. </w:t>
              </w:r>
              <w:sdt>
                <w:sdtPr>
                  <w:alias w:val="Pavadinimas"/>
                  <w:tag w:val="title_5b4c2a2a7f7c4326a31193480e1ea2e7"/>
                  <w:lock w:val="sdtLocked"/>
                  <w:richText/>
                </w:sdtPr>
                <w:sdtContent>
                  <w:r>
                    <w:rPr>
                      <w:b/>
                    </w:rPr>
                    <w:t>SKLYPO INŽINERINIAI TINKLAI</w:t>
                  </w:r>
                </w:sdtContent>
              </w:sdt>
            </w:p>
            <w:p>
              <w:pPr>
                <w:jc w:val="center"/>
                <w:rPr>
                  <w:b/>
                </w:rPr>
              </w:pPr>
            </w:p>
            <w:sdt>
              <w:sdtPr>
                <w:alias w:val="62 p."/>
                <w:tag w:val="part_cec4ee258f864cd0be6412fd9cb1acfb"/>
                <w:lock w:val="sdtLocked"/>
                <w:richText/>
              </w:sdtPr>
              <w:sdtContent>
                <w:p>
                  <w:pPr>
                    <w:ind w:firstLine="709"/>
                    <w:jc w:val="both"/>
                  </w:pPr>
                  <w:sdt>
                    <w:sdtPr>
                      <w:alias w:val="Numeris"/>
                      <w:tag w:val="nr_cec4ee258f864cd0be6412fd9cb1acfb"/>
                      <w:lock w:val="sdtLocked"/>
                      <w:richText/>
                    </w:sdtPr>
                    <w:sdtContent>
                      <w:r>
                        <w:t>62</w:t>
                      </w:r>
                    </w:sdtContent>
                  </w:sdt>
                  <w:r>
                    <w:t>. Sklype turi būti projektuojama inžinerinių tinklų vieninga sistema, išdėstant juos techninėse juostose (koridoriuose) ar keliuose, užtikrinant nustatytą sklypo užstatymo tankį ir ryšį su pastatais ir inžineriniais statiniais. Sklypo inžineriniai tinklai projektuojami, vadovaujantis:</w:t>
                  </w:r>
                </w:p>
                <w:sdt>
                  <w:sdtPr>
                    <w:alias w:val="62.1 pp."/>
                    <w:tag w:val="part_e7630d4ea23945c18819e2bd7adab2a4"/>
                    <w:lock w:val="sdtLocked"/>
                    <w:richText/>
                  </w:sdtPr>
                  <w:sdtContent>
                    <w:p>
                      <w:pPr>
                        <w:ind w:firstLine="709"/>
                        <w:jc w:val="both"/>
                      </w:pPr>
                      <w:sdt>
                        <w:sdtPr>
                          <w:alias w:val="Numeris"/>
                          <w:tag w:val="nr_e7630d4ea23945c18819e2bd7adab2a4"/>
                          <w:lock w:val="sdtLocked"/>
                          <w:richText/>
                        </w:sdtPr>
                        <w:sdtContent>
                          <w:r>
                            <w:t>62.1</w:t>
                          </w:r>
                        </w:sdtContent>
                      </w:sdt>
                      <w:r>
                        <w:t>. vandentiekis ir nuotakynas – STR 2.07.01:2003 [4.3.8];</w:t>
                      </w:r>
                    </w:p>
                  </w:sdtContent>
                </w:sdt>
                <w:sdt>
                  <w:sdtPr>
                    <w:alias w:val="62.2 pp."/>
                    <w:tag w:val="part_ae605a9e8ba24c16aa3171c10c43d25d"/>
                    <w:lock w:val="sdtLocked"/>
                    <w:richText/>
                  </w:sdtPr>
                  <w:sdtContent>
                    <w:p>
                      <w:pPr>
                        <w:ind w:firstLine="709"/>
                        <w:jc w:val="both"/>
                      </w:pPr>
                      <w:sdt>
                        <w:sdtPr>
                          <w:alias w:val="Numeris"/>
                          <w:tag w:val="nr_ae605a9e8ba24c16aa3171c10c43d25d"/>
                          <w:lock w:val="sdtLocked"/>
                          <w:richText/>
                        </w:sdtPr>
                        <w:sdtContent>
                          <w:r>
                            <w:t>62.2</w:t>
                          </w:r>
                        </w:sdtContent>
                      </w:sdt>
                      <w:r>
                        <w:t>. šilumos tinklai – Šilumos tiekimo tinklų ir šilumos punktų įrengimo taisyklėmis [4.4.10];</w:t>
                      </w:r>
                    </w:p>
                  </w:sdtContent>
                </w:sdt>
                <w:sdt>
                  <w:sdtPr>
                    <w:alias w:val="62.3 pp."/>
                    <w:tag w:val="part_1f0150ac83c74d7ebad1cc320e85d40a"/>
                    <w:lock w:val="sdtLocked"/>
                    <w:richText/>
                  </w:sdtPr>
                  <w:sdtContent>
                    <w:p>
                      <w:pPr>
                        <w:ind w:firstLine="709"/>
                        <w:jc w:val="both"/>
                      </w:pPr>
                      <w:sdt>
                        <w:sdtPr>
                          <w:alias w:val="Numeris"/>
                          <w:tag w:val="nr_1f0150ac83c74d7ebad1cc320e85d40a"/>
                          <w:lock w:val="sdtLocked"/>
                          <w:richText/>
                        </w:sdtPr>
                        <w:sdtContent>
                          <w:r>
                            <w:t>62.3</w:t>
                          </w:r>
                        </w:sdtContent>
                      </w:sdt>
                      <w:r>
                        <w:t>. dujotiekis – STR 2.08.01:2004 [4.3.10];</w:t>
                      </w:r>
                    </w:p>
                  </w:sdtContent>
                </w:sdt>
                <w:sdt>
                  <w:sdtPr>
                    <w:alias w:val="62.4 pp."/>
                    <w:tag w:val="part_a4d0e7820ff64105bc20876807d345df"/>
                    <w:lock w:val="sdtLocked"/>
                    <w:richText/>
                  </w:sdtPr>
                  <w:sdtContent>
                    <w:p>
                      <w:pPr>
                        <w:widowControl w:val="0"/>
                        <w:suppressAutoHyphens/>
                        <w:ind w:firstLine="709"/>
                        <w:jc w:val="both"/>
                      </w:pPr>
                      <w:sdt>
                        <w:sdtPr>
                          <w:alias w:val="Numeris"/>
                          <w:tag w:val="nr_a4d0e7820ff64105bc20876807d345df"/>
                          <w:lock w:val="sdtLocked"/>
                          <w:richText/>
                        </w:sdtPr>
                        <w:sdtContent>
                          <w:r>
                            <w:rPr>
                              <w:color w:val="000000"/>
                            </w:rPr>
                            <w:t>62.4</w:t>
                          </w:r>
                        </w:sdtContent>
                      </w:sdt>
                      <w:r>
                        <w:rPr>
                          <w:color w:val="000000"/>
                        </w:rPr>
                        <w:t>. elektros tinklai – Elektros įrenginių įrengimo bendrosiomis taisyklėmis, Elektros linijų ir instaliacijos įrengimo taisyklėmis, Elektros įrenginių relinės apsaugos ir automatikos taisyklėmis, Skirstyklų ir pastočių elektros įrenginių įrengimo taisyklėmis [4.4.6] ir Apšvietimo elektros įrenginių įrengimo taisyklėmis [4.4.9];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5DC74875D7">
                        <w:r w:rsidRPr="00532B9F">
                          <w:rPr>
                            <w:rFonts w:ascii="Times New Roman" w:eastAsia="MS Mincho" w:hAnsi="Times New Roman"/>
                            <w:sz w:val="20"/>
                            <w:i/>
                            <w:iCs/>
                            <w:color w:val="0000FF" w:themeColor="hyperlink"/>
                            <w:u w:val="single"/>
                          </w:rPr>
                          <w:t>D1-851</w:t>
                        </w:r>
                      </w:fldSimple>
                      <w:r>
                        <w:rPr>
                          <w:rFonts w:ascii="Times New Roman" w:eastAsia="MS Mincho" w:hAnsi="Times New Roman"/>
                          <w:sz w:val="20"/>
                          <w:i/>
                          <w:iCs/>
                        </w:rPr>
                        <w:t>,
2011-11-05,
Žin., 2011, Nr.
134-6384 (2011-11-10), i. k. 111301MISAK00D1-851            </w:t>
                      </w:r>
                    </w:p>
                    <w:p/>
                  </w:sdtContent>
                </w:sdt>
                <w:sdt>
                  <w:sdtPr>
                    <w:alias w:val="62.5 pp."/>
                    <w:tag w:val="part_ed06bb6ed63a43e29251d63c9c66b106"/>
                    <w:lock w:val="sdtLocked"/>
                    <w:richText/>
                  </w:sdtPr>
                  <w:sdtContent>
                    <w:p>
                      <w:pPr>
                        <w:ind w:firstLine="709"/>
                        <w:jc w:val="both"/>
                      </w:pPr>
                      <w:sdt>
                        <w:sdtPr>
                          <w:alias w:val="Numeris"/>
                          <w:tag w:val="nr_ed06bb6ed63a43e29251d63c9c66b106"/>
                          <w:lock w:val="sdtLocked"/>
                          <w:richText/>
                        </w:sdtPr>
                        <w:sdtContent>
                          <w:r>
                            <w:t>62.5</w:t>
                          </w:r>
                        </w:sdtContent>
                      </w:sdt>
                      <w:r>
                        <w:t>. elektroninių ryšių – Ryšių reguliavimo tarnybos prie Lietuvos Respublikos Vyriausybės patvirtintais normatyviniais dokumentais;</w:t>
                      </w:r>
                    </w:p>
                  </w:sdtContent>
                </w:sdt>
                <w:sdt>
                  <w:sdtPr>
                    <w:alias w:val="62.6 pp."/>
                    <w:tag w:val="part_238baf99bdb443fea270ac08d6bd0bc4"/>
                    <w:lock w:val="sdtLocked"/>
                    <w:richText/>
                  </w:sdtPr>
                  <w:sdtContent>
                    <w:p>
                      <w:pPr>
                        <w:ind w:firstLine="709"/>
                        <w:jc w:val="both"/>
                      </w:pPr>
                      <w:sdt>
                        <w:sdtPr>
                          <w:alias w:val="Numeris"/>
                          <w:tag w:val="nr_238baf99bdb443fea270ac08d6bd0bc4"/>
                          <w:lock w:val="sdtLocked"/>
                          <w:richText/>
                        </w:sdtPr>
                        <w:sdtContent>
                          <w:r>
                            <w:t>62.6</w:t>
                          </w:r>
                        </w:sdtContent>
                      </w:sdt>
                      <w:r>
                        <w:t>. technologijos ir kitos paskirties inžinerinių tinklų – atitinkamais normatyviniais statinio saugos ir paskirties dokumentais.</w:t>
                      </w:r>
                    </w:p>
                  </w:sdtContent>
                </w:sdt>
              </w:sdtContent>
            </w:sdt>
            <w:sdt>
              <w:sdtPr>
                <w:alias w:val="63 p."/>
                <w:tag w:val="part_e31c1bba42cf48c391cacdf3018fce65"/>
                <w:lock w:val="sdtLocked"/>
                <w:richText/>
              </w:sdtPr>
              <w:sdtContent>
                <w:p>
                  <w:pPr>
                    <w:ind w:firstLine="709"/>
                    <w:jc w:val="both"/>
                  </w:pPr>
                  <w:sdt>
                    <w:sdtPr>
                      <w:alias w:val="Numeris"/>
                      <w:tag w:val="nr_e31c1bba42cf48c391cacdf3018fce65"/>
                      <w:lock w:val="sdtLocked"/>
                      <w:richText/>
                    </w:sdtPr>
                    <w:sdtContent>
                      <w:r>
                        <w:t>63</w:t>
                      </w:r>
                    </w:sdtContent>
                  </w:sdt>
                  <w:r>
                    <w:t>. Sklypo inžinerinių tinklų tipo (požeminiai, antžeminiai, pakeltieji) pasirinkimas turi būti techniškai ir ekonomiškai pagrįstas.</w:t>
                  </w:r>
                </w:p>
              </w:sdtContent>
            </w:sdt>
            <w:sdt>
              <w:sdtPr>
                <w:alias w:val="64 p."/>
                <w:tag w:val="part_79d98d0d6ac54bbe8e438756290bb05d"/>
                <w:lock w:val="sdtLocked"/>
                <w:richText/>
              </w:sdtPr>
              <w:sdtContent>
                <w:p>
                  <w:pPr>
                    <w:ind w:firstLine="709"/>
                    <w:jc w:val="both"/>
                  </w:pPr>
                  <w:sdt>
                    <w:sdtPr>
                      <w:alias w:val="Numeris"/>
                      <w:tag w:val="nr_79d98d0d6ac54bbe8e438756290bb05d"/>
                      <w:lock w:val="sdtLocked"/>
                      <w:richText/>
                    </w:sdtPr>
                    <w:sdtContent>
                      <w:r>
                        <w:t>64</w:t>
                      </w:r>
                    </w:sdtContent>
                  </w:sdt>
                  <w:r>
                    <w:t>. Priešgamyklinėse zonose turi būti numatytas požeminis inžinerinių tinklų tiesimas.</w:t>
                  </w:r>
                </w:p>
              </w:sdtContent>
            </w:sdt>
            <w:sdt>
              <w:sdtPr>
                <w:alias w:val="65 p."/>
                <w:tag w:val="part_224dee38bb4649849f8f4926768b2592"/>
                <w:lock w:val="sdtLocked"/>
                <w:richText/>
              </w:sdtPr>
              <w:sdtContent>
                <w:p>
                  <w:pPr>
                    <w:ind w:firstLine="709"/>
                    <w:jc w:val="both"/>
                  </w:pPr>
                  <w:sdt>
                    <w:sdtPr>
                      <w:alias w:val="Numeris"/>
                      <w:tag w:val="nr_224dee38bb4649849f8f4926768b2592"/>
                      <w:lock w:val="sdtLocked"/>
                      <w:richText/>
                    </w:sdtPr>
                    <w:sdtContent>
                      <w:r>
                        <w:t>65</w:t>
                      </w:r>
                    </w:sdtContent>
                  </w:sdt>
                  <w:r>
                    <w:t>. Kai tai įmanoma, įvairios paskirties inžineriniai tinklai turi būti tiesiami kartu bendrose tranšėjose, tuneliuose, kanaluose, ant žemų atramų, pabėgių arba ant estakadų, vadovaujantis visuomeninės sveikatos saugos ir priešgaisriniais norminiais reikalavimais ir tinklų saugaus eksploatavimo taisyklėmis.</w:t>
                  </w:r>
                </w:p>
                <w:p>
                  <w:pPr>
                    <w:ind w:firstLine="709"/>
                    <w:jc w:val="both"/>
                  </w:pPr>
                  <w:r>
                    <w:t>Leidžiama kloti požeminius apytakinio vandentiekio tinklus, šilumos tinklus ir dujotiekius kartu su technologiniais vamzdynais (išskyrus nurodytus Reglamento 71.2 punkte) nepriklausomai nuo šilumos nešiklio parametrų ir technologiniais vamzdynais tiekiamų medžiagų.</w:t>
                  </w:r>
                </w:p>
              </w:sdtContent>
            </w:sdt>
            <w:sdt>
              <w:sdtPr>
                <w:alias w:val="66 p."/>
                <w:tag w:val="part_cb84b714e0d84e8bb6244b6812636608"/>
                <w:lock w:val="sdtLocked"/>
                <w:richText/>
              </w:sdtPr>
              <w:sdtContent>
                <w:p>
                  <w:pPr>
                    <w:ind w:firstLine="709"/>
                    <w:jc w:val="both"/>
                  </w:pPr>
                  <w:sdt>
                    <w:sdtPr>
                      <w:alias w:val="Numeris"/>
                      <w:tag w:val="nr_cb84b714e0d84e8bb6244b6812636608"/>
                      <w:lock w:val="sdtLocked"/>
                      <w:richText/>
                    </w:sdtPr>
                    <w:sdtContent>
                      <w:r>
                        <w:t>66</w:t>
                      </w:r>
                    </w:sdtContent>
                  </w:sdt>
                  <w:r>
                    <w:t>. Degių medžiagų ir dujų lauko tinklų išdėstymas po pastatais ir inžineriniais statiniais neleidžiamas.</w:t>
                  </w:r>
                </w:p>
              </w:sdtContent>
            </w:sdt>
            <w:sdt>
              <w:sdtPr>
                <w:alias w:val="67 p."/>
                <w:tag w:val="part_ae27ffed7b20414589f06f7ab90c29d3"/>
                <w:lock w:val="sdtLocked"/>
                <w:richText/>
              </w:sdtPr>
              <w:sdtContent>
                <w:p>
                  <w:pPr>
                    <w:ind w:firstLine="709"/>
                    <w:jc w:val="both"/>
                  </w:pPr>
                  <w:sdt>
                    <w:sdtPr>
                      <w:alias w:val="Numeris"/>
                      <w:tag w:val="nr_ae27ffed7b20414589f06f7ab90c29d3"/>
                      <w:lock w:val="sdtLocked"/>
                      <w:richText/>
                    </w:sdtPr>
                    <w:sdtContent>
                      <w:r>
                        <w:t>67</w:t>
                      </w:r>
                    </w:sdtContent>
                  </w:sdt>
                  <w:r>
                    <w:t>. Technologijos paskirties inžineriniai tinklai, kuriems nėra normatyvinių statinio saugos ir paskirties dokumentų, projektuojami pagal projekto technologinės dalies užduotį.</w:t>
                  </w:r>
                </w:p>
              </w:sdtContent>
            </w:sdt>
            <w:sdt>
              <w:sdtPr>
                <w:alias w:val="68 p."/>
                <w:tag w:val="part_3519068a300a4b62bd5fd5c8558beaaf"/>
                <w:lock w:val="sdtLocked"/>
                <w:richText/>
              </w:sdtPr>
              <w:sdtContent>
                <w:p>
                  <w:pPr>
                    <w:ind w:firstLine="709"/>
                    <w:jc w:val="both"/>
                  </w:pPr>
                  <w:sdt>
                    <w:sdtPr>
                      <w:alias w:val="Numeris"/>
                      <w:tag w:val="nr_3519068a300a4b62bd5fd5c8558beaaf"/>
                      <w:lock w:val="sdtLocked"/>
                      <w:richText/>
                    </w:sdtPr>
                    <w:sdtContent>
                      <w:r>
                        <w:t>68</w:t>
                      </w:r>
                    </w:sdtContent>
                  </w:sdt>
                  <w:r>
                    <w:t>. Išdėstant šilumos tinklus, leidžiama juos kloti gamybos statiniuose.</w:t>
                  </w:r>
                </w:p>
                <w:p>
                  <w:pPr>
                    <w:ind w:firstLine="709"/>
                    <w:jc w:val="both"/>
                  </w:pPr>
                </w:p>
              </w:sdtContent>
            </w:sdt>
            <w:sdt>
              <w:sdtPr>
                <w:alias w:val="skirsnis"/>
                <w:tag w:val="part_d5abfd52b9854cec8da2e12f63bec70a"/>
                <w:lock w:val="sdtLocked"/>
                <w:richText/>
              </w:sdtPr>
              <w:sdtContent>
                <w:p>
                  <w:pPr>
                    <w:jc w:val="center"/>
                    <w:rPr>
                      <w:b/>
                    </w:rPr>
                  </w:pPr>
                  <w:sdt>
                    <w:sdtPr>
                      <w:alias w:val="Numeris"/>
                      <w:tag w:val="nr_d5abfd52b9854cec8da2e12f63bec70a"/>
                      <w:lock w:val="sdtLocked"/>
                      <w:richText/>
                    </w:sdtPr>
                    <w:sdtContent>
                      <w:r>
                        <w:rPr>
                          <w:b/>
                        </w:rPr>
                        <w:t>I</w:t>
                      </w:r>
                    </w:sdtContent>
                  </w:sdt>
                  <w:r>
                    <w:rPr>
                      <w:b/>
                    </w:rPr>
                    <w:t xml:space="preserve"> SKIRSNIS. </w:t>
                  </w:r>
                  <w:sdt>
                    <w:sdtPr>
                      <w:alias w:val="Pavadinimas"/>
                      <w:tag w:val="title_d5abfd52b9854cec8da2e12f63bec70a"/>
                      <w:lock w:val="sdtLocked"/>
                      <w:richText/>
                    </w:sdtPr>
                    <w:sdtContent>
                      <w:r>
                        <w:rPr>
                          <w:b/>
                        </w:rPr>
                        <w:t>POŽEMINIAI INŽINERINIAI TINKLAI</w:t>
                      </w:r>
                    </w:sdtContent>
                  </w:sdt>
                </w:p>
                <w:p>
                  <w:pPr>
                    <w:jc w:val="center"/>
                    <w:rPr>
                      <w:b/>
                    </w:rPr>
                  </w:pPr>
                </w:p>
                <w:sdt>
                  <w:sdtPr>
                    <w:alias w:val="69 p."/>
                    <w:tag w:val="part_1691f11bc5fc41b5abbca657629fb0f8"/>
                    <w:lock w:val="sdtLocked"/>
                    <w:richText/>
                  </w:sdtPr>
                  <w:sdtContent>
                    <w:p>
                      <w:pPr>
                        <w:ind w:firstLine="709"/>
                        <w:jc w:val="both"/>
                      </w:pPr>
                      <w:sdt>
                        <w:sdtPr>
                          <w:alias w:val="Numeris"/>
                          <w:tag w:val="nr_1691f11bc5fc41b5abbca657629fb0f8"/>
                          <w:lock w:val="sdtLocked"/>
                          <w:richText/>
                        </w:sdtPr>
                        <w:sdtContent>
                          <w:r>
                            <w:t>69</w:t>
                          </w:r>
                        </w:sdtContent>
                      </w:sdt>
                      <w:r>
                        <w:t>. Požeminiai inžineriniai tinklai, išskyrus lietaus nuotekų tinklus, turi būti tiesiami nevažiuojamoje kelio dalyje.</w:t>
                      </w:r>
                    </w:p>
                    <w:p>
                      <w:pPr>
                        <w:ind w:firstLine="709"/>
                        <w:jc w:val="both"/>
                      </w:pPr>
                      <w:r>
                        <w:t>Rekonstruojant gamybos statinius, leidžiama inžinerinius tinklus tiesti kelio važiuojamoje dalyje.</w:t>
                      </w:r>
                    </w:p>
                    <w:p>
                      <w:pPr>
                        <w:ind w:firstLine="709"/>
                        <w:jc w:val="both"/>
                      </w:pPr>
                      <w:r>
                        <w:t>Vėdinimo šachtos, įėjimai ir kiti kanalų ir tunelių elementai turi būti išdėstyti nevažiuojamoje dalyje ir neužstatomose vietose. Vėdinimo tiekiamo oro sistemų vėdinimo šachtos turi būti išdėstytos neužterštose vietose [4.3.9].</w:t>
                      </w:r>
                    </w:p>
                    <w:p>
                      <w:pPr>
                        <w:ind w:firstLine="709"/>
                        <w:jc w:val="both"/>
                      </w:pPr>
                      <w:r>
                        <w:t>Bekanalinius tinklus leidžiama kloti kelkraščių ribose.</w:t>
                      </w:r>
                    </w:p>
                    <w:p>
                      <w:pPr>
                        <w:ind w:firstLine="709"/>
                        <w:jc w:val="both"/>
                      </w:pPr>
                      <w:r>
                        <w:t>Inžineriniai tinklai, klojami kelio važiuojamoje dalyje, turi būti visais atvejais įgilinti žemiau važiuojamosios dalies dangos konstrukcijos.</w:t>
                      </w:r>
                    </w:p>
                  </w:sdtContent>
                </w:sdt>
                <w:sdt>
                  <w:sdtPr>
                    <w:alias w:val="70 p."/>
                    <w:tag w:val="part_7e731b0007e043e2a074bb769942384b"/>
                    <w:lock w:val="sdtLocked"/>
                    <w:richText/>
                  </w:sdtPr>
                  <w:sdtContent>
                    <w:p>
                      <w:pPr>
                        <w:ind w:firstLine="709"/>
                        <w:jc w:val="both"/>
                      </w:pPr>
                      <w:sdt>
                        <w:sdtPr>
                          <w:alias w:val="Numeris"/>
                          <w:tag w:val="nr_7e731b0007e043e2a074bb769942384b"/>
                          <w:lock w:val="sdtLocked"/>
                          <w:richText/>
                        </w:sdtPr>
                        <w:sdtContent>
                          <w:r>
                            <w:t>70</w:t>
                          </w:r>
                        </w:sdtContent>
                      </w:sdt>
                      <w:r>
                        <w:t>. Kanaluose ir tuneliuose leidžiama kloti degių dujų tinklus (gamtinių, šalutinių naftos dujų, dirbtinių maišytų ir suskystintų angliavandenilių), kurių slėgis iki 0,6 MPa (6 kg/cm</w:t>
                      </w:r>
                      <w:r>
                        <w:rPr>
                          <w:vertAlign w:val="superscript"/>
                        </w:rPr>
                        <w:t>2</w:t>
                      </w:r>
                      <w:r>
                        <w:t>) kartu su kitais vamzdynais ir elektroninio ryšio kabeliais su sąlyga, kad kanaluose ir tuneliuose bus įrengtas vėdinimas pagal normatyvinių dokumentų reikalavimus.</w:t>
                      </w:r>
                    </w:p>
                  </w:sdtContent>
                </w:sdt>
                <w:sdt>
                  <w:sdtPr>
                    <w:alias w:val="71 p."/>
                    <w:tag w:val="part_b8e9f99cf3a84226b2b5fc3f602104c8"/>
                    <w:lock w:val="sdtLocked"/>
                    <w:richText/>
                  </w:sdtPr>
                  <w:sdtContent>
                    <w:p>
                      <w:pPr>
                        <w:ind w:firstLine="709"/>
                        <w:jc w:val="both"/>
                      </w:pPr>
                      <w:sdt>
                        <w:sdtPr>
                          <w:alias w:val="Numeris"/>
                          <w:tag w:val="nr_b8e9f99cf3a84226b2b5fc3f602104c8"/>
                          <w:lock w:val="sdtLocked"/>
                          <w:richText/>
                        </w:sdtPr>
                        <w:sdtContent>
                          <w:r>
                            <w:t>71</w:t>
                          </w:r>
                        </w:sdtContent>
                      </w:sdt>
                      <w:r>
                        <w:t>. Neleidžiama kartu kloti tuneliuose:</w:t>
                      </w:r>
                    </w:p>
                    <w:sdt>
                      <w:sdtPr>
                        <w:alias w:val="71.1 pp."/>
                        <w:tag w:val="part_0aa0a81001854a919278a705f64ad4da"/>
                        <w:lock w:val="sdtLocked"/>
                        <w:richText/>
                      </w:sdtPr>
                      <w:sdtContent>
                        <w:p>
                          <w:pPr>
                            <w:ind w:firstLine="709"/>
                            <w:jc w:val="both"/>
                          </w:pPr>
                          <w:sdt>
                            <w:sdtPr>
                              <w:alias w:val="Numeris"/>
                              <w:tag w:val="nr_0aa0a81001854a919278a705f64ad4da"/>
                              <w:lock w:val="sdtLocked"/>
                              <w:richText/>
                            </w:sdtPr>
                            <w:sdtContent>
                              <w:r>
                                <w:t>71.1</w:t>
                              </w:r>
                            </w:sdtContent>
                          </w:sdt>
                          <w:r>
                            <w:t>. degių dujų vamzdynų su jėgos ir apšvietimo kabeliais, išskyrus kabelius, skirtus paties kanalo ar tunelio apšvietimui;</w:t>
                          </w:r>
                        </w:p>
                      </w:sdtContent>
                    </w:sdt>
                    <w:sdt>
                      <w:sdtPr>
                        <w:alias w:val="71.2 pp."/>
                        <w:tag w:val="part_2126486a6e30465281290e1ae4905806"/>
                        <w:lock w:val="sdtLocked"/>
                        <w:richText/>
                      </w:sdtPr>
                      <w:sdtContent>
                        <w:p>
                          <w:pPr>
                            <w:ind w:firstLine="709"/>
                            <w:jc w:val="both"/>
                          </w:pPr>
                          <w:sdt>
                            <w:sdtPr>
                              <w:alias w:val="Numeris"/>
                              <w:tag w:val="nr_2126486a6e30465281290e1ae4905806"/>
                              <w:lock w:val="sdtLocked"/>
                              <w:richText/>
                            </w:sdtPr>
                            <w:sdtContent>
                              <w:r>
                                <w:t>71.2</w:t>
                              </w:r>
                            </w:sdtContent>
                          </w:sdt>
                          <w:r>
                            <w:t>. šilumos tinklų su suskystintų dujų tinklais, deguonies vamzdynais, azoto vamzdynais, šalčio vamzdynais, degių, lakių, pavojingų cheminių medžiagų vamzdynais ir buitinio nuotakyno vamzdynais;</w:t>
                          </w:r>
                        </w:p>
                      </w:sdtContent>
                    </w:sdt>
                    <w:sdt>
                      <w:sdtPr>
                        <w:alias w:val="71.3 pp."/>
                        <w:tag w:val="part_896bc3fc9fed468793148518d5479097"/>
                        <w:lock w:val="sdtLocked"/>
                        <w:richText/>
                      </w:sdtPr>
                      <w:sdtContent>
                        <w:p>
                          <w:pPr>
                            <w:ind w:firstLine="709"/>
                            <w:jc w:val="both"/>
                          </w:pPr>
                          <w:sdt>
                            <w:sdtPr>
                              <w:alias w:val="Numeris"/>
                              <w:tag w:val="nr_896bc3fc9fed468793148518d5479097"/>
                              <w:lock w:val="sdtLocked"/>
                              <w:richText/>
                            </w:sdtPr>
                            <w:sdtContent>
                              <w:r>
                                <w:t>71.3</w:t>
                              </w:r>
                            </w:sdtContent>
                          </w:sdt>
                          <w:r>
                            <w:t>. degių skysčių vamzdynų su jėgos ir ryšių kabeliais, priešgaisrinio vandentiekio ir savitakio nuotakyno vamzdynais;</w:t>
                          </w:r>
                        </w:p>
                      </w:sdtContent>
                    </w:sdt>
                    <w:sdt>
                      <w:sdtPr>
                        <w:alias w:val="71.4 pp."/>
                        <w:tag w:val="part_97f1ea627c9c44808083aff9d5b1ebe8"/>
                        <w:lock w:val="sdtLocked"/>
                        <w:richText/>
                      </w:sdtPr>
                      <w:sdtContent>
                        <w:p>
                          <w:pPr>
                            <w:ind w:firstLine="709"/>
                            <w:jc w:val="both"/>
                          </w:pPr>
                          <w:sdt>
                            <w:sdtPr>
                              <w:alias w:val="Numeris"/>
                              <w:tag w:val="nr_97f1ea627c9c44808083aff9d5b1ebe8"/>
                              <w:lock w:val="sdtLocked"/>
                              <w:richText/>
                            </w:sdtPr>
                            <w:sdtContent>
                              <w:r>
                                <w:t>71.4</w:t>
                              </w:r>
                            </w:sdtContent>
                          </w:sdt>
                          <w:r>
                            <w:t>. deguonies vamzdynų su degių dujų tinklais;</w:t>
                          </w:r>
                        </w:p>
                      </w:sdtContent>
                    </w:sdt>
                    <w:sdt>
                      <w:sdtPr>
                        <w:alias w:val="71.5 pp."/>
                        <w:tag w:val="part_43d10f466f09436790817915f71325bb"/>
                        <w:lock w:val="sdtLocked"/>
                        <w:richText/>
                      </w:sdtPr>
                      <w:sdtContent>
                        <w:p>
                          <w:pPr>
                            <w:ind w:firstLine="709"/>
                            <w:jc w:val="both"/>
                          </w:pPr>
                          <w:sdt>
                            <w:sdtPr>
                              <w:alias w:val="Numeris"/>
                              <w:tag w:val="nr_43d10f466f09436790817915f71325bb"/>
                              <w:lock w:val="sdtLocked"/>
                              <w:richText/>
                            </w:sdtPr>
                            <w:sdtContent>
                              <w:r>
                                <w:t>71.5</w:t>
                              </w:r>
                            </w:sdtContent>
                          </w:sdt>
                          <w:r>
                            <w:t>. degių skysčių vamzdynų su pavojingų skystų cheminių medžiagų vamzdynais ir elektros jėgos kabeliais.</w:t>
                          </w:r>
                        </w:p>
                        <w:p>
                          <w:pPr>
                            <w:ind w:firstLine="709"/>
                            <w:jc w:val="both"/>
                          </w:pPr>
                          <w:r>
                            <w:t>Leidžiama bendruose kanaluose ir tuneliuose kartu tiesti degių skysčių vamzdynus su vandentiekio (išskyrus priešgaisrinį) ir slėginio nuotakyno vamzdynais.</w:t>
                          </w:r>
                        </w:p>
                      </w:sdtContent>
                    </w:sdt>
                  </w:sdtContent>
                </w:sdt>
                <w:sdt>
                  <w:sdtPr>
                    <w:alias w:val="72 p."/>
                    <w:tag w:val="part_90c5281dee1a43d887e68710a007ffd4"/>
                    <w:lock w:val="sdtLocked"/>
                    <w:richText/>
                  </w:sdtPr>
                  <w:sdtContent>
                    <w:p>
                      <w:pPr>
                        <w:ind w:firstLine="709"/>
                        <w:jc w:val="both"/>
                      </w:pPr>
                      <w:sdt>
                        <w:sdtPr>
                          <w:alias w:val="Numeris"/>
                          <w:tag w:val="nr_90c5281dee1a43d887e68710a007ffd4"/>
                          <w:lock w:val="sdtLocked"/>
                          <w:richText/>
                        </w:sdtPr>
                        <w:sdtContent>
                          <w:r>
                            <w:t>72</w:t>
                          </w:r>
                        </w:sdtContent>
                      </w:sdt>
                      <w:r>
                        <w:t>. Pavojingų cheminių medžiagų, kurios gali degti ir sprogti, kanalai ir tuneliai tiekimo vamzdynams išdėstyti privalo turėti išėjimus ne rečiau kaip kas 60 metrų ir taip pat jų galuose.</w:t>
                      </w:r>
                    </w:p>
                  </w:sdtContent>
                </w:sdt>
                <w:sdt>
                  <w:sdtPr>
                    <w:alias w:val="73 p."/>
                    <w:tag w:val="part_d83b6d225ed4468eb273d69609c975b7"/>
                    <w:lock w:val="sdtLocked"/>
                    <w:richText/>
                  </w:sdtPr>
                  <w:sdtContent>
                    <w:p>
                      <w:pPr>
                        <w:ind w:firstLine="709"/>
                        <w:jc w:val="both"/>
                      </w:pPr>
                      <w:sdt>
                        <w:sdtPr>
                          <w:alias w:val="Numeris"/>
                          <w:tag w:val="nr_d83b6d225ed4468eb273d69609c975b7"/>
                          <w:lock w:val="sdtLocked"/>
                          <w:richText/>
                        </w:sdtPr>
                        <w:sdtContent>
                          <w:r>
                            <w:t>73</w:t>
                          </w:r>
                        </w:sdtContent>
                      </w:sdt>
                      <w:r>
                        <w:t>. Požeminiai inžineriniai tinklai turi būti išdėstyti lygiagrečiai bendroje tranšėjoje. Atstumai tarp inžinerinių tinklų, taip pat nuo šių tinklų iki pastatų ir inžinerinių statinių pamatų turi būti minimalūs, atsižvelgiant į tinklų kamerų, šulinių ir kitų elementų matmenis ir išdėstymą, tinklų tiesimo ir priežiūros reikalavimus.</w:t>
                      </w:r>
                    </w:p>
                  </w:sdtContent>
                </w:sdt>
                <w:sdt>
                  <w:sdtPr>
                    <w:alias w:val="74 p."/>
                    <w:tag w:val="part_2b159aef463043b687b23b35c8d27d4d"/>
                    <w:lock w:val="sdtLocked"/>
                    <w:richText/>
                  </w:sdtPr>
                  <w:sdtContent>
                    <w:p>
                      <w:pPr>
                        <w:ind w:firstLine="709"/>
                        <w:jc w:val="both"/>
                      </w:pPr>
                      <w:sdt>
                        <w:sdtPr>
                          <w:alias w:val="Numeris"/>
                          <w:tag w:val="nr_2b159aef463043b687b23b35c8d27d4d"/>
                          <w:lock w:val="sdtLocked"/>
                          <w:richText/>
                        </w:sdtPr>
                        <w:sdtContent>
                          <w:r>
                            <w:t>74</w:t>
                          </w:r>
                        </w:sdtContent>
                      </w:sdt>
                      <w:r>
                        <w:t>. Horizontalūs atstumai (prošvaisoje) nuo požeminių tinklų, išskyrus degių dujų tinklus iki statinių pamatų, susisiekimo komunikacijų ir kitų inžinerinių statinių turi būti priimami ne mažesni už nustatytus Reglamento 5 priede (1 ir 2 lentelėse). Šiame priede nurodyti atstumai nuo degių dujų tinklų iki pastatų ir inžinerinių statinių yra minimalūs.</w:t>
                      </w:r>
                    </w:p>
                  </w:sdtContent>
                </w:sdt>
                <w:sdt>
                  <w:sdtPr>
                    <w:alias w:val="75 p."/>
                    <w:tag w:val="part_e67248c3f3ce403a9e4cdd5de8e17907"/>
                    <w:lock w:val="sdtLocked"/>
                    <w:richText/>
                  </w:sdtPr>
                  <w:sdtContent>
                    <w:p>
                      <w:pPr>
                        <w:ind w:firstLine="709"/>
                        <w:jc w:val="both"/>
                      </w:pPr>
                      <w:sdt>
                        <w:sdtPr>
                          <w:alias w:val="Numeris"/>
                          <w:tag w:val="nr_e67248c3f3ce403a9e4cdd5de8e17907"/>
                          <w:lock w:val="sdtLocked"/>
                          <w:richText/>
                        </w:sdtPr>
                        <w:sdtContent>
                          <w:r>
                            <w:t>75</w:t>
                          </w:r>
                        </w:sdtContent>
                      </w:sdt>
                      <w:r>
                        <w:t>. Horizontalūs atstumai (prošvaisoje) tarp gretimų inžinerinių tinklų, kai jie klojami lygiagrečiai, turi būti priimami ne mažesni už nustatytus Reglamento 6 priede (1, 2, 3, 4 lentelėse).</w:t>
                      </w:r>
                    </w:p>
                  </w:sdtContent>
                </w:sdt>
                <w:sdt>
                  <w:sdtPr>
                    <w:alias w:val="76 p."/>
                    <w:tag w:val="part_b6ad6fe283114a6a8dccd6850904b2ed"/>
                    <w:lock w:val="sdtLocked"/>
                    <w:richText/>
                  </w:sdtPr>
                  <w:sdtContent>
                    <w:p>
                      <w:pPr>
                        <w:ind w:firstLine="709"/>
                        <w:jc w:val="both"/>
                      </w:pPr>
                      <w:sdt>
                        <w:sdtPr>
                          <w:alias w:val="Numeris"/>
                          <w:tag w:val="nr_b6ad6fe283114a6a8dccd6850904b2ed"/>
                          <w:lock w:val="sdtLocked"/>
                          <w:richText/>
                        </w:sdtPr>
                        <w:sdtContent>
                          <w:r>
                            <w:t>76</w:t>
                          </w:r>
                        </w:sdtContent>
                      </w:sdt>
                      <w:r>
                        <w:t>. Tiesiant kabelinę liniją lygiagrečiai aukštos įtampos linijai (AL) su 110 kV ir aukštesne įtampa, horizontalus atstumas nuo kabelio iki kraštutinio laido turi būti ne mažesnis kaip 10 m.</w:t>
                      </w:r>
                    </w:p>
                    <w:p>
                      <w:pPr>
                        <w:ind w:firstLine="709"/>
                        <w:jc w:val="both"/>
                      </w:pPr>
                      <w:r>
                        <w:t>Įmonės rekonstravimo sąlygomis pavienių atramų požeminių dalių ir įžeminimo įtaisų atstumą nuo kabelinės linijos iki AL su įtampa, aukštesne už 1000 V, leidžiama priimti ne mažesnį kaip 2 m, tačiau horizontalus atstumas (prošvaisoje) iki AL kraštutinio laido nenormuojamas.</w:t>
                      </w:r>
                    </w:p>
                  </w:sdtContent>
                </w:sdt>
                <w:sdt>
                  <w:sdtPr>
                    <w:alias w:val="77 p."/>
                    <w:tag w:val="part_d70f3d788fd84da3aa6b576b630d6c7b"/>
                    <w:lock w:val="sdtLocked"/>
                    <w:richText/>
                  </w:sdtPr>
                  <w:sdtContent>
                    <w:p>
                      <w:pPr>
                        <w:ind w:firstLine="709"/>
                        <w:jc w:val="both"/>
                      </w:pPr>
                      <w:sdt>
                        <w:sdtPr>
                          <w:alias w:val="Numeris"/>
                          <w:tag w:val="nr_d70f3d788fd84da3aa6b576b630d6c7b"/>
                          <w:lock w:val="sdtLocked"/>
                          <w:richText/>
                        </w:sdtPr>
                        <w:sdtContent>
                          <w:r>
                            <w:t>77</w:t>
                          </w:r>
                        </w:sdtContent>
                      </w:sdt>
                      <w:r>
                        <w:t>. Inžinerinių tinklų persikirtimuose atstumai pagal vertikalę (prošvaisoje) turi būti ne mažesni kaip:</w:t>
                      </w:r>
                    </w:p>
                    <w:sdt>
                      <w:sdtPr>
                        <w:alias w:val="77.1 pp."/>
                        <w:tag w:val="part_5ae35a06cbf1401fa397248379391da2"/>
                        <w:lock w:val="sdtLocked"/>
                        <w:richText/>
                      </w:sdtPr>
                      <w:sdtContent>
                        <w:p>
                          <w:pPr>
                            <w:ind w:firstLine="709"/>
                            <w:jc w:val="both"/>
                          </w:pPr>
                          <w:sdt>
                            <w:sdtPr>
                              <w:alias w:val="Numeris"/>
                              <w:tag w:val="nr_5ae35a06cbf1401fa397248379391da2"/>
                              <w:lock w:val="sdtLocked"/>
                              <w:richText/>
                            </w:sdtPr>
                            <w:sdtContent>
                              <w:r>
                                <w:t>77.1</w:t>
                              </w:r>
                            </w:sdtContent>
                          </w:sdt>
                          <w:r>
                            <w:t>. tarp vamzdyno ar elektros kabelio, elektroninio ryšio kabelio ir geležinkelio (matuojant nuo bėgio pado) bei automobilių kelio (matuojant nuo dangos paviršiaus) iki vamzdžio (ar jo dėklo) ar elektros kabelio – nustatomi apskaičiuojant pagal tinklo atsparumą, bet mažesni kaip 0,6 m;</w:t>
                          </w:r>
                        </w:p>
                      </w:sdtContent>
                    </w:sdt>
                    <w:sdt>
                      <w:sdtPr>
                        <w:alias w:val="77.2 pp."/>
                        <w:tag w:val="part_aacb95f5d24e480d8ebd02d077ee4dfb"/>
                        <w:lock w:val="sdtLocked"/>
                        <w:richText/>
                      </w:sdtPr>
                      <w:sdtContent>
                        <w:p>
                          <w:pPr>
                            <w:ind w:firstLine="709"/>
                            <w:jc w:val="both"/>
                          </w:pPr>
                          <w:sdt>
                            <w:sdtPr>
                              <w:alias w:val="Numeris"/>
                              <w:tag w:val="nr_aacb95f5d24e480d8ebd02d077ee4dfb"/>
                              <w:lock w:val="sdtLocked"/>
                              <w:richText/>
                            </w:sdtPr>
                            <w:sdtContent>
                              <w:r>
                                <w:t>77.2</w:t>
                              </w:r>
                            </w:sdtContent>
                          </w:sdt>
                          <w:r>
                            <w:t>. tarp kanale ar tunelyje tiesiamo vamzdyno ar elektros kabelio ir geležinkelio atstumas pagal vertikalę (matuojant nuo kanalo ar tunelio perdangos viršaus iki geležinkelio bėgio pado) – 1 m, o tarp vamzdyno ar kabelio iki kelio griovio ar kito vandens nuvedimo statinio, taip pat geležinkelio žemės sankasos pylimo pagrindo, – 0,5 m;</w:t>
                          </w:r>
                        </w:p>
                      </w:sdtContent>
                    </w:sdt>
                    <w:sdt>
                      <w:sdtPr>
                        <w:alias w:val="77.3 pp."/>
                        <w:tag w:val="part_704eb73740e74263b4ca51d4a010d132"/>
                        <w:lock w:val="sdtLocked"/>
                        <w:richText/>
                      </w:sdtPr>
                      <w:sdtContent>
                        <w:p>
                          <w:pPr>
                            <w:ind w:firstLine="709"/>
                            <w:jc w:val="both"/>
                          </w:pPr>
                          <w:sdt>
                            <w:sdtPr>
                              <w:alias w:val="Numeris"/>
                              <w:tag w:val="nr_704eb73740e74263b4ca51d4a010d132"/>
                              <w:lock w:val="sdtLocked"/>
                              <w:richText/>
                            </w:sdtPr>
                            <w:sdtContent>
                              <w:r>
                                <w:t>77.3</w:t>
                              </w:r>
                            </w:sdtContent>
                          </w:sdt>
                          <w:r>
                            <w:t>. tarp vamzdyno ir 35 kV įtampos jėgos kabelio ir elektroninio ryšio kabelio – 0,5 m;</w:t>
                          </w:r>
                        </w:p>
                      </w:sdtContent>
                    </w:sdt>
                    <w:sdt>
                      <w:sdtPr>
                        <w:alias w:val="77.4 pp."/>
                        <w:tag w:val="part_af7ffcf20b394baa94fd08344822eec1"/>
                        <w:lock w:val="sdtLocked"/>
                        <w:richText/>
                      </w:sdtPr>
                      <w:sdtContent>
                        <w:p>
                          <w:pPr>
                            <w:widowControl w:val="0"/>
                            <w:suppressAutoHyphens/>
                            <w:ind w:firstLine="709"/>
                            <w:jc w:val="both"/>
                            <w:rPr>
                              <w:color w:val="000000"/>
                            </w:rPr>
                          </w:pPr>
                          <w:sdt>
                            <w:sdtPr>
                              <w:alias w:val="Numeris"/>
                              <w:tag w:val="nr_af7ffcf20b394baa94fd08344822eec1"/>
                              <w:lock w:val="sdtLocked"/>
                              <w:richText/>
                            </w:sdtPr>
                            <w:sdtContent>
                              <w:r>
                                <w:rPr>
                                  <w:color w:val="000000"/>
                                </w:rPr>
                                <w:t>77.4</w:t>
                              </w:r>
                            </w:sdtContent>
                          </w:sdt>
                          <w:r>
                            <w:rPr>
                              <w:color w:val="000000"/>
                            </w:rPr>
                            <w:t>. tarp 110–220 kV įtampos elektros kabelio ir vamzdyno – 1 m;</w:t>
                          </w:r>
                        </w:p>
                        <w:p>
                          <w:pPr>
                            <w:widowControl w:val="0"/>
                            <w:suppressAutoHyphens/>
                            <w:ind w:firstLine="709"/>
                            <w:jc w:val="both"/>
                          </w:pPr>
                          <w:r>
                            <w:rPr>
                              <w:color w:val="000000"/>
                            </w:rPr>
                            <w:t>Rekonstravimo sąlygomis, nepažeidžiant Elektros linijų ir instaliacijos įrengimo taisyklių reikalavimų [4.4.6], atstumas tarp bet kurios įtampos kabelio ir vamzdyno gali būti sumažintas iki 0,25 m;</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5DC74875D7">
                            <w:r w:rsidRPr="00532B9F">
                              <w:rPr>
                                <w:rFonts w:ascii="Times New Roman" w:eastAsia="MS Mincho" w:hAnsi="Times New Roman"/>
                                <w:sz w:val="20"/>
                                <w:i/>
                                <w:iCs/>
                                <w:color w:val="0000FF" w:themeColor="hyperlink"/>
                                <w:u w:val="single"/>
                              </w:rPr>
                              <w:t>D1-851</w:t>
                            </w:r>
                          </w:fldSimple>
                          <w:r>
                            <w:rPr>
                              <w:rFonts w:ascii="Times New Roman" w:eastAsia="MS Mincho" w:hAnsi="Times New Roman"/>
                              <w:sz w:val="20"/>
                              <w:i/>
                              <w:iCs/>
                            </w:rPr>
                            <w:t>,
2011-11-05,
Žin., 2011, Nr.
134-6384 (2011-11-10), i. k. 111301MISAK00D1-851            </w:t>
                          </w:r>
                        </w:p>
                        <w:p/>
                      </w:sdtContent>
                    </w:sdt>
                    <w:sdt>
                      <w:sdtPr>
                        <w:alias w:val="77.5 pp."/>
                        <w:tag w:val="part_ed9b7ed388f3429f8daaa49c44e4ef98"/>
                        <w:lock w:val="sdtLocked"/>
                        <w:richText/>
                      </w:sdtPr>
                      <w:sdtContent>
                        <w:p>
                          <w:pPr>
                            <w:ind w:firstLine="709"/>
                            <w:jc w:val="both"/>
                          </w:pPr>
                          <w:sdt>
                            <w:sdtPr>
                              <w:alias w:val="Numeris"/>
                              <w:tag w:val="nr_ed9b7ed388f3429f8daaa49c44e4ef98"/>
                              <w:lock w:val="sdtLocked"/>
                              <w:richText/>
                            </w:sdtPr>
                            <w:sdtContent>
                              <w:r>
                                <w:t>77.5</w:t>
                              </w:r>
                            </w:sdtContent>
                          </w:sdt>
                          <w:r>
                            <w:t>. tarp bet kurios kitos paskirties vamzdynų (išskyrus nuotakyną, kertantį vandentiekį ir nuodingų bei dvokiančių skysčių vamzdynus) – 0,2 m.</w:t>
                          </w:r>
                        </w:p>
                      </w:sdtContent>
                    </w:sdt>
                  </w:sdtContent>
                </w:sdt>
                <w:sdt>
                  <w:sdtPr>
                    <w:alias w:val="78 p."/>
                    <w:tag w:val="part_172a8c24bfa841d5a356405a4c3d1372"/>
                    <w:lock w:val="sdtLocked"/>
                    <w:richText/>
                  </w:sdtPr>
                  <w:sdtContent>
                    <w:p>
                      <w:pPr>
                        <w:ind w:firstLine="709"/>
                        <w:jc w:val="both"/>
                      </w:pPr>
                      <w:sdt>
                        <w:sdtPr>
                          <w:alias w:val="Numeris"/>
                          <w:tag w:val="nr_172a8c24bfa841d5a356405a4c3d1372"/>
                          <w:lock w:val="sdtLocked"/>
                          <w:richText/>
                        </w:sdtPr>
                        <w:sdtContent>
                          <w:r>
                            <w:t>78</w:t>
                          </w:r>
                        </w:sdtContent>
                      </w:sdt>
                      <w:r>
                        <w:t>. Geriamojo vandentiekio vamzdynas turi būti tiesiamas virš nuotakyno arba virš vamzdyno, tiekiančio pavojingas skystas chemines medžiagas – 0,4 m.</w:t>
                      </w:r>
                    </w:p>
                  </w:sdtContent>
                </w:sdt>
                <w:sdt>
                  <w:sdtPr>
                    <w:alias w:val="79 p."/>
                    <w:tag w:val="part_33cc2081911748d69db30182baf0e779"/>
                    <w:lock w:val="sdtLocked"/>
                    <w:richText/>
                  </w:sdtPr>
                  <w:sdtContent>
                    <w:p>
                      <w:pPr>
                        <w:ind w:firstLine="709"/>
                        <w:jc w:val="both"/>
                      </w:pPr>
                      <w:sdt>
                        <w:sdtPr>
                          <w:alias w:val="Numeris"/>
                          <w:tag w:val="nr_33cc2081911748d69db30182baf0e779"/>
                          <w:lock w:val="sdtLocked"/>
                          <w:richText/>
                        </w:sdtPr>
                        <w:sdtContent>
                          <w:r>
                            <w:t>79</w:t>
                          </w:r>
                        </w:sdtContent>
                      </w:sdt>
                      <w:r>
                        <w:t>. Leidžiama tiesti plieninį ar kitos medžiagos sandarų vamzdyną, įdėtą į įdėklus, geriamojo vandentiekio vamzdyną žemiau nuotakyno, tačiau atstumas nuo nuotakyno vamzdžio sienelės iki įdėklo briaunos turi būti ne mažesnis kaip po 5 m į kiekvieną pusę – moliniuose gruntuose ir 10 m – stambaus žvirgždo ir smėliniuose gruntuose ir nuotakyno vamzdis turi būti ketinis.</w:t>
                      </w:r>
                    </w:p>
                  </w:sdtContent>
                </w:sdt>
                <w:sdt>
                  <w:sdtPr>
                    <w:alias w:val="80 p."/>
                    <w:tag w:val="part_efc273a347434656a4de19ef58792e02"/>
                    <w:lock w:val="sdtLocked"/>
                    <w:richText/>
                  </w:sdtPr>
                  <w:sdtContent>
                    <w:p>
                      <w:pPr>
                        <w:ind w:firstLine="709"/>
                        <w:jc w:val="both"/>
                      </w:pPr>
                      <w:sdt>
                        <w:sdtPr>
                          <w:alias w:val="Numeris"/>
                          <w:tag w:val="nr_efc273a347434656a4de19ef58792e02"/>
                          <w:lock w:val="sdtLocked"/>
                          <w:richText/>
                        </w:sdtPr>
                        <w:sdtContent>
                          <w:r>
                            <w:t>80</w:t>
                          </w:r>
                        </w:sdtContent>
                      </w:sdt>
                      <w:r>
                        <w:t>. Geriamojo vandentiekio įvadą, kai vamzdžio diametras yra iki 150 mm, leidžiama tiesti po nuotakynu, be įdėklų, jeigu atstumas tarp susikertančiųjų vamzdžių – 0,5 m.</w:t>
                      </w:r>
                    </w:p>
                  </w:sdtContent>
                </w:sdt>
                <w:sdt>
                  <w:sdtPr>
                    <w:alias w:val="81 p."/>
                    <w:tag w:val="part_037b72c1a9694e11b15ff0bad005a05d"/>
                    <w:lock w:val="sdtLocked"/>
                    <w:richText/>
                  </w:sdtPr>
                  <w:sdtContent>
                    <w:p>
                      <w:pPr>
                        <w:ind w:firstLine="709"/>
                        <w:jc w:val="both"/>
                      </w:pPr>
                      <w:sdt>
                        <w:sdtPr>
                          <w:alias w:val="Numeris"/>
                          <w:tag w:val="nr_037b72c1a9694e11b15ff0bad005a05d"/>
                          <w:lock w:val="sdtLocked"/>
                          <w:richText/>
                        </w:sdtPr>
                        <w:sdtContent>
                          <w:r>
                            <w:t>81</w:t>
                          </w:r>
                        </w:sdtContent>
                      </w:sdt>
                      <w:r>
                        <w:t>. Kai atviros šildymo sistemos šilumos tinklai su vandens nešikliu ar karšto vandens tinklai yra bekanaliniai, atstumas pagal vertikalę nuo šių tinklų iki aukščiau ir žemiau išdėstyto nuotakyno turi būti ne mažesnis kaip 0,4 m.</w:t>
                      </w:r>
                    </w:p>
                  </w:sdtContent>
                </w:sdt>
                <w:sdt>
                  <w:sdtPr>
                    <w:alias w:val="82 p."/>
                    <w:tag w:val="part_f3508b4236fd45f58a5b3dded11f7005"/>
                    <w:lock w:val="sdtLocked"/>
                    <w:richText/>
                  </w:sdtPr>
                  <w:sdtContent>
                    <w:p>
                      <w:pPr>
                        <w:ind w:firstLine="709"/>
                        <w:jc w:val="both"/>
                      </w:pPr>
                      <w:sdt>
                        <w:sdtPr>
                          <w:alias w:val="Numeris"/>
                          <w:tag w:val="nr_f3508b4236fd45f58a5b3dded11f7005"/>
                          <w:lock w:val="sdtLocked"/>
                          <w:richText/>
                        </w:sdtPr>
                        <w:sdtContent>
                          <w:r>
                            <w:t>82</w:t>
                          </w:r>
                        </w:sdtContent>
                      </w:sdt>
                      <w:r>
                        <w:t>. Išdėstant Sklypuose kitos paskirties inžinerinius tinklus pagal vertikalę, turi būti vadovaujamasi šių tinklų techninius reikalavimus nustatančiais normatyviniais dokumentais.</w:t>
                      </w:r>
                    </w:p>
                  </w:sdtContent>
                </w:sdt>
                <w:sdt>
                  <w:sdtPr>
                    <w:alias w:val="83 p."/>
                    <w:tag w:val="part_27a0f96e9006415c9a07196ffcae05ca"/>
                    <w:lock w:val="sdtLocked"/>
                    <w:richText/>
                  </w:sdtPr>
                  <w:sdtContent>
                    <w:p>
                      <w:pPr>
                        <w:ind w:firstLine="709"/>
                        <w:jc w:val="both"/>
                      </w:pPr>
                      <w:sdt>
                        <w:sdtPr>
                          <w:alias w:val="Numeris"/>
                          <w:tag w:val="nr_27a0f96e9006415c9a07196ffcae05ca"/>
                          <w:lock w:val="sdtLocked"/>
                          <w:richText/>
                        </w:sdtPr>
                        <w:sdtContent>
                          <w:r>
                            <w:t>83</w:t>
                          </w:r>
                        </w:sdtContent>
                      </w:sdt>
                      <w:r>
                        <w:t>. Dujotiekiai, kertantys įvairios paskirties kanalus ir tunelius, turi būti išdėstyti virš ar po šiais statiniais įdėkluose, tiesiamuose po 2 m į abi puses nuo kanalų ar tunelių išorinių sienelių. Įvairios paskirties tunelius leidžiama kiaurai kirsti požeminiais įdėkluose tiesiamais dujotiekiais iki 0,6 MPa slėgio.</w:t>
                      </w:r>
                    </w:p>
                  </w:sdtContent>
                </w:sdt>
                <w:sdt>
                  <w:sdtPr>
                    <w:alias w:val="84 p."/>
                    <w:tag w:val="part_5618dd6e629f4cdc98c913d05711bfe5"/>
                    <w:lock w:val="sdtLocked"/>
                    <w:richText/>
                  </w:sdtPr>
                  <w:sdtContent>
                    <w:p>
                      <w:pPr>
                        <w:ind w:firstLine="709"/>
                        <w:jc w:val="both"/>
                      </w:pPr>
                      <w:sdt>
                        <w:sdtPr>
                          <w:alias w:val="Numeris"/>
                          <w:tag w:val="nr_5618dd6e629f4cdc98c913d05711bfe5"/>
                          <w:lock w:val="sdtLocked"/>
                          <w:richText/>
                        </w:sdtPr>
                        <w:sdtContent>
                          <w:r>
                            <w:t>84</w:t>
                          </w:r>
                        </w:sdtContent>
                      </w:sdt>
                      <w:r>
                        <w:t>. Vamzdynų persikirtimo su geležinkeliais ir su keliais kampas turi būti 90</w:t>
                      </w:r>
                      <w:r>
                        <w:rPr>
                          <w:vertAlign w:val="superscript"/>
                        </w:rPr>
                        <w:t>o</w:t>
                      </w:r>
                      <w:r>
                        <w:t>. Atskirais atvejais, atitinkamai pagrindus, leidžiama persikirtimo kampą sumažinti iki 45</w:t>
                      </w:r>
                      <w:r>
                        <w:rPr>
                          <w:vertAlign w:val="superscript"/>
                        </w:rPr>
                        <w:t>o</w:t>
                      </w:r>
                      <w:r>
                        <w:t>.</w:t>
                      </w:r>
                    </w:p>
                  </w:sdtContent>
                </w:sdt>
                <w:sdt>
                  <w:sdtPr>
                    <w:alias w:val="85 p."/>
                    <w:tag w:val="part_f52ec61c03a9448c8a77dcd2cb367810"/>
                    <w:lock w:val="sdtLocked"/>
                    <w:richText/>
                  </w:sdtPr>
                  <w:sdtContent>
                    <w:p>
                      <w:pPr>
                        <w:ind w:firstLine="709"/>
                        <w:jc w:val="both"/>
                      </w:pPr>
                      <w:sdt>
                        <w:sdtPr>
                          <w:alias w:val="Numeris"/>
                          <w:tag w:val="nr_f52ec61c03a9448c8a77dcd2cb367810"/>
                          <w:lock w:val="sdtLocked"/>
                          <w:richText/>
                        </w:sdtPr>
                        <w:sdtContent>
                          <w:r>
                            <w:t>85</w:t>
                          </w:r>
                        </w:sdtContent>
                      </w:sdt>
                      <w:r>
                        <w:t>. Atstumai nuo dujotiekio ir šilumos tinklų iki geležinkelio iešmų smailių pradžios, iešmų kryžmių galo ir atsiurbiančiųjų kabelių prijungimo prie bėgių vietų turi būti ne mažesni kaip 10 m.</w:t>
                      </w:r>
                    </w:p>
                  </w:sdtContent>
                </w:sdt>
                <w:sdt>
                  <w:sdtPr>
                    <w:alias w:val="86 p."/>
                    <w:tag w:val="part_d16005266bdf44d5a5dc8764c5a44df0"/>
                    <w:lock w:val="sdtLocked"/>
                    <w:richText/>
                  </w:sdtPr>
                  <w:sdtContent>
                    <w:p>
                      <w:pPr>
                        <w:ind w:firstLine="709"/>
                        <w:jc w:val="both"/>
                      </w:pPr>
                      <w:sdt>
                        <w:sdtPr>
                          <w:alias w:val="Numeris"/>
                          <w:tag w:val="nr_d16005266bdf44d5a5dc8764c5a44df0"/>
                          <w:lock w:val="sdtLocked"/>
                          <w:richText/>
                        </w:sdtPr>
                        <w:sdtContent>
                          <w:r>
                            <w:t>86</w:t>
                          </w:r>
                        </w:sdtContent>
                      </w:sdt>
                      <w:r>
                        <w:t>. Kabelinių linijų, tiesiamų tiesiog žemėje, persikirtimas su elektrifikuotu geležinkeliu turi būti numatomas 75-90</w:t>
                      </w:r>
                      <w:r>
                        <w:rPr>
                          <w:vertAlign w:val="superscript"/>
                        </w:rPr>
                        <w:t>o</w:t>
                      </w:r>
                      <w:r>
                        <w:t xml:space="preserve"> kampu kelio ašies atžvilgiu. Persikirtimo vieta turi būti nutolinta nuo iešmų smailių pradžios, iešmų kryžmių galo ir atsiurbiančiųjų kabelių prijungimo prie bėgių vietų ne mažiau kaip 10 m atstumu.</w:t>
                      </w:r>
                    </w:p>
                  </w:sdtContent>
                </w:sdt>
                <w:sdt>
                  <w:sdtPr>
                    <w:alias w:val="87 p."/>
                    <w:tag w:val="part_38d2433f1d2343749fda2c9530e333dc"/>
                    <w:lock w:val="sdtLocked"/>
                    <w:richText/>
                  </w:sdtPr>
                  <w:sdtContent>
                    <w:p>
                      <w:pPr>
                        <w:ind w:firstLine="709"/>
                        <w:jc w:val="both"/>
                      </w:pPr>
                      <w:sdt>
                        <w:sdtPr>
                          <w:alias w:val="Numeris"/>
                          <w:tag w:val="nr_38d2433f1d2343749fda2c9530e333dc"/>
                          <w:lock w:val="sdtLocked"/>
                          <w:richText/>
                        </w:sdtPr>
                        <w:sdtContent>
                          <w:r>
                            <w:t>87</w:t>
                          </w:r>
                        </w:sdtContent>
                      </w:sdt>
                      <w:r>
                        <w:t>. Kabelinės linijos perėjimo į oro liniją atveju kabelis turi pasiekti žemės paviršių ne trumpesniu kaip 3,5 m atstumu nuo geležinkelio ar automobilių kelio pylimo pado arba nuo sankasos briaunos.</w:t>
                      </w:r>
                    </w:p>
                    <w:p>
                      <w:pPr>
                        <w:ind w:firstLine="709"/>
                        <w:jc w:val="both"/>
                      </w:pPr>
                    </w:p>
                  </w:sdtContent>
                </w:sdt>
              </w:sdtContent>
            </w:sdt>
            <w:sdt>
              <w:sdtPr>
                <w:alias w:val="skirsnis"/>
                <w:tag w:val="part_a73ae99f9d5b44b494c213847d00a326"/>
                <w:lock w:val="sdtLocked"/>
                <w:richText/>
              </w:sdtPr>
              <w:sdtContent>
                <w:p>
                  <w:pPr>
                    <w:jc w:val="center"/>
                    <w:rPr>
                      <w:b/>
                    </w:rPr>
                  </w:pPr>
                  <w:sdt>
                    <w:sdtPr>
                      <w:alias w:val="Numeris"/>
                      <w:tag w:val="nr_a73ae99f9d5b44b494c213847d00a326"/>
                      <w:lock w:val="sdtLocked"/>
                      <w:richText/>
                    </w:sdtPr>
                    <w:sdtContent>
                      <w:r>
                        <w:rPr>
                          <w:b/>
                        </w:rPr>
                        <w:t>II</w:t>
                      </w:r>
                    </w:sdtContent>
                  </w:sdt>
                  <w:r>
                    <w:rPr>
                      <w:b/>
                    </w:rPr>
                    <w:t xml:space="preserve"> SKIRSNIS. </w:t>
                  </w:r>
                  <w:sdt>
                    <w:sdtPr>
                      <w:alias w:val="Pavadinimas"/>
                      <w:tag w:val="title_a73ae99f9d5b44b494c213847d00a326"/>
                      <w:lock w:val="sdtLocked"/>
                      <w:richText/>
                    </w:sdtPr>
                    <w:sdtContent>
                      <w:r>
                        <w:rPr>
                          <w:b/>
                        </w:rPr>
                        <w:t>ANTŽEMINIAI INŽINERINIAI TINKLAI</w:t>
                      </w:r>
                    </w:sdtContent>
                  </w:sdt>
                </w:p>
                <w:p>
                  <w:pPr>
                    <w:jc w:val="center"/>
                    <w:rPr>
                      <w:b/>
                    </w:rPr>
                  </w:pPr>
                </w:p>
                <w:sdt>
                  <w:sdtPr>
                    <w:alias w:val="88 p."/>
                    <w:tag w:val="part_e7a8a970b35847a18b784e0a75dad692"/>
                    <w:lock w:val="sdtLocked"/>
                    <w:richText/>
                  </w:sdtPr>
                  <w:sdtContent>
                    <w:p>
                      <w:pPr>
                        <w:ind w:firstLine="709"/>
                        <w:jc w:val="both"/>
                      </w:pPr>
                      <w:sdt>
                        <w:sdtPr>
                          <w:alias w:val="Numeris"/>
                          <w:tag w:val="nr_e7a8a970b35847a18b784e0a75dad692"/>
                          <w:lock w:val="sdtLocked"/>
                          <w:richText/>
                        </w:sdtPr>
                        <w:sdtContent>
                          <w:r>
                            <w:t>88</w:t>
                          </w:r>
                        </w:sdtContent>
                      </w:sdt>
                      <w:r>
                        <w:t>. Klojant antžeminius inžinerinius tinklus, turi būti numatyta apsauga nuo mechaninių pažeidimų ir nepalankaus atmosferos poveikio.</w:t>
                      </w:r>
                    </w:p>
                  </w:sdtContent>
                </w:sdt>
                <w:sdt>
                  <w:sdtPr>
                    <w:alias w:val="89 p."/>
                    <w:tag w:val="part_fb2974f3f3bf45d7a075b6fe07356fdf"/>
                    <w:lock w:val="sdtLocked"/>
                    <w:richText/>
                  </w:sdtPr>
                  <w:sdtContent>
                    <w:p>
                      <w:pPr>
                        <w:ind w:firstLine="709"/>
                        <w:jc w:val="both"/>
                      </w:pPr>
                      <w:sdt>
                        <w:sdtPr>
                          <w:alias w:val="Numeris"/>
                          <w:tag w:val="nr_fb2974f3f3bf45d7a075b6fe07356fdf"/>
                          <w:lock w:val="sdtLocked"/>
                          <w:richText/>
                        </w:sdtPr>
                        <w:sdtContent>
                          <w:r>
                            <w:t>89</w:t>
                          </w:r>
                        </w:sdtContent>
                      </w:sdt>
                      <w:r>
                        <w:t>. Antžeminiai inžineriniai tinklai turi būti klojami ant atramų, statomų latakuose (pastatytuose ant žemės paviršiaus ar ant žemės sankasos ar pusiau įgilintuose kanaluose ar tuneliuose; atvirose tranšėjose ir pan.).</w:t>
                      </w:r>
                    </w:p>
                  </w:sdtContent>
                </w:sdt>
                <w:sdt>
                  <w:sdtPr>
                    <w:alias w:val="90 p."/>
                    <w:tag w:val="part_5f14990de6964214a8d6f144b8432b59"/>
                    <w:lock w:val="sdtLocked"/>
                    <w:richText/>
                  </w:sdtPr>
                  <w:sdtContent>
                    <w:p>
                      <w:pPr>
                        <w:ind w:firstLine="709"/>
                        <w:jc w:val="both"/>
                      </w:pPr>
                      <w:sdt>
                        <w:sdtPr>
                          <w:alias w:val="Numeris"/>
                          <w:tag w:val="nr_5f14990de6964214a8d6f144b8432b59"/>
                          <w:lock w:val="sdtLocked"/>
                          <w:richText/>
                        </w:sdtPr>
                        <w:sdtContent>
                          <w:r>
                            <w:t>90</w:t>
                          </w:r>
                        </w:sdtContent>
                      </w:sdt>
                      <w:r>
                        <w:t>. Degių dujų, pavojingų cheminių medžiagų ir preparatų vamzdynų, vamzdynų, taip pat buitinio nuotakyno vamzdynų neleidžiama išdėstyti atvirose tranšėjose ir latakuose.</w:t>
                      </w:r>
                    </w:p>
                  </w:sdtContent>
                </w:sdt>
                <w:sdt>
                  <w:sdtPr>
                    <w:alias w:val="91 p."/>
                    <w:tag w:val="part_2dfc5677fea446be9329d38ea683bdd8"/>
                    <w:lock w:val="sdtLocked"/>
                    <w:richText/>
                  </w:sdtPr>
                  <w:sdtContent>
                    <w:p>
                      <w:pPr>
                        <w:ind w:firstLine="709"/>
                        <w:jc w:val="both"/>
                      </w:pPr>
                      <w:sdt>
                        <w:sdtPr>
                          <w:alias w:val="Numeris"/>
                          <w:tag w:val="nr_2dfc5677fea446be9329d38ea683bdd8"/>
                          <w:lock w:val="sdtLocked"/>
                          <w:richText/>
                        </w:sdtPr>
                        <w:sdtContent>
                          <w:r>
                            <w:t>91</w:t>
                          </w:r>
                        </w:sdtContent>
                      </w:sdt>
                      <w:r>
                        <w:t>. Antžeminių inžinerinių tinklų neleidžiama kloti juostos, skirtos požeminiams tinklams kloti, tranšėjose ir kanaluose, į kuriuos eksploatacijos tikslais reikalinga periodiškai patekti, ribose.</w:t>
                      </w:r>
                    </w:p>
                    <w:p>
                      <w:pPr>
                        <w:ind w:firstLine="709"/>
                        <w:jc w:val="both"/>
                      </w:pPr>
                    </w:p>
                  </w:sdtContent>
                </w:sdt>
              </w:sdtContent>
            </w:sdt>
            <w:sdt>
              <w:sdtPr>
                <w:alias w:val="skirsnis"/>
                <w:tag w:val="part_cc3125cc9b51450383da5a5e45fb1de3"/>
                <w:lock w:val="sdtLocked"/>
                <w:richText/>
              </w:sdtPr>
              <w:sdtContent>
                <w:p>
                  <w:pPr>
                    <w:jc w:val="center"/>
                    <w:rPr>
                      <w:b/>
                    </w:rPr>
                  </w:pPr>
                  <w:sdt>
                    <w:sdtPr>
                      <w:alias w:val="Numeris"/>
                      <w:tag w:val="nr_cc3125cc9b51450383da5a5e45fb1de3"/>
                      <w:lock w:val="sdtLocked"/>
                      <w:richText/>
                    </w:sdtPr>
                    <w:sdtContent>
                      <w:r>
                        <w:rPr>
                          <w:b/>
                        </w:rPr>
                        <w:t>III</w:t>
                      </w:r>
                    </w:sdtContent>
                  </w:sdt>
                  <w:r>
                    <w:rPr>
                      <w:b/>
                    </w:rPr>
                    <w:t xml:space="preserve"> SKIRSNIS. </w:t>
                  </w:r>
                  <w:sdt>
                    <w:sdtPr>
                      <w:alias w:val="Pavadinimas"/>
                      <w:tag w:val="title_cc3125cc9b51450383da5a5e45fb1de3"/>
                      <w:lock w:val="sdtLocked"/>
                      <w:richText/>
                    </w:sdtPr>
                    <w:sdtContent>
                      <w:r>
                        <w:rPr>
                          <w:b/>
                        </w:rPr>
                        <w:t>PAKELTIEJI INŽINERINIAI TINKLAI</w:t>
                      </w:r>
                    </w:sdtContent>
                  </w:sdt>
                </w:p>
                <w:p>
                  <w:pPr>
                    <w:jc w:val="center"/>
                    <w:rPr>
                      <w:b/>
                    </w:rPr>
                  </w:pPr>
                </w:p>
                <w:sdt>
                  <w:sdtPr>
                    <w:alias w:val="92 p."/>
                    <w:tag w:val="part_f973f39619be410ca17fa6075bd4a6ab"/>
                    <w:lock w:val="sdtLocked"/>
                    <w:richText/>
                  </w:sdtPr>
                  <w:sdtContent>
                    <w:p>
                      <w:pPr>
                        <w:ind w:firstLine="709"/>
                        <w:jc w:val="both"/>
                      </w:pPr>
                      <w:sdt>
                        <w:sdtPr>
                          <w:alias w:val="Numeris"/>
                          <w:tag w:val="nr_f973f39619be410ca17fa6075bd4a6ab"/>
                          <w:lock w:val="sdtLocked"/>
                          <w:richText/>
                        </w:sdtPr>
                        <w:sdtContent>
                          <w:r>
                            <w:t>92</w:t>
                          </w:r>
                        </w:sdtContent>
                      </w:sdt>
                      <w:r>
                        <w:t>. Pakeltieji (viršžeminiai) inžineriniai tinklai turi būti tiesiami ant atramų, statomų aukščiau Sklypo žemės paviršiaus altitudžių, estakadų, galerijose arba statinių sienų ar kitų konstrukcijų.</w:t>
                      </w:r>
                    </w:p>
                  </w:sdtContent>
                </w:sdt>
                <w:sdt>
                  <w:sdtPr>
                    <w:alias w:val="93 p."/>
                    <w:tag w:val="part_70fcd7d19a2d435ba89cd48c3aabb70e"/>
                    <w:lock w:val="sdtLocked"/>
                    <w:richText/>
                  </w:sdtPr>
                  <w:sdtContent>
                    <w:p>
                      <w:pPr>
                        <w:ind w:firstLine="709"/>
                        <w:jc w:val="both"/>
                      </w:pPr>
                      <w:sdt>
                        <w:sdtPr>
                          <w:alias w:val="Numeris"/>
                          <w:tag w:val="nr_70fcd7d19a2d435ba89cd48c3aabb70e"/>
                          <w:lock w:val="sdtLocked"/>
                          <w:richText/>
                        </w:sdtPr>
                        <w:sdtContent>
                          <w:r>
                            <w:t>93</w:t>
                          </w:r>
                        </w:sdtContent>
                      </w:sdt>
                      <w:r>
                        <w:t>. Kabelių estakadų ir galerijų persikirtimas su elektros perdavimo oro linijomis, vidaus gamykliniais geležinkeliais, keliais, lynų keliais, oro elektroninio ryšio linijomis ir vamzdynais turi būti atliktas ne mažesniu kaip 30</w:t>
                      </w:r>
                      <w:r>
                        <w:rPr>
                          <w:vertAlign w:val="superscript"/>
                        </w:rPr>
                        <w:t>o</w:t>
                      </w:r>
                      <w:r>
                        <w:t xml:space="preserve"> kampu.</w:t>
                      </w:r>
                    </w:p>
                  </w:sdtContent>
                </w:sdt>
                <w:sdt>
                  <w:sdtPr>
                    <w:alias w:val="94 p."/>
                    <w:tag w:val="part_f9885096edaf48218b55069a52c585bd"/>
                    <w:lock w:val="sdtLocked"/>
                    <w:richText/>
                  </w:sdtPr>
                  <w:sdtContent>
                    <w:p>
                      <w:pPr>
                        <w:ind w:firstLine="709"/>
                        <w:jc w:val="both"/>
                      </w:pPr>
                      <w:sdt>
                        <w:sdtPr>
                          <w:alias w:val="Numeris"/>
                          <w:tag w:val="nr_f9885096edaf48218b55069a52c585bd"/>
                          <w:lock w:val="sdtLocked"/>
                          <w:richText/>
                        </w:sdtPr>
                        <w:sdtContent>
                          <w:r>
                            <w:t>94</w:t>
                          </w:r>
                        </w:sdtContent>
                      </w:sdt>
                      <w:r>
                        <w:t>. Neleidžiama tiesti:</w:t>
                      </w:r>
                    </w:p>
                    <w:sdt>
                      <w:sdtPr>
                        <w:alias w:val="94.1 pp."/>
                        <w:tag w:val="part_2ad5864c2cb946f9b0f6d2ae3d43c258"/>
                        <w:lock w:val="sdtLocked"/>
                        <w:richText/>
                      </w:sdtPr>
                      <w:sdtContent>
                        <w:p>
                          <w:pPr>
                            <w:ind w:firstLine="709"/>
                            <w:jc w:val="both"/>
                          </w:pPr>
                          <w:sdt>
                            <w:sdtPr>
                              <w:alias w:val="Numeris"/>
                              <w:tag w:val="nr_2ad5864c2cb946f9b0f6d2ae3d43c258"/>
                              <w:lock w:val="sdtLocked"/>
                              <w:richText/>
                            </w:sdtPr>
                            <w:sdtContent>
                              <w:r>
                                <w:t>94.1</w:t>
                              </w:r>
                            </w:sdtContent>
                          </w:sdt>
                          <w:r>
                            <w:t>. tranzitinių Sklypo vidaus vamzdynų su degiais skysčiais ir dujomis – ant estakadų, pavieniai stovinčių kolonų ir atramų iš žemesnės kaip A1 degumo klasės statybos produktų, taip pat ant pastatų sienų ir stogų, išskyrus I atsparumo ugniai laipsnio C</w:t>
                          </w:r>
                          <w:r>
                            <w:rPr>
                              <w:vertAlign w:val="subscript"/>
                            </w:rPr>
                            <w:t>g</w:t>
                          </w:r>
                          <w:r>
                            <w:t>, D</w:t>
                          </w:r>
                          <w:r>
                            <w:rPr>
                              <w:vertAlign w:val="subscript"/>
                            </w:rPr>
                            <w:t>g</w:t>
                          </w:r>
                          <w:r>
                            <w:t xml:space="preserve"> ir E</w:t>
                          </w:r>
                          <w:r>
                            <w:rPr>
                              <w:vertAlign w:val="subscript"/>
                            </w:rPr>
                            <w:t>g</w:t>
                          </w:r>
                          <w:r>
                            <w:t xml:space="preserve"> kategorijų pagal gaisro pavojų pastatų.</w:t>
                          </w:r>
                        </w:p>
                        <w:p>
                          <w:pPr>
                            <w:ind w:firstLine="709"/>
                            <w:jc w:val="both"/>
                          </w:pPr>
                          <w:r>
                            <w:t>Sklypo vidaus tinklai laikomi tranzitiniais tų pastatų atžvilgiu, kuriuose negaminama ir nevartojama skysčių ir dujų, tiekiamų nurodytais vamzdynais;</w:t>
                          </w:r>
                        </w:p>
                      </w:sdtContent>
                    </w:sdt>
                    <w:sdt>
                      <w:sdtPr>
                        <w:alias w:val="94.2 pp."/>
                        <w:tag w:val="part_bfef456d0e904df6a5d529866eacef3b"/>
                        <w:lock w:val="sdtLocked"/>
                        <w:richText/>
                      </w:sdtPr>
                      <w:sdtContent>
                        <w:p>
                          <w:pPr>
                            <w:ind w:firstLine="709"/>
                            <w:jc w:val="both"/>
                          </w:pPr>
                          <w:sdt>
                            <w:sdtPr>
                              <w:alias w:val="Numeris"/>
                              <w:tag w:val="nr_bfef456d0e904df6a5d529866eacef3b"/>
                              <w:lock w:val="sdtLocked"/>
                              <w:richText/>
                            </w:sdtPr>
                            <w:sdtContent>
                              <w:r>
                                <w:t>94.2</w:t>
                              </w:r>
                            </w:sdtContent>
                          </w:sdt>
                          <w:r>
                            <w:t>. vamzdynų su degiais skysčiais ir dujų pavidalo produktais galerijose, jeigu šių produktų susimaišymas gali sukelti sprogimą ar gaisrą;</w:t>
                          </w:r>
                        </w:p>
                      </w:sdtContent>
                    </w:sdt>
                    <w:sdt>
                      <w:sdtPr>
                        <w:alias w:val="94.3 pp."/>
                        <w:tag w:val="part_27ce4a62aa7b443e85687b476a67c5ec"/>
                        <w:lock w:val="sdtLocked"/>
                        <w:richText/>
                      </w:sdtPr>
                      <w:sdtContent>
                        <w:p>
                          <w:pPr>
                            <w:ind w:firstLine="709"/>
                            <w:jc w:val="both"/>
                          </w:pPr>
                          <w:sdt>
                            <w:sdtPr>
                              <w:alias w:val="Numeris"/>
                              <w:tag w:val="nr_27ce4a62aa7b443e85687b476a67c5ec"/>
                              <w:lock w:val="sdtLocked"/>
                              <w:richText/>
                            </w:sdtPr>
                            <w:sdtContent>
                              <w:r>
                                <w:t>94.3</w:t>
                              </w:r>
                            </w:sdtContent>
                          </w:sdt>
                          <w:r>
                            <w:t>. degių dujų tinklų degių skysčių sandėliavimo statinių zonoje.</w:t>
                          </w:r>
                        </w:p>
                      </w:sdtContent>
                    </w:sdt>
                  </w:sdtContent>
                </w:sdt>
                <w:sdt>
                  <w:sdtPr>
                    <w:alias w:val="95 p."/>
                    <w:tag w:val="part_e5e725fd4c2f4a319a82605b4e733766"/>
                    <w:lock w:val="sdtLocked"/>
                    <w:richText/>
                  </w:sdtPr>
                  <w:sdtContent>
                    <w:p>
                      <w:pPr>
                        <w:ind w:firstLine="709"/>
                        <w:jc w:val="both"/>
                      </w:pPr>
                      <w:sdt>
                        <w:sdtPr>
                          <w:alias w:val="Numeris"/>
                          <w:tag w:val="nr_e5e725fd4c2f4a319a82605b4e733766"/>
                          <w:lock w:val="sdtLocked"/>
                          <w:richText/>
                        </w:sdtPr>
                        <w:sdtContent>
                          <w:r>
                            <w:t>95</w:t>
                          </w:r>
                        </w:sdtContent>
                      </w:sdt>
                      <w:r>
                        <w:t>. Pakeltieji vamzdynai su degiais skysčiais, kai vamzdynai tiesiami ant pavienių atramų, estakadų ir pan., turi būti išdėstyti ne mažesniu kaip 3 m atstumu nuo pastatų ir inžinerinių statinių sienų su angomis.</w:t>
                      </w:r>
                    </w:p>
                    <w:p>
                      <w:pPr>
                        <w:ind w:firstLine="709"/>
                        <w:jc w:val="both"/>
                      </w:pPr>
                      <w:r>
                        <w:t>Iki sienų be angų šis atstumas gali būti sumažintas iki 0,5 m.</w:t>
                      </w:r>
                    </w:p>
                  </w:sdtContent>
                </w:sdt>
                <w:sdt>
                  <w:sdtPr>
                    <w:alias w:val="96 p."/>
                    <w:tag w:val="part_fc760b6f96b84591bf3f2fff0a40b36e"/>
                    <w:lock w:val="sdtLocked"/>
                    <w:richText/>
                  </w:sdtPr>
                  <w:sdtContent>
                    <w:p>
                      <w:pPr>
                        <w:ind w:firstLine="709"/>
                        <w:jc w:val="both"/>
                      </w:pPr>
                      <w:sdt>
                        <w:sdtPr>
                          <w:alias w:val="Numeris"/>
                          <w:tag w:val="nr_fc760b6f96b84591bf3f2fff0a40b36e"/>
                          <w:lock w:val="sdtLocked"/>
                          <w:richText/>
                        </w:sdtPr>
                        <w:sdtContent>
                          <w:r>
                            <w:t>96</w:t>
                          </w:r>
                        </w:sdtContent>
                      </w:sdt>
                      <w:r>
                        <w:t>. Ant žemų atramų turi būti tiesiami slėginiai vamzdynai su skysčiais ir dujomis, taip pat jėgos ir ryšių kabeliai, kurie išdėstomi:</w:t>
                      </w:r>
                    </w:p>
                    <w:sdt>
                      <w:sdtPr>
                        <w:alias w:val="96.1 pp."/>
                        <w:tag w:val="part_06116cce3eb34810908b0daada8955f7"/>
                        <w:lock w:val="sdtLocked"/>
                        <w:richText/>
                      </w:sdtPr>
                      <w:sdtContent>
                        <w:p>
                          <w:pPr>
                            <w:ind w:firstLine="709"/>
                            <w:jc w:val="both"/>
                          </w:pPr>
                          <w:sdt>
                            <w:sdtPr>
                              <w:alias w:val="Numeris"/>
                              <w:tag w:val="nr_06116cce3eb34810908b0daada8955f7"/>
                              <w:lock w:val="sdtLocked"/>
                              <w:richText/>
                            </w:sdtPr>
                            <w:sdtContent>
                              <w:r>
                                <w:t>96.1</w:t>
                              </w:r>
                            </w:sdtContent>
                          </w:sdt>
                          <w:r>
                            <w:t>. specialiose tam tikslui skirtose Sklypo techninėse juostose (koridoriuose);</w:t>
                          </w:r>
                        </w:p>
                      </w:sdtContent>
                    </w:sdt>
                    <w:sdt>
                      <w:sdtPr>
                        <w:alias w:val="96.2 pp."/>
                        <w:tag w:val="part_7f2a97c1fdf7449195d96635abef6ece"/>
                        <w:lock w:val="sdtLocked"/>
                        <w:richText/>
                      </w:sdtPr>
                      <w:sdtContent>
                        <w:p>
                          <w:pPr>
                            <w:ind w:firstLine="709"/>
                            <w:jc w:val="both"/>
                          </w:pPr>
                          <w:sdt>
                            <w:sdtPr>
                              <w:alias w:val="Numeris"/>
                              <w:tag w:val="nr_7f2a97c1fdf7449195d96635abef6ece"/>
                              <w:lock w:val="sdtLocked"/>
                              <w:richText/>
                            </w:sdtPr>
                            <w:sdtContent>
                              <w:r>
                                <w:t>96.2</w:t>
                              </w:r>
                            </w:sdtContent>
                          </w:sdt>
                          <w:r>
                            <w:t>. skystų produktų ir suskystintų dujų sandėlių Sklype ar Sklypo sandėliavimo zonoje.</w:t>
                          </w:r>
                        </w:p>
                      </w:sdtContent>
                    </w:sdt>
                  </w:sdtContent>
                </w:sdt>
                <w:sdt>
                  <w:sdtPr>
                    <w:alias w:val="97 p."/>
                    <w:tag w:val="part_82f750ec43a54e45bba5bd9c5be62353"/>
                    <w:lock w:val="sdtLocked"/>
                    <w:richText/>
                  </w:sdtPr>
                  <w:sdtContent>
                    <w:p>
                      <w:pPr>
                        <w:ind w:firstLine="709"/>
                        <w:jc w:val="both"/>
                      </w:pPr>
                      <w:sdt>
                        <w:sdtPr>
                          <w:alias w:val="Numeris"/>
                          <w:tag w:val="nr_82f750ec43a54e45bba5bd9c5be62353"/>
                          <w:lock w:val="sdtLocked"/>
                          <w:richText/>
                        </w:sdtPr>
                        <w:sdtContent>
                          <w:r>
                            <w:t>97</w:t>
                          </w:r>
                        </w:sdtContent>
                      </w:sdt>
                      <w:r>
                        <w:t>. Aukštis nuo žemės paviršiaus iki vamzdžių apačios (arba jų izoliacijos paviršiaus), kai jie tiesiami ant žemų atramų Sklypo dalyje, laisvoje nuo transporto priemonių eismo ir žmonių praėjimo, turi būti ne mažesnis:</w:t>
                      </w:r>
                    </w:p>
                    <w:sdt>
                      <w:sdtPr>
                        <w:alias w:val="97.1 pp."/>
                        <w:tag w:val="part_5819c681c26f457297465562f5f27c42"/>
                        <w:lock w:val="sdtLocked"/>
                        <w:richText/>
                      </w:sdtPr>
                      <w:sdtContent>
                        <w:p>
                          <w:pPr>
                            <w:ind w:firstLine="709"/>
                            <w:jc w:val="both"/>
                          </w:pPr>
                          <w:sdt>
                            <w:sdtPr>
                              <w:alias w:val="Numeris"/>
                              <w:tag w:val="nr_5819c681c26f457297465562f5f27c42"/>
                              <w:lock w:val="sdtLocked"/>
                              <w:richText/>
                            </w:sdtPr>
                            <w:sdtContent>
                              <w:r>
                                <w:t>97.1</w:t>
                              </w:r>
                            </w:sdtContent>
                          </w:sdt>
                          <w:r>
                            <w:t>. kai vamzdžių grupės plotis mažesnis kaip 1,5 m – 0,35 m;</w:t>
                          </w:r>
                        </w:p>
                      </w:sdtContent>
                    </w:sdt>
                    <w:sdt>
                      <w:sdtPr>
                        <w:alias w:val="97.2 pp."/>
                        <w:tag w:val="part_02e05a159149463d9922872477f13464"/>
                        <w:lock w:val="sdtLocked"/>
                        <w:richText/>
                      </w:sdtPr>
                      <w:sdtContent>
                        <w:p>
                          <w:pPr>
                            <w:ind w:firstLine="709"/>
                            <w:jc w:val="both"/>
                          </w:pPr>
                          <w:sdt>
                            <w:sdtPr>
                              <w:alias w:val="Numeris"/>
                              <w:tag w:val="nr_02e05a159149463d9922872477f13464"/>
                              <w:lock w:val="sdtLocked"/>
                              <w:richText/>
                            </w:sdtPr>
                            <w:sdtContent>
                              <w:r>
                                <w:t>97.2</w:t>
                              </w:r>
                            </w:sdtContent>
                          </w:sdt>
                          <w:r>
                            <w:t>. kai vamzdžių grupės plotis 1,5 m ir didesnis – 0,5 m.</w:t>
                          </w:r>
                        </w:p>
                      </w:sdtContent>
                    </w:sdt>
                  </w:sdtContent>
                </w:sdt>
                <w:sdt>
                  <w:sdtPr>
                    <w:alias w:val="98 p."/>
                    <w:tag w:val="part_99adb126574d46b98b33ead61cbb4a25"/>
                    <w:lock w:val="sdtLocked"/>
                    <w:richText/>
                  </w:sdtPr>
                  <w:sdtContent>
                    <w:p>
                      <w:pPr>
                        <w:ind w:firstLine="709"/>
                        <w:jc w:val="both"/>
                      </w:pPr>
                      <w:sdt>
                        <w:sdtPr>
                          <w:alias w:val="Numeris"/>
                          <w:tag w:val="nr_99adb126574d46b98b33ead61cbb4a25"/>
                          <w:lock w:val="sdtLocked"/>
                          <w:richText/>
                        </w:sdtPr>
                        <w:sdtContent>
                          <w:r>
                            <w:t>98</w:t>
                          </w:r>
                        </w:sdtContent>
                      </w:sdt>
                      <w:r>
                        <w:t>. Vamzdynai su 300 mm ir mažesniu diametru ant žemų atramų turi būti išdėstomi per dvi arba per daugiau eilių pagal vertikalę, maksimaliai sutrumpinant tinklų trasos plotį.</w:t>
                      </w:r>
                    </w:p>
                  </w:sdtContent>
                </w:sdt>
                <w:sdt>
                  <w:sdtPr>
                    <w:alias w:val="99 p."/>
                    <w:tag w:val="part_09e944790a704e7e9995e56ddb32d457"/>
                    <w:lock w:val="sdtLocked"/>
                    <w:richText/>
                  </w:sdtPr>
                  <w:sdtContent>
                    <w:p>
                      <w:pPr>
                        <w:ind w:firstLine="709"/>
                        <w:jc w:val="both"/>
                      </w:pPr>
                      <w:sdt>
                        <w:sdtPr>
                          <w:alias w:val="Numeris"/>
                          <w:tag w:val="nr_09e944790a704e7e9995e56ddb32d457"/>
                          <w:lock w:val="sdtLocked"/>
                          <w:richText/>
                        </w:sdtPr>
                        <w:sdtContent>
                          <w:r>
                            <w:t>99</w:t>
                          </w:r>
                        </w:sdtContent>
                      </w:sdt>
                      <w:r>
                        <w:t>. Aukštis nuo žemės paviršiaus iki vamzdžių apačios ar izoliacijos paviršiaus, kai jie klojami ant aukštų atramų, turi būti:</w:t>
                      </w:r>
                    </w:p>
                    <w:sdt>
                      <w:sdtPr>
                        <w:alias w:val="99.1 pp."/>
                        <w:tag w:val="part_db930ad2437849c1ace5bdff50989be1"/>
                        <w:lock w:val="sdtLocked"/>
                        <w:richText/>
                      </w:sdtPr>
                      <w:sdtContent>
                        <w:p>
                          <w:pPr>
                            <w:ind w:firstLine="709"/>
                            <w:jc w:val="both"/>
                          </w:pPr>
                          <w:sdt>
                            <w:sdtPr>
                              <w:alias w:val="Numeris"/>
                              <w:tag w:val="nr_db930ad2437849c1ace5bdff50989be1"/>
                              <w:lock w:val="sdtLocked"/>
                              <w:richText/>
                            </w:sdtPr>
                            <w:sdtContent>
                              <w:r>
                                <w:t>99.1</w:t>
                              </w:r>
                            </w:sdtContent>
                          </w:sdt>
                          <w:r>
                            <w:t>. nevažiuojamoje Sklypo (teritorijos) dalyje, žmonių judėjimo vietose – 2,2 m;</w:t>
                          </w:r>
                        </w:p>
                      </w:sdtContent>
                    </w:sdt>
                    <w:sdt>
                      <w:sdtPr>
                        <w:alias w:val="99.2 pp."/>
                        <w:tag w:val="part_1f9dc911486f4e7291840d3f74ef4399"/>
                        <w:lock w:val="sdtLocked"/>
                        <w:richText/>
                      </w:sdtPr>
                      <w:sdtContent>
                        <w:p>
                          <w:pPr>
                            <w:ind w:firstLine="709"/>
                            <w:jc w:val="both"/>
                          </w:pPr>
                          <w:sdt>
                            <w:sdtPr>
                              <w:alias w:val="Numeris"/>
                              <w:tag w:val="nr_1f9dc911486f4e7291840d3f74ef4399"/>
                              <w:lock w:val="sdtLocked"/>
                              <w:richText/>
                            </w:sdtPr>
                            <w:sdtContent>
                              <w:r>
                                <w:t>99.2</w:t>
                              </w:r>
                            </w:sdtContent>
                          </w:sdt>
                          <w:r>
                            <w:t>. persikirtimo su keliais vietose (nuo važiuojamosios dalies dangos paviršiaus) – 5 m;</w:t>
                          </w:r>
                        </w:p>
                      </w:sdtContent>
                    </w:sdt>
                    <w:sdt>
                      <w:sdtPr>
                        <w:alias w:val="99.3 pp."/>
                        <w:tag w:val="part_8287962cd07441b1801327839023a35f"/>
                        <w:lock w:val="sdtLocked"/>
                        <w:richText/>
                      </w:sdtPr>
                      <w:sdtContent>
                        <w:p>
                          <w:pPr>
                            <w:ind w:firstLine="709"/>
                            <w:jc w:val="both"/>
                          </w:pPr>
                          <w:sdt>
                            <w:sdtPr>
                              <w:alias w:val="Numeris"/>
                              <w:tag w:val="nr_8287962cd07441b1801327839023a35f"/>
                              <w:lock w:val="sdtLocked"/>
                              <w:richText/>
                            </w:sdtPr>
                            <w:sdtContent>
                              <w:r>
                                <w:t>99.3</w:t>
                              </w:r>
                            </w:sdtContent>
                          </w:sdt>
                          <w:r>
                            <w:t>. persikirtimo su vidiniais geležinkelio privažiuojamaisiais ir bendro naudojimo keliais vietose – pagal normatyvinius dokumentus, nustatančius geležinkelio techninius reikalavimus;</w:t>
                          </w:r>
                        </w:p>
                      </w:sdtContent>
                    </w:sdt>
                    <w:sdt>
                      <w:sdtPr>
                        <w:alias w:val="99.4 pp."/>
                        <w:tag w:val="part_5d1976982730469c9667476afa930862"/>
                        <w:lock w:val="sdtLocked"/>
                        <w:richText/>
                      </w:sdtPr>
                      <w:sdtContent>
                        <w:p>
                          <w:pPr>
                            <w:ind w:firstLine="709"/>
                            <w:jc w:val="both"/>
                          </w:pPr>
                          <w:sdt>
                            <w:sdtPr>
                              <w:alias w:val="Numeris"/>
                              <w:tag w:val="nr_5d1976982730469c9667476afa930862"/>
                              <w:lock w:val="sdtLocked"/>
                              <w:richText/>
                            </w:sdtPr>
                            <w:sdtContent>
                              <w:r>
                                <w:t>99.4</w:t>
                              </w:r>
                            </w:sdtContent>
                          </w:sdt>
                          <w:r>
                            <w:t>. persikirtimo su troleibusų kontaktiniu tinklu (nuo važiuojamosios dalies dangos paviršiaus) vietose – 7,3 m.</w:t>
                          </w:r>
                        </w:p>
                        <w:p>
                          <w:pPr>
                            <w:ind w:firstLine="709"/>
                            <w:jc w:val="both"/>
                          </w:pPr>
                        </w:p>
                      </w:sdtContent>
                    </w:sdt>
                  </w:sdtContent>
                </w:sdt>
              </w:sdtContent>
            </w:sdt>
          </w:sdtContent>
        </w:sdt>
        <w:sdt>
          <w:sdtPr>
            <w:alias w:val="skyrius"/>
            <w:tag w:val="part_177917674a0e4c519237f8c05be4a34e"/>
            <w:lock w:val="sdtLocked"/>
            <w:richText/>
          </w:sdtPr>
          <w:sdtContent>
            <w:p>
              <w:pPr>
                <w:jc w:val="center"/>
                <w:rPr>
                  <w:b/>
                </w:rPr>
              </w:pPr>
              <w:sdt>
                <w:sdtPr>
                  <w:alias w:val="Numeris"/>
                  <w:tag w:val="nr_177917674a0e4c519237f8c05be4a34e"/>
                  <w:lock w:val="sdtLocked"/>
                  <w:richText/>
                </w:sdtPr>
                <w:sdtContent>
                  <w:r>
                    <w:rPr>
                      <w:b/>
                    </w:rPr>
                    <w:t>X</w:t>
                  </w:r>
                </w:sdtContent>
              </w:sdt>
              <w:r>
                <w:rPr>
                  <w:b/>
                </w:rPr>
                <w:t xml:space="preserve"> SKYRIUS. </w:t>
              </w:r>
              <w:sdt>
                <w:sdtPr>
                  <w:alias w:val="Pavadinimas"/>
                  <w:tag w:val="title_177917674a0e4c519237f8c05be4a34e"/>
                  <w:lock w:val="sdtLocked"/>
                  <w:richText/>
                </w:sdtPr>
                <w:sdtContent>
                  <w:r>
                    <w:rPr>
                      <w:b/>
                    </w:rPr>
                    <w:t>SKLYPO TVARKYMAS</w:t>
                  </w:r>
                </w:sdtContent>
              </w:sdt>
            </w:p>
            <w:p>
              <w:pPr>
                <w:jc w:val="center"/>
                <w:rPr>
                  <w:b/>
                </w:rPr>
              </w:pPr>
            </w:p>
            <w:sdt>
              <w:sdtPr>
                <w:alias w:val="100 p."/>
                <w:tag w:val="part_65f65b045e514cda926d59580419d5db"/>
                <w:lock w:val="sdtLocked"/>
                <w:richText/>
              </w:sdtPr>
              <w:sdtContent>
                <w:p>
                  <w:pPr>
                    <w:ind w:firstLine="709"/>
                    <w:jc w:val="both"/>
                  </w:pPr>
                  <w:sdt>
                    <w:sdtPr>
                      <w:alias w:val="Numeris"/>
                      <w:tag w:val="nr_65f65b045e514cda926d59580419d5db"/>
                      <w:lock w:val="sdtLocked"/>
                      <w:richText/>
                    </w:sdtPr>
                    <w:sdtContent>
                      <w:r>
                        <w:t>100</w:t>
                      </w:r>
                    </w:sdtContent>
                  </w:sdt>
                  <w:r>
                    <w:t>. Sklypams apželdinti turi būti naudojamos vietinėms klimato sąlygoms atsparios medžių ir krūmų veislės, atsižvelgiant į jų sanitarines ir apsaugines, dekoratyvines savybes ir atsparumą pavojingoms medžiagoms, kurių gali būti Sklype.</w:t>
                  </w:r>
                </w:p>
                <w:p>
                  <w:pPr>
                    <w:ind w:firstLine="709"/>
                    <w:jc w:val="both"/>
                  </w:pPr>
                  <w:r>
                    <w:t>Maisto pramonės gamybos statinių, tikslių gamybos procesų cechų, taip pat orapūčių, kompresorių ir variklių bandymo stočių išdėstymo zonose draudžiama sodinti medžius ir krūmus, kurie gausiai išskiria žiedadulkes, žiedynais, vaisių sėklomis ar kitaip teršia aplinką.</w:t>
                  </w:r>
                </w:p>
                <w:p>
                  <w:pPr>
                    <w:ind w:firstLine="709"/>
                    <w:jc w:val="both"/>
                  </w:pPr>
                  <w:r>
                    <w:t>Priešgaisrinių norminių atstumų ribose sodinti spygliuočių rūšių medžius draudžiama.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5DC74875D7">
                    <w:r w:rsidRPr="00532B9F">
                      <w:rPr>
                        <w:rFonts w:ascii="Times New Roman" w:eastAsia="MS Mincho" w:hAnsi="Times New Roman"/>
                        <w:sz w:val="20"/>
                        <w:i/>
                        <w:iCs/>
                        <w:color w:val="0000FF" w:themeColor="hyperlink"/>
                        <w:u w:val="single"/>
                      </w:rPr>
                      <w:t>D1-851</w:t>
                    </w:r>
                  </w:fldSimple>
                  <w:r>
                    <w:rPr>
                      <w:rFonts w:ascii="Times New Roman" w:eastAsia="MS Mincho" w:hAnsi="Times New Roman"/>
                      <w:sz w:val="20"/>
                      <w:i/>
                      <w:iCs/>
                    </w:rPr>
                    <w:t>,
2011-11-05,
Žin., 2011, Nr.
134-6384 (2011-11-10), i. k. 111301MISAK00D1-851            </w:t>
                  </w:r>
                </w:p>
                <w:p/>
              </w:sdtContent>
            </w:sdt>
            <w:sdt>
              <w:sdtPr>
                <w:alias w:val="101 p."/>
                <w:tag w:val="part_3a4496b899b247209ed9c121bcbc1891"/>
                <w:lock w:val="sdtLocked"/>
                <w:richText/>
              </w:sdtPr>
              <w:sdtContent>
                <w:p>
                  <w:pPr>
                    <w:widowControl w:val="0"/>
                    <w:suppressAutoHyphens/>
                    <w:ind w:firstLine="709"/>
                    <w:jc w:val="both"/>
                  </w:pPr>
                  <w:sdt>
                    <w:sdtPr>
                      <w:alias w:val="Numeris"/>
                      <w:tag w:val="nr_3a4496b899b247209ed9c121bcbc1891"/>
                      <w:lock w:val="sdtLocked"/>
                      <w:richText/>
                    </w:sdtPr>
                    <w:sdtContent>
                      <w:r>
                        <w:rPr>
                          <w:color w:val="000000"/>
                        </w:rPr>
                        <w:t>101</w:t>
                      </w:r>
                    </w:sdtContent>
                  </w:sdt>
                  <w:r>
                    <w:rPr>
                      <w:color w:val="000000"/>
                    </w:rPr>
                    <w:t>. Želdiniams skirtų sklypo aikštelių, išdėstytų gamybos teritorijoje, užimamas plotas turi būti ne mažesnis kaip nurodyta Priklausomųjų želdynų normų (plotų) nustatymo tvarkos apraše [4.4.12].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5DC74875D7">
                    <w:r w:rsidRPr="00532B9F">
                      <w:rPr>
                        <w:rFonts w:ascii="Times New Roman" w:eastAsia="MS Mincho" w:hAnsi="Times New Roman"/>
                        <w:sz w:val="20"/>
                        <w:i/>
                        <w:iCs/>
                        <w:color w:val="0000FF" w:themeColor="hyperlink"/>
                        <w:u w:val="single"/>
                      </w:rPr>
                      <w:t>D1-851</w:t>
                    </w:r>
                  </w:fldSimple>
                  <w:r>
                    <w:rPr>
                      <w:rFonts w:ascii="Times New Roman" w:eastAsia="MS Mincho" w:hAnsi="Times New Roman"/>
                      <w:sz w:val="20"/>
                      <w:i/>
                      <w:iCs/>
                    </w:rPr>
                    <w:t>,
2011-11-05,
Žin., 2011, Nr.
134-6384 (2011-11-10), i. k. 111301MISAK00D1-851            </w:t>
                  </w:r>
                </w:p>
                <w:p/>
              </w:sdtContent>
            </w:sdt>
            <w:sdt>
              <w:sdtPr>
                <w:alias w:val="102 p."/>
                <w:tag w:val="part_8a778bbdb6794a4a95a9ac7dc6893422"/>
                <w:lock w:val="sdtLocked"/>
                <w:richText/>
              </w:sdtPr>
              <w:sdtContent>
                <w:p>
                  <w:pPr>
                    <w:widowControl w:val="0"/>
                    <w:suppressAutoHyphens/>
                    <w:ind w:firstLine="709"/>
                    <w:jc w:val="both"/>
                  </w:pPr>
                  <w:sdt>
                    <w:sdtPr>
                      <w:alias w:val="Numeris"/>
                      <w:tag w:val="nr_8a778bbdb6794a4a95a9ac7dc6893422"/>
                      <w:lock w:val="sdtLocked"/>
                      <w:richText/>
                    </w:sdtPr>
                    <w:sdtContent>
                      <w:r>
                        <w:rPr>
                          <w:color w:val="000000"/>
                        </w:rPr>
                        <w:t>102</w:t>
                      </w:r>
                    </w:sdtContent>
                  </w:sdt>
                  <w:r>
                    <w:rPr>
                      <w:color w:val="000000"/>
                    </w:rPr>
                    <w:t>. Atstumai nuo statinių iki medžių ir krūmų reglamentuojami Medžių ir krūmų veisimo, vejų ir gėlynų įrengimo taisyklėse [4.4.13], Elektros linijų ir instaliacijos įrengimo taisyklėse, Skirstyklų ir pastočių elektros įrenginių įrengimo taisyklėse [4.4.6] ir kituose teisės aktuose, reglamentuojančiuose medžių ir krūmų sodinimo atstumus nuo statinių. Atstumas nuo geležinkelio ašies iki medžio turi būti 5 m, iki krūmo – 3,5 m. Atstumas iki medžio kamieno nuo dujotekio – 2 m, nuo kanalizacijos – 1,5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5DC74875D7">
                    <w:r w:rsidRPr="00532B9F">
                      <w:rPr>
                        <w:rFonts w:ascii="Times New Roman" w:eastAsia="MS Mincho" w:hAnsi="Times New Roman"/>
                        <w:sz w:val="20"/>
                        <w:i/>
                        <w:iCs/>
                        <w:color w:val="0000FF" w:themeColor="hyperlink"/>
                        <w:u w:val="single"/>
                      </w:rPr>
                      <w:t>D1-851</w:t>
                    </w:r>
                  </w:fldSimple>
                  <w:r>
                    <w:rPr>
                      <w:rFonts w:ascii="Times New Roman" w:eastAsia="MS Mincho" w:hAnsi="Times New Roman"/>
                      <w:sz w:val="20"/>
                      <w:i/>
                      <w:iCs/>
                    </w:rPr>
                    <w:t>,
2011-11-05,
Žin., 2011, Nr.
134-6384 (2011-11-10), i. k. 111301MISAK00D1-851            </w:t>
                  </w:r>
                </w:p>
                <w:p/>
              </w:sdtContent>
            </w:sdt>
            <w:sdt>
              <w:sdtPr>
                <w:alias w:val="103 p."/>
                <w:tag w:val="part_5d2c20065c884c46a65a6bd481a870f4"/>
                <w:lock w:val="sdtLocked"/>
                <w:richText/>
              </w:sdtPr>
              <w:sdtContent>
                <w:p>
                  <w:pPr>
                    <w:ind w:firstLine="709"/>
                    <w:jc w:val="both"/>
                  </w:pPr>
                  <w:sdt>
                    <w:sdtPr>
                      <w:alias w:val="Numeris"/>
                      <w:tag w:val="nr_5d2c20065c884c46a65a6bd481a870f4"/>
                      <w:lock w:val="sdtLocked"/>
                      <w:richText/>
                    </w:sdtPr>
                    <w:sdtContent>
                      <w:r>
                        <w:t>103</w:t>
                      </w:r>
                    </w:sdtContent>
                  </w:sdt>
                  <w:r>
                    <w:t>. Atstumai tarp želdinių ribų ir atšaldymo tvenkinių ir purškiamųjų baseinų, apskaičiuojant nuo kranto pakraščio, turi būti ne mažesni kaip 40 m.</w:t>
                  </w:r>
                </w:p>
              </w:sdtContent>
            </w:sdt>
            <w:sdt>
              <w:sdtPr>
                <w:alias w:val="104 p."/>
                <w:tag w:val="part_f9d273a176fb4cdc8a328fbd3ac2a18c"/>
                <w:lock w:val="sdtLocked"/>
                <w:richText/>
              </w:sdtPr>
              <w:sdtContent>
                <w:p>
                  <w:pPr>
                    <w:widowControl w:val="0"/>
                    <w:suppressAutoHyphens/>
                    <w:ind w:firstLine="709"/>
                    <w:jc w:val="both"/>
                  </w:pPr>
                  <w:sdt>
                    <w:sdtPr>
                      <w:alias w:val="Numeris"/>
                      <w:tag w:val="nr_f9d273a176fb4cdc8a328fbd3ac2a18c"/>
                      <w:lock w:val="sdtLocked"/>
                      <w:richText/>
                    </w:sdtPr>
                    <w:sdtContent>
                      <w:r>
                        <w:rPr>
                          <w:color w:val="000000"/>
                        </w:rPr>
                        <w:t>104</w:t>
                      </w:r>
                    </w:sdtContent>
                  </w:sdt>
                  <w:r>
                    <w:rPr>
                      <w:color w:val="000000"/>
                    </w:rPr>
                    <w:t>. Sklypo apželdinimo elementai (vejos, gėlynai) įrengiami, medžiai ir krūmai veisiami vadovaujantis Medžių ir krūmų veisimo, vejų ir gėlynų įrengimo taisyklėmis [4.4.13].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5DC74875D7">
                    <w:r w:rsidRPr="00532B9F">
                      <w:rPr>
                        <w:rFonts w:ascii="Times New Roman" w:eastAsia="MS Mincho" w:hAnsi="Times New Roman"/>
                        <w:sz w:val="20"/>
                        <w:i/>
                        <w:iCs/>
                        <w:color w:val="0000FF" w:themeColor="hyperlink"/>
                        <w:u w:val="single"/>
                      </w:rPr>
                      <w:t>D1-851</w:t>
                    </w:r>
                  </w:fldSimple>
                  <w:r>
                    <w:rPr>
                      <w:rFonts w:ascii="Times New Roman" w:eastAsia="MS Mincho" w:hAnsi="Times New Roman"/>
                      <w:sz w:val="20"/>
                      <w:i/>
                      <w:iCs/>
                    </w:rPr>
                    <w:t>,
2011-11-05,
Žin., 2011, Nr.
134-6384 (2011-11-10), i. k. 111301MISAK00D1-851            </w:t>
                  </w:r>
                </w:p>
                <w:p/>
              </w:sdtContent>
            </w:sdt>
            <w:sdt>
              <w:sdtPr>
                <w:alias w:val="105 p."/>
                <w:tag w:val="part_eab727d4a4514bfa84f5f7fb6b90a3a9"/>
                <w:lock w:val="sdtLocked"/>
                <w:richText/>
              </w:sdtPr>
              <w:sdtContent>
                <w:p>
                  <w:pPr>
                    <w:ind w:firstLine="709"/>
                    <w:jc w:val="both"/>
                  </w:pPr>
                  <w:sdt>
                    <w:sdtPr>
                      <w:alias w:val="Numeris"/>
                      <w:tag w:val="nr_eab727d4a4514bfa84f5f7fb6b90a3a9"/>
                      <w:lock w:val="sdtLocked"/>
                      <w:richText/>
                    </w:sdtPr>
                    <w:sdtContent>
                      <w:r>
                        <w:t>105</w:t>
                      </w:r>
                    </w:sdtContent>
                  </w:sdt>
                  <w:r>
                    <w:t>. Sklype turi būti numatytos dirbančiųjų poilsio aikštelės su sutvarkyta aplinka. Aikštelės turi būti išdėstytos iš priešvėjinės pusės nuo statinių, išskiriančių kenksmingą taršą į atmosferą.</w:t>
                  </w:r>
                </w:p>
              </w:sdtContent>
            </w:sdt>
            <w:sdt>
              <w:sdtPr>
                <w:alias w:val="106 p."/>
                <w:tag w:val="part_4c7224c258b54147910802c1e1591e7c"/>
                <w:lock w:val="sdtLocked"/>
                <w:richText/>
              </w:sdtPr>
              <w:sdtContent>
                <w:p>
                  <w:pPr>
                    <w:ind w:firstLine="709"/>
                    <w:jc w:val="both"/>
                  </w:pPr>
                  <w:sdt>
                    <w:sdtPr>
                      <w:alias w:val="Numeris"/>
                      <w:tag w:val="nr_4c7224c258b54147910802c1e1591e7c"/>
                      <w:lock w:val="sdtLocked"/>
                      <w:richText/>
                    </w:sdtPr>
                    <w:sdtContent>
                      <w:r>
                        <w:t>106</w:t>
                      </w:r>
                    </w:sdtContent>
                  </w:sdt>
                  <w:r>
                    <w:t>. Dirbančiųjų poilsio aikštelių matmenys turi būti apskaičiuojami, skiriant dirbančiajam didžiausioje pamainoje pamainos 1 m</w:t>
                  </w:r>
                  <w:r>
                    <w:rPr>
                      <w:vertAlign w:val="superscript"/>
                    </w:rPr>
                    <w:t>2</w:t>
                  </w:r>
                  <w:r>
                    <w:t xml:space="preserve"> ploto.</w:t>
                  </w:r>
                </w:p>
              </w:sdtContent>
            </w:sdt>
            <w:sdt>
              <w:sdtPr>
                <w:alias w:val="107 p."/>
                <w:tag w:val="part_2d74ab3ab53b4deabb5b6ca25c5d6ca6"/>
                <w:lock w:val="sdtLocked"/>
                <w:richText/>
              </w:sdtPr>
              <w:sdtContent>
                <w:p>
                  <w:pPr>
                    <w:ind w:firstLine="709"/>
                    <w:jc w:val="both"/>
                  </w:pPr>
                  <w:sdt>
                    <w:sdtPr>
                      <w:alias w:val="Numeris"/>
                      <w:tag w:val="nr_2d74ab3ab53b4deabb5b6ca25c5d6ca6"/>
                      <w:lock w:val="sdtLocked"/>
                      <w:richText/>
                    </w:sdtPr>
                    <w:sdtContent>
                      <w:r>
                        <w:t>107</w:t>
                      </w:r>
                    </w:sdtContent>
                  </w:sdt>
                  <w:r>
                    <w:t>. Gamybos statinių su aerozolį išskiriančiomis gamybomis sklypuose neturi būti numatomi dekoratyvūs vandens telkiniai, fontanai, lietinimo įtaisai, padidinantys kenksmingų medžiagų koncentracija įmonės sklype.</w:t>
                  </w:r>
                </w:p>
              </w:sdtContent>
            </w:sdt>
            <w:sdt>
              <w:sdtPr>
                <w:alias w:val="108 p."/>
                <w:tag w:val="part_528957862aaa45b9bc60169332cfa9fe"/>
                <w:lock w:val="sdtLocked"/>
                <w:richText/>
              </w:sdtPr>
              <w:sdtContent>
                <w:p>
                  <w:pPr>
                    <w:ind w:firstLine="709"/>
                    <w:jc w:val="both"/>
                  </w:pPr>
                  <w:sdt>
                    <w:sdtPr>
                      <w:alias w:val="Numeris"/>
                      <w:tag w:val="nr_528957862aaa45b9bc60169332cfa9fe"/>
                      <w:lock w:val="sdtLocked"/>
                      <w:richText/>
                    </w:sdtPr>
                    <w:sdtContent>
                      <w:r>
                        <w:t>108</w:t>
                      </w:r>
                    </w:sdtContent>
                  </w:sdt>
                  <w:r>
                    <w:t>. Sklype šaligatviai išilgai kelių tiesiami neatsižvelgiant į pėsčiųjų eismo intensyvumą, o išilgai pravažiavimų ir įvažiavimų – kai pėsčiųjų eismo intensyvumas ne mažesnis kaip 100 žmonių pamainoje.</w:t>
                  </w:r>
                </w:p>
              </w:sdtContent>
            </w:sdt>
            <w:sdt>
              <w:sdtPr>
                <w:alias w:val="109 p."/>
                <w:tag w:val="part_b5020505388e44559eac970f017dd68a"/>
                <w:lock w:val="sdtLocked"/>
                <w:richText/>
              </w:sdtPr>
              <w:sdtContent>
                <w:p>
                  <w:pPr>
                    <w:ind w:firstLine="709"/>
                    <w:jc w:val="both"/>
                  </w:pPr>
                  <w:sdt>
                    <w:sdtPr>
                      <w:alias w:val="Numeris"/>
                      <w:tag w:val="nr_b5020505388e44559eac970f017dd68a"/>
                      <w:lock w:val="sdtLocked"/>
                      <w:richText/>
                    </w:sdtPr>
                    <w:sdtContent>
                      <w:r>
                        <w:t>109</w:t>
                      </w:r>
                    </w:sdtContent>
                  </w:sdt>
                  <w:r>
                    <w:t>. Šaligatvio pakraštys (bortas) Sklype turi būti ne arčiau kaip 3,75 m nuo artimiausio normalios vėžės geležinkelio ašies. Šį atstumą sumažinti leidžiama įrengus turėklus, atitveriančius šaligatvius.</w:t>
                  </w:r>
                </w:p>
                <w:p>
                  <w:pPr>
                    <w:ind w:firstLine="709"/>
                    <w:jc w:val="both"/>
                  </w:pPr>
                  <w:r>
                    <w:t>Šaligatvių atstumas nuo geležinkelio, kuriuo pervežami degūs kroviniai, ašies turi būti ne mažesnis kaip 5 m.</w:t>
                  </w:r>
                </w:p>
              </w:sdtContent>
            </w:sdt>
            <w:sdt>
              <w:sdtPr>
                <w:alias w:val="110 p."/>
                <w:tag w:val="part_9e8c97ade99e4287a793251460a379d8"/>
                <w:lock w:val="sdtLocked"/>
                <w:richText/>
              </w:sdtPr>
              <w:sdtContent>
                <w:p>
                  <w:pPr>
                    <w:ind w:firstLine="709"/>
                    <w:jc w:val="both"/>
                  </w:pPr>
                  <w:sdt>
                    <w:sdtPr>
                      <w:alias w:val="Numeris"/>
                      <w:tag w:val="nr_9e8c97ade99e4287a793251460a379d8"/>
                      <w:lock w:val="sdtLocked"/>
                      <w:richText/>
                    </w:sdtPr>
                    <w:sdtContent>
                      <w:r>
                        <w:t>110</w:t>
                      </w:r>
                    </w:sdtContent>
                  </w:sdt>
                  <w:r>
                    <w:t>. Šaligatviai išilgai pastatų turi būti išdėstyti:</w:t>
                  </w:r>
                </w:p>
                <w:sdt>
                  <w:sdtPr>
                    <w:alias w:val="110.1 pp."/>
                    <w:tag w:val="part_aebd4f73e9cc4819a75b5e4b55d83f6a"/>
                    <w:lock w:val="sdtLocked"/>
                    <w:richText/>
                  </w:sdtPr>
                  <w:sdtContent>
                    <w:p>
                      <w:pPr>
                        <w:ind w:firstLine="709"/>
                        <w:jc w:val="both"/>
                      </w:pPr>
                      <w:sdt>
                        <w:sdtPr>
                          <w:alias w:val="Numeris"/>
                          <w:tag w:val="nr_aebd4f73e9cc4819a75b5e4b55d83f6a"/>
                          <w:lock w:val="sdtLocked"/>
                          <w:richText/>
                        </w:sdtPr>
                        <w:sdtContent>
                          <w:r>
                            <w:t>110.1</w:t>
                          </w:r>
                        </w:sdtContent>
                      </w:sdt>
                      <w:r>
                        <w:t>. kai įrengtas vandens nuvedimas nuo pastatų stogų – prie pat užstatymo linijos, padidinant šiuo atveju šaligatvio plotį 0,5 m;</w:t>
                      </w:r>
                    </w:p>
                  </w:sdtContent>
                </w:sdt>
                <w:sdt>
                  <w:sdtPr>
                    <w:alias w:val="110.2 pp."/>
                    <w:tag w:val="part_e6b74258645341338e5ea3a6c04cd3bb"/>
                    <w:lock w:val="sdtLocked"/>
                    <w:richText/>
                  </w:sdtPr>
                  <w:sdtContent>
                    <w:p>
                      <w:pPr>
                        <w:ind w:firstLine="709"/>
                        <w:jc w:val="both"/>
                      </w:pPr>
                      <w:sdt>
                        <w:sdtPr>
                          <w:alias w:val="Numeris"/>
                          <w:tag w:val="nr_e6b74258645341338e5ea3a6c04cd3bb"/>
                          <w:lock w:val="sdtLocked"/>
                          <w:richText/>
                        </w:sdtPr>
                        <w:sdtContent>
                          <w:r>
                            <w:t>110.2</w:t>
                          </w:r>
                        </w:sdtContent>
                      </w:sdt>
                      <w:r>
                        <w:t>. kai vandens nuvedimas nuo stogų neįrengtas – ne mažiau kaip 1,5 m nuo užstatymo linijos.</w:t>
                      </w:r>
                    </w:p>
                  </w:sdtContent>
                </w:sdt>
              </w:sdtContent>
            </w:sdt>
            <w:sdt>
              <w:sdtPr>
                <w:alias w:val="111 p."/>
                <w:tag w:val="part_3806407e2d89483a87940e72d3f1580d"/>
                <w:lock w:val="sdtLocked"/>
                <w:richText/>
              </w:sdtPr>
              <w:sdtContent>
                <w:p>
                  <w:pPr>
                    <w:ind w:firstLine="709"/>
                    <w:jc w:val="both"/>
                  </w:pPr>
                  <w:sdt>
                    <w:sdtPr>
                      <w:alias w:val="Numeris"/>
                      <w:tag w:val="nr_3806407e2d89483a87940e72d3f1580d"/>
                      <w:lock w:val="sdtLocked"/>
                      <w:richText/>
                    </w:sdtPr>
                    <w:sdtContent>
                      <w:r>
                        <w:t>111</w:t>
                      </w:r>
                    </w:sdtContent>
                  </w:sdt>
                  <w:r>
                    <w:t>. Šaligatvio plotis turi būti kartotinis 0,75 m pločio eismo juostai. Šaligatvio eismo juostų skaičius turi būti nustatytas priklausomai nuo dirbančiųjų skaičiaus didžiausioje pamainoje statinyje (ar statinių grupėje), į kurį tiesiamas šaligatvis, skiriant vienai juostai 750 žm. pamainoje. Minimalus šaligatvio plotis turi būti ne mažesnis kaip 1,5 m.</w:t>
                  </w:r>
                </w:p>
                <w:p>
                  <w:pPr>
                    <w:ind w:firstLine="709"/>
                    <w:jc w:val="both"/>
                  </w:pPr>
                  <w:r>
                    <w:t>Kai pėsčiųjų eismo intensyvumas abiem kryptimis mažesnis kaip 100 žm. per val., leidžiama įrengti 1 m pločio šaligatvius, o jei jais judės žmonės su negalia, naudojantieji kėdes-vežimėlius, – 1,2 m pločio.</w:t>
                  </w:r>
                </w:p>
              </w:sdtContent>
            </w:sdt>
            <w:sdt>
              <w:sdtPr>
                <w:alias w:val="112 p."/>
                <w:tag w:val="part_bc36417e719242bfb70e4bb880718b8a"/>
                <w:lock w:val="sdtLocked"/>
                <w:richText/>
              </w:sdtPr>
              <w:sdtContent>
                <w:p>
                  <w:pPr>
                    <w:ind w:firstLine="709"/>
                    <w:jc w:val="both"/>
                  </w:pPr>
                  <w:sdt>
                    <w:sdtPr>
                      <w:alias w:val="Numeris"/>
                      <w:tag w:val="nr_bc36417e719242bfb70e4bb880718b8a"/>
                      <w:lock w:val="sdtLocked"/>
                      <w:richText/>
                    </w:sdtPr>
                    <w:sdtContent>
                      <w:r>
                        <w:t>112</w:t>
                      </w:r>
                    </w:sdtContent>
                  </w:sdt>
                  <w:r>
                    <w:t>. Šaligatvių, skirtų galimam žmonių su negalia, naudojančių vežimėlius, judėjimui, nuolydžiai neturi būti didesni, nei nustatyta STR 2.03.01:2001 [4.3.5]. Tokių šaligatvių susikirtimuose su Sklypo automobilių kelių važiuojamąja dalimi borto aukštis neturi būti didesnis kaip 4 cm.</w:t>
                  </w:r>
                </w:p>
              </w:sdtContent>
            </w:sdt>
            <w:sdt>
              <w:sdtPr>
                <w:alias w:val="113 p."/>
                <w:tag w:val="part_b17092a4427d4c99b6df3a32a433e2c2"/>
                <w:lock w:val="sdtLocked"/>
                <w:richText/>
              </w:sdtPr>
              <w:sdtContent>
                <w:p>
                  <w:pPr>
                    <w:ind w:firstLine="709"/>
                    <w:jc w:val="both"/>
                  </w:pPr>
                  <w:sdt>
                    <w:sdtPr>
                      <w:alias w:val="Numeris"/>
                      <w:tag w:val="nr_b17092a4427d4c99b6df3a32a433e2c2"/>
                      <w:lock w:val="sdtLocked"/>
                      <w:richText/>
                    </w:sdtPr>
                    <w:sdtContent>
                      <w:r>
                        <w:t>113</w:t>
                      </w:r>
                    </w:sdtContent>
                  </w:sdt>
                  <w:r>
                    <w:t>. Šaligatviai, klojami gretimame ar tame pačiame pylime su automobilių keliu, turi būti atskirti nuo kelio skiriamąja juosta, kurios plotis ne mažesnis kaip 0,8 m. Šaligatvių išdėstymas prie pat kelio leidžiamas tik įmonės rekonstravimo sąlygomis.</w:t>
                  </w:r>
                </w:p>
              </w:sdtContent>
            </w:sdt>
            <w:sdt>
              <w:sdtPr>
                <w:alias w:val="114 p."/>
                <w:tag w:val="part_a48af28d4f604c80a2e19c598e8b6535"/>
                <w:lock w:val="sdtLocked"/>
                <w:richText/>
              </w:sdtPr>
              <w:sdtContent>
                <w:p>
                  <w:pPr>
                    <w:ind w:firstLine="709"/>
                    <w:jc w:val="both"/>
                  </w:pPr>
                  <w:sdt>
                    <w:sdtPr>
                      <w:alias w:val="Numeris"/>
                      <w:tag w:val="nr_a48af28d4f604c80a2e19c598e8b6535"/>
                      <w:lock w:val="sdtLocked"/>
                      <w:richText/>
                    </w:sdtPr>
                    <w:sdtContent>
                      <w:r>
                        <w:t>114</w:t>
                      </w:r>
                    </w:sdtContent>
                  </w:sdt>
                  <w:r>
                    <w:t>. Kai šaligatvis priglaustas prie važiuojamosios dalies, šaligatvis turi būti borto lygyje, bet aukščiau važiuojamosios dalies ne mažiau kaip 15 cm.</w:t>
                  </w:r>
                </w:p>
                <w:p>
                  <w:pPr>
                    <w:ind w:firstLine="709"/>
                    <w:jc w:val="both"/>
                  </w:pPr>
                  <w:r>
                    <w:t>Kai rekonstruojami statiniai ankštuose Sklypuose, leidžiama atitinkamai pagrindus padidinti kelių plotį skiriančių juos nuo šaligatvių želdinių juostų sąskaita (kompensuojant želdinių plotą kitoje Sklypo vietoje arba sodinant medžius ir krūmus konteineriuose), o, kai jų nėra, – šaligatvių sąskaita, juos perstumiant.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5DC74875D7">
                    <w:r w:rsidRPr="00532B9F">
                      <w:rPr>
                        <w:rFonts w:ascii="Times New Roman" w:eastAsia="MS Mincho" w:hAnsi="Times New Roman"/>
                        <w:sz w:val="20"/>
                        <w:i/>
                        <w:iCs/>
                        <w:color w:val="0000FF" w:themeColor="hyperlink"/>
                        <w:u w:val="single"/>
                      </w:rPr>
                      <w:t>D1-851</w:t>
                    </w:r>
                  </w:fldSimple>
                  <w:r>
                    <w:rPr>
                      <w:rFonts w:ascii="Times New Roman" w:eastAsia="MS Mincho" w:hAnsi="Times New Roman"/>
                      <w:sz w:val="20"/>
                      <w:i/>
                      <w:iCs/>
                    </w:rPr>
                    <w:t>,
2011-11-05,
Žin., 2011, Nr.
134-6384 (2011-11-10), i. k. 111301MISAK00D1-851            </w:t>
                  </w:r>
                </w:p>
                <w:p/>
              </w:sdtContent>
            </w:sdt>
            <w:sdt>
              <w:sdtPr>
                <w:alias w:val="115 p."/>
                <w:tag w:val="part_c01c0d82de434f18be2a242e757d8250"/>
                <w:lock w:val="sdtLocked"/>
                <w:richText/>
              </w:sdtPr>
              <w:sdtContent>
                <w:p>
                  <w:pPr>
                    <w:ind w:firstLine="709"/>
                    <w:jc w:val="both"/>
                  </w:pPr>
                  <w:sdt>
                    <w:sdtPr>
                      <w:alias w:val="Numeris"/>
                      <w:tag w:val="nr_c01c0d82de434f18be2a242e757d8250"/>
                      <w:lock w:val="sdtLocked"/>
                      <w:richText/>
                    </w:sdtPr>
                    <w:sdtContent>
                      <w:r>
                        <w:t>115</w:t>
                      </w:r>
                    </w:sdtContent>
                  </w:sdt>
                  <w:r>
                    <w:t>. Sklype sankirtos su geležinkeliais intensyvaus dirbančiųjų praėjimo vietose neleidžiamos. Pagrindus nurodytų sankirtų viename lygyje būtinumą, jose turi būti įrengti šviesoforai ir garsinė signalizacija, o taip pat užtikrintas matomumas, ne mažesnis už nustatytą normatyviniuose kelių saugos ir paskirties dokumentuose.</w:t>
                  </w:r>
                </w:p>
              </w:sdtContent>
            </w:sdt>
            <w:sdt>
              <w:sdtPr>
                <w:alias w:val="116 p."/>
                <w:tag w:val="part_45970ecc9c5244a9a92770b96b78a226"/>
                <w:lock w:val="sdtLocked"/>
                <w:richText/>
              </w:sdtPr>
              <w:sdtContent>
                <w:p>
                  <w:pPr>
                    <w:ind w:firstLine="709"/>
                    <w:jc w:val="both"/>
                  </w:pPr>
                  <w:sdt>
                    <w:sdtPr>
                      <w:alias w:val="Numeris"/>
                      <w:tag w:val="nr_45970ecc9c5244a9a92770b96b78a226"/>
                      <w:lock w:val="sdtLocked"/>
                      <w:richText/>
                    </w:sdtPr>
                    <w:sdtContent>
                      <w:r>
                        <w:t>116</w:t>
                      </w:r>
                    </w:sdtContent>
                  </w:sdt>
                  <w:r>
                    <w:t>. Sankirtos skirtinguose lygiuose turi būti numatyti šiais atvejais: persikertant stoties, tarp jų – ištraukimo keliams; pervežant keliais skystus metalus ir šlaką; vykdant persikertančiuose keliuose manevrinius darbus ir neesant galimybės jų nutraukti intensyvaus žmonių eismo metu; užlaikant vagonus kelyje; intensyviai judant (daugiau kaip 50 maršrutų į parą abiem kryptimis).</w:t>
                  </w:r>
                </w:p>
              </w:sdtContent>
            </w:sdt>
            <w:sdt>
              <w:sdtPr>
                <w:alias w:val="117 p."/>
                <w:tag w:val="part_9785b19cc052440aa8cda3938994401b"/>
                <w:lock w:val="sdtLocked"/>
                <w:richText/>
              </w:sdtPr>
              <w:sdtContent>
                <w:p>
                  <w:pPr>
                    <w:ind w:firstLine="709"/>
                    <w:jc w:val="both"/>
                  </w:pPr>
                  <w:sdt>
                    <w:sdtPr>
                      <w:alias w:val="Numeris"/>
                      <w:tag w:val="nr_9785b19cc052440aa8cda3938994401b"/>
                      <w:lock w:val="sdtLocked"/>
                      <w:richText/>
                    </w:sdtPr>
                    <w:sdtContent>
                      <w:r>
                        <w:t>117</w:t>
                      </w:r>
                    </w:sdtContent>
                  </w:sdt>
                  <w:r>
                    <w:t>. Kai įmonės teritorijoje numatytas žmonių su negalia, naudojančių vežimėlius, eismas, pėsčiųjų eismo tuneliuose turi būti įrengti pandusai [4.3.5].</w:t>
                  </w:r>
                </w:p>
                <w:p>
                  <w:pPr>
                    <w:ind w:firstLine="709"/>
                    <w:jc w:val="both"/>
                  </w:pPr>
                </w:p>
              </w:sdtContent>
            </w:sdt>
          </w:sdtContent>
        </w:sdt>
        <w:sdt>
          <w:sdtPr>
            <w:alias w:val="skyrius"/>
            <w:tag w:val="part_36b33c01d0824b84b11da5a33801fd13"/>
            <w:lock w:val="sdtLocked"/>
            <w:richText/>
          </w:sdtPr>
          <w:sdtContent>
            <w:p>
              <w:pPr>
                <w:jc w:val="center"/>
                <w:rPr>
                  <w:b/>
                </w:rPr>
              </w:pPr>
              <w:sdt>
                <w:sdtPr>
                  <w:alias w:val="Numeris"/>
                  <w:tag w:val="nr_36b33c01d0824b84b11da5a33801fd13"/>
                  <w:lock w:val="sdtLocked"/>
                  <w:richText/>
                </w:sdtPr>
                <w:sdtContent>
                  <w:r>
                    <w:rPr>
                      <w:b/>
                    </w:rPr>
                    <w:t>XI</w:t>
                  </w:r>
                </w:sdtContent>
              </w:sdt>
              <w:r>
                <w:rPr>
                  <w:b/>
                </w:rPr>
                <w:t xml:space="preserve"> SKYRIUS. </w:t>
              </w:r>
              <w:sdt>
                <w:sdtPr>
                  <w:alias w:val="Pavadinimas"/>
                  <w:tag w:val="title_36b33c01d0824b84b11da5a33801fd13"/>
                  <w:lock w:val="sdtLocked"/>
                  <w:richText/>
                </w:sdtPr>
                <w:sdtContent>
                  <w:r>
                    <w:rPr>
                      <w:b/>
                    </w:rPr>
                    <w:t>BAIGIAMOSIOS NUOSTATOS</w:t>
                  </w:r>
                </w:sdtContent>
              </w:sdt>
            </w:p>
            <w:p>
              <w:pPr>
                <w:jc w:val="center"/>
                <w:rPr>
                  <w:b/>
                </w:rPr>
              </w:pPr>
            </w:p>
            <w:sdt>
              <w:sdtPr>
                <w:alias w:val="118 p."/>
                <w:tag w:val="part_94f412e6e41f4b2db6f6915b996db4db"/>
                <w:lock w:val="sdtLocked"/>
                <w:richText/>
              </w:sdtPr>
              <w:sdtContent>
                <w:p>
                  <w:pPr>
                    <w:ind w:firstLine="709"/>
                    <w:jc w:val="both"/>
                  </w:pPr>
                  <w:sdt>
                    <w:sdtPr>
                      <w:alias w:val="Numeris"/>
                      <w:tag w:val="nr_94f412e6e41f4b2db6f6915b996db4db"/>
                      <w:lock w:val="sdtLocked"/>
                      <w:richText/>
                    </w:sdtPr>
                    <w:sdtContent>
                      <w:r>
                        <w:t>118</w:t>
                      </w:r>
                    </w:sdtContent>
                  </w:sdt>
                  <w:r>
                    <w:t>. Ginčai dėl Reglamento taikymo nagrinėjami įstatymų nustatyta tvarka.</w:t>
                  </w:r>
                </w:p>
              </w:sdtContent>
            </w:sdt>
          </w:sdtContent>
        </w:sdt>
        <w:sdt>
          <w:sdtPr>
            <w:alias w:val="pabaiga"/>
            <w:tag w:val="part_443698374cbf4e37b5d30c2a58f7cc48"/>
            <w:lock w:val="sdtLocked"/>
            <w:richText/>
          </w:sdtPr>
          <w:sdtContent>
            <w:p>
              <w:pPr>
                <w:jc w:val="center"/>
                <w:rPr>
                  <w:caps/>
                  <w:szCs w:val="24"/>
                  <w:lang w:eastAsia="ar-SA"/>
                </w:rPr>
              </w:pPr>
              <w:r>
                <w:t>______________</w:t>
              </w:r>
            </w:p>
          </w:sdtContent>
        </w:sdt>
      </w:sdtContent>
    </w:sdt>
    <w:sdt>
      <w:sdtPr>
        <w:alias w:val="1 pr."/>
        <w:tag w:val="part_276b0321d7ff4dbd86651f2d66847ad0"/>
        <w:lock w:val="sdtLocked"/>
        <w:richText/>
      </w:sdtPr>
      <w:sdtContent>
        <w:p>
          <w:pPr>
            <w:suppressAutoHyphens/>
            <w:ind w:firstLine="5102"/>
          </w:pPr>
          <w:r>
            <w:br w:type="page"/>
          </w:r>
        </w:p>
        <w:p>
          <w:pPr>
            <w:suppressAutoHyphens/>
            <w:ind w:firstLine="5102"/>
            <w:rPr>
              <w:caps/>
              <w:szCs w:val="24"/>
              <w:lang w:eastAsia="ar-SA"/>
            </w:rPr>
          </w:pPr>
          <w:r>
            <w:rPr>
              <w:caps/>
              <w:szCs w:val="24"/>
              <w:lang w:eastAsia="ar-SA"/>
            </w:rPr>
            <w:t xml:space="preserve">STR 2.03.02:2005 </w:t>
          </w:r>
        </w:p>
        <w:p>
          <w:pPr>
            <w:suppressAutoHyphens/>
            <w:ind w:firstLine="5102"/>
            <w:rPr>
              <w:szCs w:val="24"/>
              <w:lang w:eastAsia="ar-SA"/>
            </w:rPr>
          </w:pPr>
          <w:sdt>
            <w:sdtPr>
              <w:alias w:val="Numeris"/>
              <w:tag w:val="nr_276b0321d7ff4dbd86651f2d66847ad0"/>
              <w:lock w:val="sdtLocked"/>
              <w:richText/>
            </w:sdtPr>
            <w:sdtContent>
              <w:r>
                <w:rPr>
                  <w:caps/>
                  <w:szCs w:val="24"/>
                  <w:lang w:eastAsia="ar-SA"/>
                </w:rPr>
                <w:t>1</w:t>
              </w:r>
            </w:sdtContent>
          </w:sdt>
          <w:r>
            <w:rPr>
              <w:caps/>
              <w:szCs w:val="24"/>
              <w:lang w:eastAsia="ar-SA"/>
            </w:rPr>
            <w:t xml:space="preserve"> </w:t>
          </w:r>
          <w:r>
            <w:rPr>
              <w:szCs w:val="24"/>
              <w:lang w:eastAsia="ar-SA"/>
            </w:rPr>
            <w:t>priedas</w:t>
          </w:r>
        </w:p>
        <w:p>
          <w:pPr>
            <w:suppressAutoHyphens/>
            <w:jc w:val="center"/>
            <w:rPr>
              <w:szCs w:val="24"/>
              <w:lang w:eastAsia="ar-SA"/>
            </w:rPr>
          </w:pPr>
        </w:p>
        <w:p>
          <w:pPr>
            <w:suppressAutoHyphens/>
            <w:jc w:val="center"/>
            <w:rPr>
              <w:b/>
              <w:szCs w:val="24"/>
              <w:lang w:eastAsia="ar-SA"/>
            </w:rPr>
          </w:pPr>
          <w:sdt>
            <w:sdtPr>
              <w:alias w:val="Pavadinimas"/>
              <w:tag w:val="title_276b0321d7ff4dbd86651f2d66847ad0"/>
              <w:lock w:val="sdtLocked"/>
              <w:richText/>
            </w:sdtPr>
            <w:sdtContent>
              <w:r>
                <w:rPr>
                  <w:b/>
                  <w:bCs/>
                  <w:szCs w:val="24"/>
                  <w:lang w:eastAsia="ar-SA"/>
                </w:rPr>
                <w:t>MAŽIAUSI LEIDŽIAMI PRIEŠGAISRINIAI ATSTUMAI TARP STATIN</w:t>
              </w:r>
              <w:r>
                <w:rPr>
                  <w:b/>
                  <w:szCs w:val="24"/>
                  <w:lang w:eastAsia="ar-SA"/>
                </w:rPr>
                <w:t>IŲ</w:t>
              </w:r>
            </w:sdtContent>
          </w:sdt>
        </w:p>
        <w:p>
          <w:pPr>
            <w:suppressAutoHyphens/>
            <w:ind w:firstLine="709"/>
            <w:jc w:val="both"/>
            <w:rPr>
              <w:caps/>
              <w:szCs w:val="24"/>
              <w:lang w:eastAsia="ar-SA"/>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06"/>
            <w:gridCol w:w="2407"/>
            <w:gridCol w:w="2407"/>
            <w:gridCol w:w="2417"/>
          </w:tblGrid>
          <w:tr>
            <w:trPr>
              <w:cantSplit/>
              <w:trHeight w:val="20"/>
            </w:trPr>
            <w:tc>
              <w:tcPr>
                <w:tcW w:w="2214" w:type="dxa"/>
                <w:vMerge w:val="restart"/>
                <w:tcBorders>
                  <w:top w:val="single" w:sz="4" w:space="0" w:color="auto"/>
                  <w:left w:val="single" w:sz="4" w:space="0" w:color="auto"/>
                  <w:bottom w:val="single" w:sz="4" w:space="0" w:color="auto"/>
                  <w:right w:val="single" w:sz="4" w:space="0" w:color="auto"/>
                </w:tcBorders>
                <w:vAlign w:val="center"/>
              </w:tcPr>
              <w:p>
                <w:pPr>
                  <w:suppressAutoHyphens/>
                  <w:jc w:val="center"/>
                  <w:rPr>
                    <w:caps/>
                    <w:sz w:val="20"/>
                    <w:szCs w:val="24"/>
                    <w:lang w:eastAsia="ar-SA"/>
                  </w:rPr>
                </w:pPr>
                <w:r>
                  <w:rPr>
                    <w:caps/>
                    <w:sz w:val="20"/>
                    <w:szCs w:val="24"/>
                    <w:lang w:eastAsia="ar-SA"/>
                  </w:rPr>
                  <w:t>statinio ugniai atsparumo laipsnis</w:t>
                </w:r>
              </w:p>
            </w:tc>
            <w:tc>
              <w:tcPr>
                <w:tcW w:w="6652" w:type="dxa"/>
                <w:gridSpan w:val="3"/>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Atstumas, m, iki statinio, kurio ugniai atsparumo laipsnis yra</w:t>
                </w:r>
              </w:p>
            </w:tc>
          </w:tr>
          <w:tr>
            <w:trPr>
              <w:cantSplit/>
              <w:trHeight w:val="20"/>
            </w:trPr>
            <w:tc>
              <w:tcPr>
                <w:tcW w:w="2214" w:type="dxa"/>
                <w:vMerge/>
                <w:tcBorders>
                  <w:top w:val="single" w:sz="4" w:space="0" w:color="auto"/>
                  <w:left w:val="single" w:sz="4" w:space="0" w:color="auto"/>
                  <w:bottom w:val="single" w:sz="4" w:space="0" w:color="auto"/>
                  <w:right w:val="single" w:sz="4" w:space="0" w:color="auto"/>
                </w:tcBorders>
                <w:vAlign w:val="center"/>
              </w:tcPr>
              <w:p>
                <w:pPr>
                  <w:rPr>
                    <w:caps/>
                    <w:sz w:val="20"/>
                    <w:szCs w:val="24"/>
                    <w:lang w:eastAsia="ar-SA"/>
                  </w:rPr>
                </w:pPr>
              </w:p>
            </w:tc>
            <w:tc>
              <w:tcPr>
                <w:tcW w:w="2214" w:type="dxa"/>
                <w:tcBorders>
                  <w:top w:val="single" w:sz="4" w:space="0" w:color="auto"/>
                  <w:left w:val="single" w:sz="4" w:space="0" w:color="auto"/>
                  <w:bottom w:val="single" w:sz="4" w:space="0" w:color="auto"/>
                  <w:right w:val="single" w:sz="4" w:space="0" w:color="auto"/>
                </w:tcBorders>
                <w:vAlign w:val="center"/>
              </w:tcPr>
              <w:p>
                <w:pPr>
                  <w:suppressAutoHyphens/>
                  <w:jc w:val="center"/>
                  <w:rPr>
                    <w:caps/>
                    <w:sz w:val="20"/>
                    <w:szCs w:val="24"/>
                    <w:lang w:eastAsia="ar-SA"/>
                  </w:rPr>
                </w:pPr>
                <w:r>
                  <w:rPr>
                    <w:caps/>
                    <w:sz w:val="20"/>
                    <w:szCs w:val="24"/>
                    <w:lang w:eastAsia="ar-SA"/>
                  </w:rPr>
                  <w:t>I</w:t>
                </w:r>
              </w:p>
            </w:tc>
            <w:tc>
              <w:tcPr>
                <w:tcW w:w="2214" w:type="dxa"/>
                <w:tcBorders>
                  <w:top w:val="single" w:sz="4" w:space="0" w:color="auto"/>
                  <w:left w:val="single" w:sz="4" w:space="0" w:color="auto"/>
                  <w:bottom w:val="single" w:sz="4" w:space="0" w:color="auto"/>
                  <w:right w:val="single" w:sz="4" w:space="0" w:color="auto"/>
                </w:tcBorders>
                <w:vAlign w:val="center"/>
              </w:tcPr>
              <w:p>
                <w:pPr>
                  <w:suppressAutoHyphens/>
                  <w:jc w:val="center"/>
                  <w:rPr>
                    <w:caps/>
                    <w:sz w:val="20"/>
                    <w:szCs w:val="24"/>
                    <w:lang w:eastAsia="ar-SA"/>
                  </w:rPr>
                </w:pPr>
                <w:r>
                  <w:rPr>
                    <w:caps/>
                    <w:sz w:val="20"/>
                    <w:szCs w:val="24"/>
                    <w:lang w:eastAsia="ar-SA"/>
                  </w:rPr>
                  <w:t>II</w:t>
                </w:r>
              </w:p>
            </w:tc>
            <w:tc>
              <w:tcPr>
                <w:tcW w:w="2224" w:type="dxa"/>
                <w:tcBorders>
                  <w:top w:val="single" w:sz="4" w:space="0" w:color="auto"/>
                  <w:left w:val="single" w:sz="4" w:space="0" w:color="auto"/>
                  <w:bottom w:val="single" w:sz="4" w:space="0" w:color="auto"/>
                  <w:right w:val="single" w:sz="4" w:space="0" w:color="auto"/>
                </w:tcBorders>
                <w:vAlign w:val="center"/>
              </w:tcPr>
              <w:p>
                <w:pPr>
                  <w:suppressAutoHyphens/>
                  <w:jc w:val="center"/>
                  <w:rPr>
                    <w:caps/>
                    <w:sz w:val="20"/>
                    <w:szCs w:val="24"/>
                    <w:lang w:eastAsia="ar-SA"/>
                  </w:rPr>
                </w:pPr>
                <w:r>
                  <w:rPr>
                    <w:caps/>
                    <w:sz w:val="20"/>
                    <w:szCs w:val="24"/>
                    <w:lang w:eastAsia="ar-SA"/>
                  </w:rPr>
                  <w:t>III</w:t>
                </w:r>
              </w:p>
            </w:tc>
          </w:tr>
          <w:tr>
            <w:trPr>
              <w:cantSplit/>
              <w:trHeight w:val="20"/>
            </w:trPr>
            <w:tc>
              <w:tcPr>
                <w:tcW w:w="2214" w:type="dxa"/>
                <w:tcBorders>
                  <w:top w:val="single" w:sz="4" w:space="0" w:color="auto"/>
                  <w:left w:val="single" w:sz="4" w:space="0" w:color="auto"/>
                  <w:bottom w:val="single" w:sz="4" w:space="0" w:color="auto"/>
                  <w:right w:val="single" w:sz="4" w:space="0" w:color="auto"/>
                </w:tcBorders>
                <w:vAlign w:val="center"/>
              </w:tcPr>
              <w:p>
                <w:pPr>
                  <w:tabs>
                    <w:tab w:val="num" w:pos="0"/>
                  </w:tabs>
                  <w:suppressAutoHyphens/>
                  <w:jc w:val="center"/>
                  <w:outlineLvl w:val="8"/>
                  <w:rPr>
                    <w:caps/>
                    <w:sz w:val="20"/>
                    <w:szCs w:val="24"/>
                    <w:lang w:eastAsia="ar-SA"/>
                  </w:rPr>
                </w:pPr>
                <w:r>
                  <w:rPr>
                    <w:caps/>
                    <w:sz w:val="20"/>
                    <w:szCs w:val="24"/>
                    <w:lang w:eastAsia="ar-SA"/>
                  </w:rPr>
                  <w:t>I</w:t>
                </w:r>
              </w:p>
            </w:tc>
            <w:tc>
              <w:tcPr>
                <w:tcW w:w="2214" w:type="dxa"/>
                <w:tcBorders>
                  <w:top w:val="single" w:sz="4" w:space="0" w:color="auto"/>
                  <w:left w:val="single" w:sz="4" w:space="0" w:color="auto"/>
                  <w:bottom w:val="single" w:sz="4" w:space="0" w:color="auto"/>
                  <w:right w:val="single" w:sz="4" w:space="0" w:color="auto"/>
                </w:tcBorders>
                <w:vAlign w:val="center"/>
              </w:tcPr>
              <w:p>
                <w:pPr>
                  <w:suppressAutoHyphens/>
                  <w:jc w:val="center"/>
                  <w:rPr>
                    <w:caps/>
                    <w:sz w:val="20"/>
                    <w:szCs w:val="24"/>
                    <w:lang w:eastAsia="ar-SA"/>
                  </w:rPr>
                </w:pPr>
                <w:r>
                  <w:rPr>
                    <w:caps/>
                    <w:sz w:val="20"/>
                    <w:szCs w:val="24"/>
                    <w:lang w:eastAsia="ar-SA"/>
                  </w:rPr>
                  <w:t>6</w:t>
                </w:r>
              </w:p>
            </w:tc>
            <w:tc>
              <w:tcPr>
                <w:tcW w:w="2214" w:type="dxa"/>
                <w:tcBorders>
                  <w:top w:val="single" w:sz="4" w:space="0" w:color="auto"/>
                  <w:left w:val="single" w:sz="4" w:space="0" w:color="auto"/>
                  <w:bottom w:val="single" w:sz="4" w:space="0" w:color="auto"/>
                  <w:right w:val="single" w:sz="4" w:space="0" w:color="auto"/>
                </w:tcBorders>
                <w:vAlign w:val="center"/>
              </w:tcPr>
              <w:p>
                <w:pPr>
                  <w:suppressAutoHyphens/>
                  <w:jc w:val="center"/>
                  <w:rPr>
                    <w:caps/>
                    <w:sz w:val="20"/>
                    <w:szCs w:val="24"/>
                    <w:lang w:eastAsia="ar-SA"/>
                  </w:rPr>
                </w:pPr>
                <w:r>
                  <w:rPr>
                    <w:caps/>
                    <w:sz w:val="20"/>
                    <w:szCs w:val="24"/>
                    <w:lang w:eastAsia="ar-SA"/>
                  </w:rPr>
                  <w:t>8</w:t>
                </w:r>
              </w:p>
            </w:tc>
            <w:tc>
              <w:tcPr>
                <w:tcW w:w="2224" w:type="dxa"/>
                <w:tcBorders>
                  <w:top w:val="single" w:sz="4" w:space="0" w:color="auto"/>
                  <w:left w:val="single" w:sz="4" w:space="0" w:color="auto"/>
                  <w:bottom w:val="single" w:sz="4" w:space="0" w:color="auto"/>
                  <w:right w:val="single" w:sz="4" w:space="0" w:color="auto"/>
                </w:tcBorders>
                <w:vAlign w:val="center"/>
              </w:tcPr>
              <w:p>
                <w:pPr>
                  <w:suppressAutoHyphens/>
                  <w:jc w:val="center"/>
                  <w:rPr>
                    <w:caps/>
                    <w:sz w:val="20"/>
                    <w:szCs w:val="24"/>
                    <w:lang w:eastAsia="ar-SA"/>
                  </w:rPr>
                </w:pPr>
                <w:r>
                  <w:rPr>
                    <w:caps/>
                    <w:sz w:val="20"/>
                    <w:szCs w:val="24"/>
                    <w:lang w:eastAsia="ar-SA"/>
                  </w:rPr>
                  <w:t>10</w:t>
                </w:r>
              </w:p>
            </w:tc>
          </w:tr>
          <w:tr>
            <w:trPr>
              <w:cantSplit/>
              <w:trHeight w:val="20"/>
            </w:trPr>
            <w:tc>
              <w:tcPr>
                <w:tcW w:w="2214" w:type="dxa"/>
                <w:tcBorders>
                  <w:top w:val="single" w:sz="4" w:space="0" w:color="auto"/>
                  <w:left w:val="single" w:sz="4" w:space="0" w:color="auto"/>
                  <w:bottom w:val="single" w:sz="4" w:space="0" w:color="auto"/>
                  <w:right w:val="single" w:sz="4" w:space="0" w:color="auto"/>
                </w:tcBorders>
                <w:vAlign w:val="center"/>
              </w:tcPr>
              <w:p>
                <w:pPr>
                  <w:suppressAutoHyphens/>
                  <w:jc w:val="center"/>
                  <w:rPr>
                    <w:caps/>
                    <w:sz w:val="20"/>
                    <w:szCs w:val="24"/>
                    <w:lang w:eastAsia="ar-SA"/>
                  </w:rPr>
                </w:pPr>
                <w:r>
                  <w:rPr>
                    <w:caps/>
                    <w:sz w:val="20"/>
                    <w:szCs w:val="24"/>
                    <w:lang w:eastAsia="ar-SA"/>
                  </w:rPr>
                  <w:t>II</w:t>
                </w:r>
              </w:p>
            </w:tc>
            <w:tc>
              <w:tcPr>
                <w:tcW w:w="2214" w:type="dxa"/>
                <w:tcBorders>
                  <w:top w:val="single" w:sz="4" w:space="0" w:color="auto"/>
                  <w:left w:val="single" w:sz="4" w:space="0" w:color="auto"/>
                  <w:bottom w:val="single" w:sz="4" w:space="0" w:color="auto"/>
                  <w:right w:val="single" w:sz="4" w:space="0" w:color="auto"/>
                </w:tcBorders>
                <w:vAlign w:val="center"/>
              </w:tcPr>
              <w:p>
                <w:pPr>
                  <w:suppressAutoHyphens/>
                  <w:jc w:val="center"/>
                  <w:rPr>
                    <w:caps/>
                    <w:sz w:val="20"/>
                    <w:szCs w:val="24"/>
                    <w:lang w:eastAsia="ar-SA"/>
                  </w:rPr>
                </w:pPr>
                <w:r>
                  <w:rPr>
                    <w:caps/>
                    <w:sz w:val="20"/>
                    <w:szCs w:val="24"/>
                    <w:lang w:eastAsia="ar-SA"/>
                  </w:rPr>
                  <w:t>8</w:t>
                </w:r>
              </w:p>
            </w:tc>
            <w:tc>
              <w:tcPr>
                <w:tcW w:w="2214" w:type="dxa"/>
                <w:tcBorders>
                  <w:top w:val="single" w:sz="4" w:space="0" w:color="auto"/>
                  <w:left w:val="single" w:sz="4" w:space="0" w:color="auto"/>
                  <w:bottom w:val="single" w:sz="4" w:space="0" w:color="auto"/>
                  <w:right w:val="single" w:sz="4" w:space="0" w:color="auto"/>
                </w:tcBorders>
                <w:vAlign w:val="center"/>
              </w:tcPr>
              <w:p>
                <w:pPr>
                  <w:suppressAutoHyphens/>
                  <w:jc w:val="center"/>
                  <w:rPr>
                    <w:caps/>
                    <w:sz w:val="20"/>
                    <w:szCs w:val="24"/>
                    <w:lang w:eastAsia="ar-SA"/>
                  </w:rPr>
                </w:pPr>
                <w:r>
                  <w:rPr>
                    <w:caps/>
                    <w:sz w:val="20"/>
                    <w:szCs w:val="24"/>
                    <w:lang w:eastAsia="ar-SA"/>
                  </w:rPr>
                  <w:t>8</w:t>
                </w:r>
              </w:p>
            </w:tc>
            <w:tc>
              <w:tcPr>
                <w:tcW w:w="2224" w:type="dxa"/>
                <w:tcBorders>
                  <w:top w:val="single" w:sz="4" w:space="0" w:color="auto"/>
                  <w:left w:val="single" w:sz="4" w:space="0" w:color="auto"/>
                  <w:bottom w:val="single" w:sz="4" w:space="0" w:color="auto"/>
                  <w:right w:val="single" w:sz="4" w:space="0" w:color="auto"/>
                </w:tcBorders>
                <w:vAlign w:val="center"/>
              </w:tcPr>
              <w:p>
                <w:pPr>
                  <w:suppressAutoHyphens/>
                  <w:jc w:val="center"/>
                  <w:rPr>
                    <w:caps/>
                    <w:sz w:val="20"/>
                    <w:szCs w:val="24"/>
                    <w:lang w:eastAsia="ar-SA"/>
                  </w:rPr>
                </w:pPr>
                <w:r>
                  <w:rPr>
                    <w:caps/>
                    <w:sz w:val="20"/>
                    <w:szCs w:val="24"/>
                    <w:lang w:eastAsia="ar-SA"/>
                  </w:rPr>
                  <w:t>10</w:t>
                </w:r>
              </w:p>
            </w:tc>
          </w:tr>
          <w:tr>
            <w:trPr>
              <w:cantSplit/>
              <w:trHeight w:val="20"/>
            </w:trPr>
            <w:tc>
              <w:tcPr>
                <w:tcW w:w="2214" w:type="dxa"/>
                <w:tcBorders>
                  <w:top w:val="single" w:sz="4" w:space="0" w:color="auto"/>
                  <w:left w:val="single" w:sz="4" w:space="0" w:color="auto"/>
                  <w:bottom w:val="single" w:sz="4" w:space="0" w:color="auto"/>
                  <w:right w:val="single" w:sz="4" w:space="0" w:color="auto"/>
                </w:tcBorders>
                <w:vAlign w:val="center"/>
              </w:tcPr>
              <w:p>
                <w:pPr>
                  <w:suppressAutoHyphens/>
                  <w:jc w:val="center"/>
                  <w:rPr>
                    <w:caps/>
                    <w:sz w:val="20"/>
                    <w:szCs w:val="24"/>
                    <w:lang w:eastAsia="ar-SA"/>
                  </w:rPr>
                </w:pPr>
                <w:r>
                  <w:rPr>
                    <w:caps/>
                    <w:sz w:val="20"/>
                    <w:szCs w:val="24"/>
                    <w:lang w:eastAsia="ar-SA"/>
                  </w:rPr>
                  <w:t>III</w:t>
                </w:r>
              </w:p>
            </w:tc>
            <w:tc>
              <w:tcPr>
                <w:tcW w:w="2214" w:type="dxa"/>
                <w:tcBorders>
                  <w:top w:val="single" w:sz="4" w:space="0" w:color="auto"/>
                  <w:left w:val="single" w:sz="4" w:space="0" w:color="auto"/>
                  <w:bottom w:val="single" w:sz="4" w:space="0" w:color="auto"/>
                  <w:right w:val="single" w:sz="4" w:space="0" w:color="auto"/>
                </w:tcBorders>
                <w:vAlign w:val="center"/>
              </w:tcPr>
              <w:p>
                <w:pPr>
                  <w:suppressAutoHyphens/>
                  <w:jc w:val="center"/>
                  <w:rPr>
                    <w:caps/>
                    <w:sz w:val="20"/>
                    <w:szCs w:val="24"/>
                    <w:lang w:eastAsia="ar-SA"/>
                  </w:rPr>
                </w:pPr>
                <w:r>
                  <w:rPr>
                    <w:caps/>
                    <w:sz w:val="20"/>
                    <w:szCs w:val="24"/>
                    <w:lang w:eastAsia="ar-SA"/>
                  </w:rPr>
                  <w:t>10</w:t>
                </w:r>
              </w:p>
            </w:tc>
            <w:tc>
              <w:tcPr>
                <w:tcW w:w="2214" w:type="dxa"/>
                <w:tcBorders>
                  <w:top w:val="single" w:sz="4" w:space="0" w:color="auto"/>
                  <w:left w:val="single" w:sz="4" w:space="0" w:color="auto"/>
                  <w:bottom w:val="single" w:sz="4" w:space="0" w:color="auto"/>
                  <w:right w:val="single" w:sz="4" w:space="0" w:color="auto"/>
                </w:tcBorders>
                <w:vAlign w:val="center"/>
              </w:tcPr>
              <w:p>
                <w:pPr>
                  <w:suppressAutoHyphens/>
                  <w:jc w:val="center"/>
                  <w:rPr>
                    <w:caps/>
                    <w:sz w:val="20"/>
                    <w:szCs w:val="24"/>
                    <w:lang w:eastAsia="ar-SA"/>
                  </w:rPr>
                </w:pPr>
                <w:r>
                  <w:rPr>
                    <w:caps/>
                    <w:sz w:val="20"/>
                    <w:szCs w:val="24"/>
                    <w:lang w:eastAsia="ar-SA"/>
                  </w:rPr>
                  <w:t>10</w:t>
                </w:r>
              </w:p>
            </w:tc>
            <w:tc>
              <w:tcPr>
                <w:tcW w:w="2224" w:type="dxa"/>
                <w:tcBorders>
                  <w:top w:val="single" w:sz="4" w:space="0" w:color="auto"/>
                  <w:left w:val="single" w:sz="4" w:space="0" w:color="auto"/>
                  <w:bottom w:val="single" w:sz="4" w:space="0" w:color="auto"/>
                  <w:right w:val="single" w:sz="4" w:space="0" w:color="auto"/>
                </w:tcBorders>
                <w:vAlign w:val="center"/>
              </w:tcPr>
              <w:p>
                <w:pPr>
                  <w:suppressAutoHyphens/>
                  <w:jc w:val="center"/>
                  <w:rPr>
                    <w:caps/>
                    <w:sz w:val="20"/>
                    <w:szCs w:val="24"/>
                    <w:lang w:eastAsia="ar-SA"/>
                  </w:rPr>
                </w:pPr>
                <w:r>
                  <w:rPr>
                    <w:caps/>
                    <w:sz w:val="20"/>
                    <w:szCs w:val="24"/>
                    <w:lang w:eastAsia="ar-SA"/>
                  </w:rPr>
                  <w:t>15</w:t>
                </w:r>
              </w:p>
            </w:tc>
          </w:tr>
        </w:tbl>
        <w:p>
          <w:pPr>
            <w:suppressAutoHyphens/>
            <w:ind w:firstLine="709"/>
            <w:jc w:val="both"/>
            <w:rPr>
              <w:b/>
              <w:bCs/>
              <w:caps/>
              <w:szCs w:val="24"/>
              <w:lang w:eastAsia="ar-SA"/>
            </w:rPr>
          </w:pPr>
        </w:p>
        <w:p>
          <w:pPr>
            <w:suppressAutoHyphens/>
            <w:ind w:firstLine="709"/>
            <w:jc w:val="both"/>
            <w:rPr>
              <w:i/>
              <w:iCs/>
              <w:szCs w:val="24"/>
              <w:lang w:eastAsia="ar-SA"/>
            </w:rPr>
          </w:pPr>
          <w:r>
            <w:rPr>
              <w:i/>
              <w:iCs/>
              <w:szCs w:val="24"/>
              <w:lang w:eastAsia="ar-SA"/>
            </w:rPr>
            <w:t>Pastabos:</w:t>
          </w:r>
        </w:p>
        <w:sdt>
          <w:sdtPr>
            <w:alias w:val="1 pr. 1 p."/>
            <w:tag w:val="part_2f1b9a0b259944588af80739bcc501ea"/>
            <w:lock w:val="sdtLocked"/>
            <w:richText/>
          </w:sdtPr>
          <w:sdtContent>
            <w:p>
              <w:pPr>
                <w:suppressAutoHyphens/>
                <w:ind w:firstLine="709"/>
                <w:jc w:val="both"/>
                <w:rPr>
                  <w:szCs w:val="24"/>
                  <w:lang w:eastAsia="ar-SA"/>
                </w:rPr>
              </w:pPr>
              <w:sdt>
                <w:sdtPr>
                  <w:alias w:val="Numeris"/>
                  <w:tag w:val="nr_2f1b9a0b259944588af80739bcc501ea"/>
                  <w:lock w:val="sdtLocked"/>
                  <w:richText/>
                </w:sdtPr>
                <w:sdtContent>
                  <w:r>
                    <w:rPr>
                      <w:szCs w:val="24"/>
                      <w:lang w:eastAsia="ar-SA"/>
                    </w:rPr>
                    <w:t>1</w:t>
                  </w:r>
                </w:sdtContent>
              </w:sdt>
              <w:r>
                <w:rPr>
                  <w:szCs w:val="24"/>
                  <w:lang w:eastAsia="ar-SA"/>
                </w:rPr>
                <w:t>. Priešgaisriniai atstumai nustatomi tarp statinių išorinių sienų. Jei statiniuose yra išsikišusių daugiau kaip 1 m konstrukcijų, pagamintų iš statybos produktų, kurių degumo klasės yra E, E</w:t>
              </w:r>
              <w:r>
                <w:rPr>
                  <w:szCs w:val="24"/>
                  <w:vertAlign w:val="subscript"/>
                  <w:lang w:eastAsia="ar-SA"/>
                </w:rPr>
                <w:t xml:space="preserve">FL, </w:t>
              </w:r>
              <w:r>
                <w:rPr>
                  <w:szCs w:val="24"/>
                  <w:lang w:eastAsia="ar-SA"/>
                </w:rPr>
                <w:t>E</w:t>
              </w:r>
              <w:r>
                <w:rPr>
                  <w:szCs w:val="24"/>
                  <w:vertAlign w:val="subscript"/>
                  <w:lang w:eastAsia="ar-SA"/>
                </w:rPr>
                <w:t>L,</w:t>
              </w:r>
              <w:r>
                <w:rPr>
                  <w:szCs w:val="24"/>
                  <w:lang w:eastAsia="ar-SA"/>
                </w:rPr>
                <w:t xml:space="preserve"> F, F</w:t>
              </w:r>
              <w:r>
                <w:rPr>
                  <w:szCs w:val="24"/>
                  <w:vertAlign w:val="subscript"/>
                  <w:lang w:eastAsia="ar-SA"/>
                </w:rPr>
                <w:t>FL</w:t>
              </w:r>
              <w:r>
                <w:rPr>
                  <w:szCs w:val="24"/>
                  <w:lang w:eastAsia="ar-SA"/>
                </w:rPr>
                <w:t>, F</w:t>
              </w:r>
              <w:r>
                <w:rPr>
                  <w:szCs w:val="24"/>
                  <w:vertAlign w:val="subscript"/>
                  <w:lang w:eastAsia="ar-SA"/>
                </w:rPr>
                <w:t xml:space="preserve">L </w:t>
              </w:r>
              <w:r>
                <w:rPr>
                  <w:szCs w:val="24"/>
                  <w:lang w:eastAsia="ar-SA"/>
                </w:rPr>
                <w:t>[</w:t>
              </w:r>
              <w:r>
                <w:rPr>
                  <w:color w:val="000000"/>
                </w:rPr>
                <w:t>4.4.11</w:t>
              </w:r>
              <w:r>
                <w:rPr>
                  <w:szCs w:val="24"/>
                  <w:lang w:eastAsia="ar-SA"/>
                </w:rPr>
                <w:t>], atstumai skaičiuojami nuo išsikišusių konstrukcijų.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5DC74875D7">
                <w:r w:rsidRPr="00532B9F">
                  <w:rPr>
                    <w:rFonts w:ascii="Times New Roman" w:eastAsia="MS Mincho" w:hAnsi="Times New Roman"/>
                    <w:sz w:val="20"/>
                    <w:i/>
                    <w:iCs/>
                    <w:color w:val="0000FF" w:themeColor="hyperlink"/>
                    <w:u w:val="single"/>
                  </w:rPr>
                  <w:t>D1-851</w:t>
                </w:r>
              </w:fldSimple>
              <w:r>
                <w:rPr>
                  <w:rFonts w:ascii="Times New Roman" w:eastAsia="MS Mincho" w:hAnsi="Times New Roman"/>
                  <w:sz w:val="20"/>
                  <w:i/>
                  <w:iCs/>
                </w:rPr>
                <w:t>,
2011-11-05,
Žin., 2011, Nr.
134-6384 (2011-11-10), i. k. 111301MISAK00D1-851            </w:t>
              </w:r>
            </w:p>
            <w:p/>
          </w:sdtContent>
        </w:sdt>
        <w:sdt>
          <w:sdtPr>
            <w:alias w:val="1 pr. 2 p."/>
            <w:tag w:val="part_ceafa6814ca7482fa35ae97251b98026"/>
            <w:lock w:val="sdtLocked"/>
            <w:richText/>
          </w:sdtPr>
          <w:sdtContent>
            <w:p>
              <w:pPr>
                <w:suppressAutoHyphens/>
                <w:ind w:firstLine="709"/>
                <w:jc w:val="both"/>
                <w:rPr>
                  <w:szCs w:val="24"/>
                  <w:lang w:eastAsia="ar-SA"/>
                </w:rPr>
              </w:pPr>
              <w:sdt>
                <w:sdtPr>
                  <w:alias w:val="Numeris"/>
                  <w:tag w:val="nr_ceafa6814ca7482fa35ae97251b98026"/>
                  <w:lock w:val="sdtLocked"/>
                  <w:richText/>
                </w:sdtPr>
                <w:sdtContent>
                  <w:r>
                    <w:rPr>
                      <w:szCs w:val="24"/>
                      <w:lang w:eastAsia="ar-SA"/>
                    </w:rPr>
                    <w:t>2</w:t>
                  </w:r>
                </w:sdtContent>
              </w:sdt>
              <w:r>
                <w:rPr>
                  <w:szCs w:val="24"/>
                  <w:lang w:eastAsia="ar-SA"/>
                </w:rPr>
                <w:t>. Priešgaisriniai atstumai tarp tos pačios paskirties statinių gali būti neišlaikomi, kai šių statinių užstatymo plotas kartu su neužstatytu žemės plotu tarp jų neviršija tos paskirties statiniams nustatyto gaisrinio skyriaus ploto [</w:t>
              </w:r>
              <w:r>
                <w:rPr>
                  <w:color w:val="000000"/>
                </w:rPr>
                <w:t>4.4.11</w:t>
              </w:r>
              <w:r>
                <w:rPr>
                  <w:szCs w:val="24"/>
                  <w:lang w:eastAsia="ar-SA"/>
                </w:rPr>
                <w:t xml:space="preserve">]. Šiuo atveju tarp skirtingos paskirties statinių grupių turi būti išlaikyti lentelėje nurodyti atstumai.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5DC74875D7">
                <w:r w:rsidRPr="00532B9F">
                  <w:rPr>
                    <w:rFonts w:ascii="Times New Roman" w:eastAsia="MS Mincho" w:hAnsi="Times New Roman"/>
                    <w:sz w:val="20"/>
                    <w:i/>
                    <w:iCs/>
                    <w:color w:val="0000FF" w:themeColor="hyperlink"/>
                    <w:u w:val="single"/>
                  </w:rPr>
                  <w:t>D1-851</w:t>
                </w:r>
              </w:fldSimple>
              <w:r>
                <w:rPr>
                  <w:rFonts w:ascii="Times New Roman" w:eastAsia="MS Mincho" w:hAnsi="Times New Roman"/>
                  <w:sz w:val="20"/>
                  <w:i/>
                  <w:iCs/>
                </w:rPr>
                <w:t>,
2011-11-05,
Žin., 2011, Nr.
134-6384 (2011-11-10), i. k. 111301MISAK00D1-851            </w:t>
              </w:r>
            </w:p>
            <w:p/>
          </w:sdtContent>
        </w:sdt>
        <w:sdt>
          <w:sdtPr>
            <w:alias w:val="1 pr. 3 p."/>
            <w:tag w:val="part_b26322e76f3f4b2082a5b74c4e442c37"/>
            <w:lock w:val="sdtLocked"/>
            <w:richText/>
          </w:sdtPr>
          <w:sdtContent>
            <w:p>
              <w:pPr>
                <w:suppressAutoHyphens/>
                <w:ind w:firstLine="709"/>
                <w:jc w:val="both"/>
                <w:rPr>
                  <w:szCs w:val="24"/>
                  <w:lang w:eastAsia="ar-SA"/>
                </w:rPr>
              </w:pPr>
              <w:sdt>
                <w:sdtPr>
                  <w:alias w:val="Numeris"/>
                  <w:tag w:val="nr_b26322e76f3f4b2082a5b74c4e442c37"/>
                  <w:lock w:val="sdtLocked"/>
                  <w:richText/>
                </w:sdtPr>
                <w:sdtContent>
                  <w:r>
                    <w:rPr>
                      <w:caps/>
                      <w:szCs w:val="24"/>
                      <w:lang w:eastAsia="ar-SA"/>
                    </w:rPr>
                    <w:t>3</w:t>
                  </w:r>
                </w:sdtContent>
              </w:sdt>
              <w:r>
                <w:rPr>
                  <w:caps/>
                  <w:szCs w:val="24"/>
                  <w:lang w:eastAsia="ar-SA"/>
                </w:rPr>
                <w:t xml:space="preserve">. </w:t>
              </w:r>
              <w:r>
                <w:rPr>
                  <w:szCs w:val="24"/>
                  <w:lang w:eastAsia="ar-SA"/>
                </w:rPr>
                <w:t>Priešgaisriniai atstumai tarp įvairios paskirties statinių gali būti neišlaikomi, pastatant REI – M 180 sienas, kurios įrengiamos pagal didesnio iš besiribojančių statinių kontūrus.</w:t>
              </w:r>
            </w:p>
          </w:sdtContent>
        </w:sdt>
        <w:sdt>
          <w:sdtPr>
            <w:alias w:val="1 pr. 4 p."/>
            <w:tag w:val="part_af6f3ea33af042f3ad1809c99caf3597"/>
            <w:lock w:val="sdtLocked"/>
            <w:richText/>
          </w:sdtPr>
          <w:sdtContent>
            <w:p>
              <w:pPr>
                <w:suppressAutoHyphens/>
                <w:ind w:firstLine="709"/>
                <w:jc w:val="both"/>
                <w:rPr>
                  <w:szCs w:val="24"/>
                  <w:lang w:eastAsia="ar-SA"/>
                </w:rPr>
              </w:pPr>
              <w:sdt>
                <w:sdtPr>
                  <w:alias w:val="Numeris"/>
                  <w:tag w:val="nr_af6f3ea33af042f3ad1809c99caf3597"/>
                  <w:lock w:val="sdtLocked"/>
                  <w:richText/>
                </w:sdtPr>
                <w:sdtContent>
                  <w:r>
                    <w:rPr>
                      <w:szCs w:val="24"/>
                      <w:lang w:eastAsia="ar-SA"/>
                    </w:rPr>
                    <w:t>4</w:t>
                  </w:r>
                </w:sdtContent>
              </w:sdt>
              <w:r>
                <w:rPr>
                  <w:szCs w:val="24"/>
                  <w:lang w:eastAsia="ar-SA"/>
                </w:rPr>
                <w:t>. Atstumas tarp I atsparumo ugniai statinių, kurių besiribojančioje sienoje nėra langų, gali būti sumažintas 20 %.</w:t>
              </w:r>
            </w:p>
          </w:sdtContent>
        </w:sdt>
        <w:sdt>
          <w:sdtPr>
            <w:alias w:val="1 pr. 5 p."/>
            <w:tag w:val="part_33b749416abe455fbed265b46211c0f9"/>
            <w:lock w:val="sdtLocked"/>
            <w:richText/>
          </w:sdtPr>
          <w:sdtContent>
            <w:p>
              <w:pPr>
                <w:suppressAutoHyphens/>
                <w:ind w:firstLine="709"/>
                <w:jc w:val="both"/>
                <w:rPr>
                  <w:szCs w:val="24"/>
                  <w:lang w:eastAsia="ar-SA"/>
                </w:rPr>
              </w:pPr>
              <w:sdt>
                <w:sdtPr>
                  <w:alias w:val="Numeris"/>
                  <w:tag w:val="nr_33b749416abe455fbed265b46211c0f9"/>
                  <w:lock w:val="sdtLocked"/>
                  <w:richText/>
                </w:sdtPr>
                <w:sdtContent>
                  <w:r>
                    <w:rPr>
                      <w:szCs w:val="24"/>
                      <w:lang w:eastAsia="ar-SA"/>
                    </w:rPr>
                    <w:t>5</w:t>
                  </w:r>
                </w:sdtContent>
              </w:sdt>
              <w:r>
                <w:rPr>
                  <w:szCs w:val="24"/>
                  <w:lang w:eastAsia="ar-SA"/>
                </w:rPr>
                <w:t>. Statiniams, kurių išorės danga (fasadų ar stogo) įrengiama iš E, E</w:t>
              </w:r>
              <w:r>
                <w:rPr>
                  <w:szCs w:val="24"/>
                  <w:vertAlign w:val="subscript"/>
                  <w:lang w:eastAsia="ar-SA"/>
                </w:rPr>
                <w:t xml:space="preserve">FL, </w:t>
              </w:r>
              <w:r>
                <w:rPr>
                  <w:szCs w:val="24"/>
                  <w:lang w:eastAsia="ar-SA"/>
                </w:rPr>
                <w:t>E</w:t>
              </w:r>
              <w:r>
                <w:rPr>
                  <w:szCs w:val="24"/>
                  <w:vertAlign w:val="subscript"/>
                  <w:lang w:eastAsia="ar-SA"/>
                </w:rPr>
                <w:t>L</w:t>
              </w:r>
              <w:r>
                <w:rPr>
                  <w:szCs w:val="24"/>
                  <w:lang w:eastAsia="ar-SA"/>
                </w:rPr>
                <w:t>, F, F</w:t>
              </w:r>
              <w:r>
                <w:rPr>
                  <w:szCs w:val="24"/>
                  <w:vertAlign w:val="subscript"/>
                  <w:lang w:eastAsia="ar-SA"/>
                </w:rPr>
                <w:t>FL</w:t>
              </w:r>
              <w:r>
                <w:rPr>
                  <w:szCs w:val="24"/>
                  <w:lang w:eastAsia="ar-SA"/>
                </w:rPr>
                <w:t>, F</w:t>
              </w:r>
              <w:r>
                <w:rPr>
                  <w:szCs w:val="24"/>
                  <w:vertAlign w:val="subscript"/>
                  <w:lang w:eastAsia="ar-SA"/>
                </w:rPr>
                <w:t xml:space="preserve">L </w:t>
              </w:r>
              <w:r>
                <w:rPr>
                  <w:szCs w:val="24"/>
                  <w:lang w:eastAsia="ar-SA"/>
                </w:rPr>
                <w:t>degumo klasių [</w:t>
              </w:r>
              <w:r>
                <w:rPr>
                  <w:color w:val="000000"/>
                </w:rPr>
                <w:t>4.4.11</w:t>
              </w:r>
              <w:r>
                <w:rPr>
                  <w:szCs w:val="24"/>
                  <w:lang w:eastAsia="ar-SA"/>
                </w:rPr>
                <w:t>] statybos produktų, atstumai turi būti padidinti 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5DC74875D7">
                <w:r w:rsidRPr="00532B9F">
                  <w:rPr>
                    <w:rFonts w:ascii="Times New Roman" w:eastAsia="MS Mincho" w:hAnsi="Times New Roman"/>
                    <w:sz w:val="20"/>
                    <w:i/>
                    <w:iCs/>
                    <w:color w:val="0000FF" w:themeColor="hyperlink"/>
                    <w:u w:val="single"/>
                  </w:rPr>
                  <w:t>D1-851</w:t>
                </w:r>
              </w:fldSimple>
              <w:r>
                <w:rPr>
                  <w:rFonts w:ascii="Times New Roman" w:eastAsia="MS Mincho" w:hAnsi="Times New Roman"/>
                  <w:sz w:val="20"/>
                  <w:i/>
                  <w:iCs/>
                </w:rPr>
                <w:t>,
2011-11-05,
Žin., 2011, Nr.
134-6384 (2011-11-10), i. k. 111301MISAK00D1-851            </w:t>
              </w:r>
            </w:p>
            <w:p/>
          </w:sdtContent>
        </w:sdt>
        <w:sdt>
          <w:sdtPr>
            <w:alias w:val="1 pr. 6 p."/>
            <w:tag w:val="part_f598ca48e93646bf8d172250f410e06c"/>
            <w:lock w:val="sdtLocked"/>
            <w:richText/>
          </w:sdtPr>
          <w:sdtContent>
            <w:p>
              <w:pPr>
                <w:suppressAutoHyphens/>
                <w:ind w:firstLine="709"/>
                <w:jc w:val="both"/>
                <w:rPr>
                  <w:szCs w:val="24"/>
                  <w:lang w:eastAsia="ar-SA"/>
                </w:rPr>
              </w:pPr>
              <w:sdt>
                <w:sdtPr>
                  <w:alias w:val="Numeris"/>
                  <w:tag w:val="nr_f598ca48e93646bf8d172250f410e06c"/>
                  <w:lock w:val="sdtLocked"/>
                  <w:richText/>
                </w:sdtPr>
                <w:sdtContent>
                  <w:r>
                    <w:rPr>
                      <w:szCs w:val="24"/>
                      <w:lang w:eastAsia="ar-SA"/>
                    </w:rPr>
                    <w:t>6</w:t>
                  </w:r>
                </w:sdtContent>
              </w:sdt>
              <w:r>
                <w:rPr>
                  <w:szCs w:val="24"/>
                  <w:lang w:eastAsia="ar-SA"/>
                </w:rPr>
                <w:t>. Jeigu atstumai tarp statinių yra mažesni už nustatytą lentelėje, gaisro plitimas turi būti ribojamas konstrukcinėmis priemonėmis [</w:t>
              </w:r>
              <w:r>
                <w:rPr>
                  <w:color w:val="000000"/>
                </w:rPr>
                <w:t>4.4.11</w:t>
              </w:r>
              <w:r>
                <w:rPr>
                  <w:szCs w:val="24"/>
                  <w:lang w:eastAsia="ar-SA"/>
                </w:rPr>
                <w:t>].</w:t>
              </w:r>
            </w:p>
            <w:p>
              <w:pPr>
                <w:suppressAutoHyphens/>
                <w:jc w:val="center"/>
                <w:rPr>
                  <w:caps/>
                  <w:szCs w:val="24"/>
                  <w:lang w:eastAsia="ar-SA"/>
                </w:rPr>
              </w:pPr>
              <w:r>
                <w:rPr>
                  <w:caps/>
                  <w:szCs w:val="24"/>
                  <w:lang w:eastAsia="ar-SA"/>
                </w:rPr>
                <w:t>______________</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5DC74875D7">
                <w:r w:rsidRPr="00532B9F">
                  <w:rPr>
                    <w:rFonts w:ascii="Times New Roman" w:eastAsia="MS Mincho" w:hAnsi="Times New Roman"/>
                    <w:sz w:val="20"/>
                    <w:i/>
                    <w:iCs/>
                    <w:color w:val="0000FF" w:themeColor="hyperlink"/>
                    <w:u w:val="single"/>
                  </w:rPr>
                  <w:t>D1-851</w:t>
                </w:r>
              </w:fldSimple>
              <w:r>
                <w:rPr>
                  <w:rFonts w:ascii="Times New Roman" w:eastAsia="MS Mincho" w:hAnsi="Times New Roman"/>
                  <w:sz w:val="20"/>
                  <w:i/>
                  <w:iCs/>
                </w:rPr>
                <w:t>,
2011-11-05,
Žin., 2011, Nr.
134-6384 (2011-11-10), i. k. 111301MISAK00D1-851            </w:t>
              </w:r>
            </w:p>
            <w:p/>
          </w:sdtContent>
        </w:sdt>
      </w:sdtContent>
    </w:sdt>
    <w:sdt>
      <w:sdtPr>
        <w:alias w:val="2 pr."/>
        <w:tag w:val="part_44dde37bbcf944a2b1c9a4480c92742c"/>
        <w:lock w:val="sdtLocked"/>
        <w:richText/>
      </w:sdtPr>
      <w:sdtContent>
        <w:p>
          <w:pPr>
            <w:suppressAutoHyphens/>
            <w:ind w:firstLine="5102"/>
          </w:pPr>
          <w:r>
            <w:br w:type="page"/>
          </w:r>
        </w:p>
        <w:p>
          <w:pPr>
            <w:suppressAutoHyphens/>
            <w:ind w:firstLine="5102"/>
            <w:rPr>
              <w:caps/>
              <w:szCs w:val="24"/>
              <w:lang w:eastAsia="ar-SA"/>
            </w:rPr>
          </w:pPr>
          <w:r>
            <w:rPr>
              <w:caps/>
              <w:szCs w:val="24"/>
              <w:lang w:eastAsia="ar-SA"/>
            </w:rPr>
            <w:t xml:space="preserve">STR 2.03.02:2005 </w:t>
          </w:r>
        </w:p>
        <w:p>
          <w:pPr>
            <w:suppressAutoHyphens/>
            <w:ind w:right="-270" w:firstLine="5102"/>
            <w:rPr>
              <w:szCs w:val="24"/>
              <w:lang w:eastAsia="ar-SA"/>
            </w:rPr>
          </w:pPr>
          <w:sdt>
            <w:sdtPr>
              <w:alias w:val="Numeris"/>
              <w:tag w:val="nr_44dde37bbcf944a2b1c9a4480c92742c"/>
              <w:lock w:val="sdtLocked"/>
              <w:richText/>
            </w:sdtPr>
            <w:sdtContent>
              <w:r>
                <w:rPr>
                  <w:caps/>
                  <w:szCs w:val="24"/>
                  <w:lang w:eastAsia="ar-SA"/>
                </w:rPr>
                <w:t>2</w:t>
              </w:r>
            </w:sdtContent>
          </w:sdt>
          <w:r>
            <w:rPr>
              <w:caps/>
              <w:szCs w:val="24"/>
              <w:lang w:eastAsia="ar-SA"/>
            </w:rPr>
            <w:t xml:space="preserve"> </w:t>
          </w:r>
          <w:r>
            <w:rPr>
              <w:szCs w:val="24"/>
              <w:lang w:eastAsia="ar-SA"/>
            </w:rPr>
            <w:t>priedas</w:t>
          </w:r>
        </w:p>
        <w:p>
          <w:pPr>
            <w:suppressAutoHyphens/>
            <w:jc w:val="center"/>
            <w:rPr>
              <w:szCs w:val="24"/>
              <w:lang w:eastAsia="ar-SA"/>
            </w:rPr>
          </w:pPr>
        </w:p>
        <w:p>
          <w:pPr>
            <w:suppressAutoHyphens/>
            <w:jc w:val="center"/>
            <w:rPr>
              <w:b/>
              <w:bCs/>
              <w:szCs w:val="24"/>
              <w:lang w:eastAsia="ar-SA"/>
            </w:rPr>
          </w:pPr>
          <w:sdt>
            <w:sdtPr>
              <w:alias w:val="Pavadinimas"/>
              <w:tag w:val="title_44dde37bbcf944a2b1c9a4480c92742c"/>
              <w:lock w:val="sdtLocked"/>
              <w:richText/>
            </w:sdtPr>
            <w:sdtContent>
              <w:r>
                <w:rPr>
                  <w:b/>
                  <w:bCs/>
                  <w:szCs w:val="24"/>
                  <w:lang w:eastAsia="ar-SA"/>
                </w:rPr>
                <w:t>ATSTUMAI TARP ĮVAIRAUS TIPO AUŠINTUVŲ IR TARP JŲ BEI KITOS PASKIRTIES STATINIŲ</w:t>
              </w:r>
            </w:sdtContent>
          </w:sdt>
        </w:p>
        <w:p>
          <w:pPr>
            <w:suppressAutoHyphens/>
            <w:jc w:val="center"/>
            <w:rPr>
              <w:szCs w:val="24"/>
              <w:lang w:eastAsia="ar-SA"/>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87"/>
            <w:gridCol w:w="1453"/>
            <w:gridCol w:w="1635"/>
            <w:gridCol w:w="1726"/>
            <w:gridCol w:w="1736"/>
          </w:tblGrid>
          <w:tr>
            <w:trPr>
              <w:cantSplit/>
              <w:trHeight w:val="20"/>
              <w:tblHeader/>
            </w:trPr>
            <w:tc>
              <w:tcPr>
                <w:tcW w:w="3060" w:type="dxa"/>
                <w:vMerge w:val="restart"/>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Statinys</w:t>
                </w:r>
              </w:p>
            </w:tc>
            <w:tc>
              <w:tcPr>
                <w:tcW w:w="6490" w:type="dxa"/>
                <w:gridSpan w:val="4"/>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Atstumai, m, iki įvairaus tipo aušintuvų</w:t>
                </w:r>
              </w:p>
            </w:tc>
          </w:tr>
          <w:tr>
            <w:trPr>
              <w:cantSplit/>
              <w:trHeight w:val="20"/>
              <w:tblHeader/>
            </w:trPr>
            <w:tc>
              <w:tcPr>
                <w:tcW w:w="3060" w:type="dxa"/>
                <w:vMerge/>
                <w:tcBorders>
                  <w:top w:val="single" w:sz="4" w:space="0" w:color="auto"/>
                  <w:left w:val="single" w:sz="4" w:space="0" w:color="auto"/>
                  <w:bottom w:val="single" w:sz="4" w:space="0" w:color="auto"/>
                  <w:right w:val="single" w:sz="4" w:space="0" w:color="auto"/>
                </w:tcBorders>
                <w:vAlign w:val="center"/>
              </w:tcPr>
              <w:p>
                <w:pPr>
                  <w:rPr>
                    <w:sz w:val="20"/>
                    <w:szCs w:val="24"/>
                    <w:lang w:eastAsia="ar-SA"/>
                  </w:rPr>
                </w:pPr>
              </w:p>
            </w:tc>
            <w:tc>
              <w:tcPr>
                <w:tcW w:w="144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Purslinio baseino</w:t>
                </w:r>
              </w:p>
            </w:tc>
            <w:tc>
              <w:tcPr>
                <w:tcW w:w="162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Bokštinio aušintuvo</w:t>
                </w:r>
              </w:p>
            </w:tc>
            <w:tc>
              <w:tcPr>
                <w:tcW w:w="171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Ventiliatorinio sekcijinio antžeminio aušintuvo</w:t>
                </w:r>
              </w:p>
            </w:tc>
            <w:tc>
              <w:tcPr>
                <w:tcW w:w="172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Ventiliatorinio sekcijinio aušintuvo, statomo ant statinio denginio</w:t>
                </w:r>
              </w:p>
            </w:tc>
          </w:tr>
          <w:tr>
            <w:trPr>
              <w:cantSplit/>
              <w:trHeight w:val="20"/>
              <w:tblHeader/>
            </w:trPr>
            <w:tc>
              <w:tcPr>
                <w:tcW w:w="3060" w:type="dxa"/>
                <w:tcBorders>
                  <w:top w:val="single" w:sz="4" w:space="0" w:color="auto"/>
                  <w:left w:val="single" w:sz="4" w:space="0" w:color="auto"/>
                  <w:bottom w:val="single" w:sz="4" w:space="0" w:color="auto"/>
                  <w:right w:val="single" w:sz="4" w:space="0" w:color="auto"/>
                </w:tcBorders>
                <w:vAlign w:val="center"/>
              </w:tcPr>
              <w:p>
                <w:pPr>
                  <w:suppressAutoHyphens/>
                  <w:rPr>
                    <w:sz w:val="20"/>
                    <w:szCs w:val="24"/>
                    <w:lang w:eastAsia="ar-SA"/>
                  </w:rPr>
                </w:pPr>
                <w:r>
                  <w:rPr>
                    <w:sz w:val="20"/>
                    <w:szCs w:val="24"/>
                    <w:lang w:eastAsia="ar-SA"/>
                  </w:rPr>
                  <w:t>1. Purslinis baseinas</w:t>
                </w:r>
              </w:p>
            </w:tc>
            <w:tc>
              <w:tcPr>
                <w:tcW w:w="144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w:t>
                </w:r>
              </w:p>
            </w:tc>
            <w:tc>
              <w:tcPr>
                <w:tcW w:w="162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30</w:t>
                </w:r>
              </w:p>
            </w:tc>
            <w:tc>
              <w:tcPr>
                <w:tcW w:w="171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30</w:t>
                </w:r>
              </w:p>
            </w:tc>
            <w:tc>
              <w:tcPr>
                <w:tcW w:w="172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w:t>
                </w:r>
              </w:p>
            </w:tc>
          </w:tr>
          <w:tr>
            <w:trPr>
              <w:cantSplit/>
              <w:trHeight w:val="20"/>
              <w:tblHeader/>
            </w:trPr>
            <w:tc>
              <w:tcPr>
                <w:tcW w:w="3060" w:type="dxa"/>
                <w:tcBorders>
                  <w:top w:val="single" w:sz="4" w:space="0" w:color="auto"/>
                  <w:left w:val="single" w:sz="4" w:space="0" w:color="auto"/>
                  <w:bottom w:val="single" w:sz="4" w:space="0" w:color="auto"/>
                  <w:right w:val="single" w:sz="4" w:space="0" w:color="auto"/>
                </w:tcBorders>
                <w:vAlign w:val="center"/>
              </w:tcPr>
              <w:p>
                <w:pPr>
                  <w:suppressAutoHyphens/>
                  <w:rPr>
                    <w:sz w:val="20"/>
                    <w:szCs w:val="24"/>
                    <w:lang w:eastAsia="ar-SA"/>
                  </w:rPr>
                </w:pPr>
                <w:r>
                  <w:rPr>
                    <w:sz w:val="20"/>
                    <w:szCs w:val="24"/>
                    <w:lang w:eastAsia="ar-SA"/>
                  </w:rPr>
                  <w:t>2. Bokštinis aušintuvas</w:t>
                </w:r>
              </w:p>
            </w:tc>
            <w:tc>
              <w:tcPr>
                <w:tcW w:w="144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30</w:t>
                </w:r>
              </w:p>
            </w:tc>
            <w:tc>
              <w:tcPr>
                <w:tcW w:w="1620" w:type="dxa"/>
                <w:tcBorders>
                  <w:top w:val="single" w:sz="4" w:space="0" w:color="auto"/>
                  <w:left w:val="single" w:sz="4" w:space="0" w:color="auto"/>
                  <w:bottom w:val="single" w:sz="4" w:space="0" w:color="auto"/>
                  <w:right w:val="single" w:sz="4" w:space="0" w:color="auto"/>
                </w:tcBorders>
                <w:vAlign w:val="center"/>
              </w:tcPr>
              <w:p>
                <w:pPr>
                  <w:suppressAutoHyphens/>
                  <w:rPr>
                    <w:sz w:val="20"/>
                    <w:szCs w:val="24"/>
                    <w:lang w:eastAsia="ar-SA"/>
                  </w:rPr>
                </w:pPr>
                <w:r>
                  <w:rPr>
                    <w:sz w:val="20"/>
                    <w:szCs w:val="24"/>
                    <w:lang w:eastAsia="ar-SA"/>
                  </w:rPr>
                  <w:t>0,5 D</w:t>
                </w:r>
                <w:r>
                  <w:rPr>
                    <w:sz w:val="20"/>
                    <w:szCs w:val="24"/>
                    <w:vertAlign w:val="superscript"/>
                    <w:lang w:eastAsia="ar-SA"/>
                  </w:rPr>
                  <w:t>*</w:t>
                </w:r>
                <w:r>
                  <w:rPr>
                    <w:sz w:val="20"/>
                    <w:szCs w:val="24"/>
                    <w:lang w:eastAsia="ar-SA"/>
                  </w:rPr>
                  <w:t>, bet ne mažesnis kaip 18 m</w:t>
                </w:r>
              </w:p>
            </w:tc>
            <w:tc>
              <w:tcPr>
                <w:tcW w:w="171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18</w:t>
                </w:r>
              </w:p>
            </w:tc>
            <w:tc>
              <w:tcPr>
                <w:tcW w:w="172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w:t>
                </w:r>
              </w:p>
            </w:tc>
          </w:tr>
          <w:tr>
            <w:trPr>
              <w:cantSplit/>
              <w:trHeight w:val="20"/>
              <w:tblHeader/>
            </w:trPr>
            <w:tc>
              <w:tcPr>
                <w:tcW w:w="3060" w:type="dxa"/>
                <w:tcBorders>
                  <w:top w:val="single" w:sz="4" w:space="0" w:color="auto"/>
                  <w:left w:val="single" w:sz="4" w:space="0" w:color="auto"/>
                  <w:bottom w:val="single" w:sz="4" w:space="0" w:color="auto"/>
                  <w:right w:val="single" w:sz="4" w:space="0" w:color="auto"/>
                </w:tcBorders>
                <w:vAlign w:val="center"/>
              </w:tcPr>
              <w:p>
                <w:pPr>
                  <w:suppressAutoHyphens/>
                  <w:rPr>
                    <w:sz w:val="20"/>
                    <w:szCs w:val="24"/>
                    <w:lang w:eastAsia="ar-SA"/>
                  </w:rPr>
                </w:pPr>
                <w:r>
                  <w:rPr>
                    <w:sz w:val="20"/>
                    <w:szCs w:val="24"/>
                    <w:lang w:eastAsia="ar-SA"/>
                  </w:rPr>
                  <w:t>3. Ventiliatorinis sekcijinis antžeminis aušintuvas</w:t>
                </w:r>
              </w:p>
            </w:tc>
            <w:tc>
              <w:tcPr>
                <w:tcW w:w="144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30</w:t>
                </w:r>
              </w:p>
            </w:tc>
            <w:tc>
              <w:tcPr>
                <w:tcW w:w="162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15</w:t>
                </w:r>
              </w:p>
            </w:tc>
            <w:tc>
              <w:tcPr>
                <w:tcW w:w="171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vertAlign w:val="superscript"/>
                    <w:lang w:eastAsia="ar-SA"/>
                  </w:rPr>
                </w:pPr>
                <w:r>
                  <w:rPr>
                    <w:sz w:val="20"/>
                    <w:szCs w:val="24"/>
                    <w:lang w:eastAsia="ar-SA"/>
                  </w:rPr>
                  <w:t>9-24</w:t>
                </w:r>
                <w:r>
                  <w:rPr>
                    <w:sz w:val="20"/>
                    <w:szCs w:val="24"/>
                    <w:vertAlign w:val="superscript"/>
                    <w:lang w:eastAsia="ar-SA"/>
                  </w:rPr>
                  <w:t>**</w:t>
                </w:r>
              </w:p>
            </w:tc>
            <w:tc>
              <w:tcPr>
                <w:tcW w:w="172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w:t>
                </w:r>
              </w:p>
            </w:tc>
          </w:tr>
          <w:tr>
            <w:trPr>
              <w:cantSplit/>
              <w:trHeight w:val="20"/>
              <w:tblHeader/>
            </w:trPr>
            <w:tc>
              <w:tcPr>
                <w:tcW w:w="3060" w:type="dxa"/>
                <w:tcBorders>
                  <w:top w:val="single" w:sz="4" w:space="0" w:color="auto"/>
                  <w:left w:val="single" w:sz="4" w:space="0" w:color="auto"/>
                  <w:bottom w:val="single" w:sz="4" w:space="0" w:color="auto"/>
                  <w:right w:val="single" w:sz="4" w:space="0" w:color="auto"/>
                </w:tcBorders>
                <w:vAlign w:val="center"/>
              </w:tcPr>
              <w:p>
                <w:pPr>
                  <w:suppressAutoHyphens/>
                  <w:rPr>
                    <w:sz w:val="20"/>
                    <w:szCs w:val="24"/>
                    <w:lang w:eastAsia="ar-SA"/>
                  </w:rPr>
                </w:pPr>
                <w:r>
                  <w:rPr>
                    <w:sz w:val="20"/>
                    <w:szCs w:val="24"/>
                    <w:lang w:eastAsia="ar-SA"/>
                  </w:rPr>
                  <w:t>4. Ventiliatorinis sekcijinis</w:t>
                </w:r>
              </w:p>
              <w:p>
                <w:pPr>
                  <w:suppressAutoHyphens/>
                  <w:rPr>
                    <w:sz w:val="20"/>
                    <w:szCs w:val="24"/>
                    <w:lang w:eastAsia="ar-SA"/>
                  </w:rPr>
                </w:pPr>
                <w:r>
                  <w:rPr>
                    <w:sz w:val="20"/>
                    <w:szCs w:val="24"/>
                    <w:lang w:eastAsia="ar-SA"/>
                  </w:rPr>
                  <w:t>aušintuvas, statomas ant statinio denginio</w:t>
                </w:r>
              </w:p>
            </w:tc>
            <w:tc>
              <w:tcPr>
                <w:tcW w:w="144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w:t>
                </w:r>
              </w:p>
            </w:tc>
            <w:tc>
              <w:tcPr>
                <w:tcW w:w="162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w:t>
                </w:r>
              </w:p>
            </w:tc>
            <w:tc>
              <w:tcPr>
                <w:tcW w:w="171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w:t>
                </w:r>
              </w:p>
            </w:tc>
            <w:tc>
              <w:tcPr>
                <w:tcW w:w="172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12</w:t>
                </w:r>
              </w:p>
            </w:tc>
          </w:tr>
          <w:tr>
            <w:trPr>
              <w:cantSplit/>
              <w:trHeight w:val="20"/>
              <w:tblHeader/>
            </w:trPr>
            <w:tc>
              <w:tcPr>
                <w:tcW w:w="3060" w:type="dxa"/>
                <w:tcBorders>
                  <w:top w:val="single" w:sz="4" w:space="0" w:color="auto"/>
                  <w:left w:val="single" w:sz="4" w:space="0" w:color="auto"/>
                  <w:bottom w:val="single" w:sz="4" w:space="0" w:color="auto"/>
                  <w:right w:val="single" w:sz="4" w:space="0" w:color="auto"/>
                </w:tcBorders>
                <w:vAlign w:val="center"/>
              </w:tcPr>
              <w:p>
                <w:pPr>
                  <w:suppressAutoHyphens/>
                  <w:rPr>
                    <w:sz w:val="20"/>
                    <w:szCs w:val="24"/>
                    <w:lang w:eastAsia="ar-SA"/>
                  </w:rPr>
                </w:pPr>
                <w:r>
                  <w:rPr>
                    <w:sz w:val="20"/>
                    <w:szCs w:val="24"/>
                    <w:lang w:eastAsia="ar-SA"/>
                  </w:rPr>
                  <w:t>5. Statinys su šalčiui atspariomis sienomis</w:t>
                </w:r>
              </w:p>
            </w:tc>
            <w:tc>
              <w:tcPr>
                <w:tcW w:w="144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42</w:t>
                </w:r>
              </w:p>
            </w:tc>
            <w:tc>
              <w:tcPr>
                <w:tcW w:w="162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21</w:t>
                </w:r>
              </w:p>
            </w:tc>
            <w:tc>
              <w:tcPr>
                <w:tcW w:w="171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21</w:t>
                </w:r>
              </w:p>
            </w:tc>
            <w:tc>
              <w:tcPr>
                <w:tcW w:w="172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9</w:t>
                </w:r>
              </w:p>
            </w:tc>
          </w:tr>
          <w:tr>
            <w:trPr>
              <w:cantSplit/>
              <w:trHeight w:val="20"/>
              <w:tblHeader/>
            </w:trPr>
            <w:tc>
              <w:tcPr>
                <w:tcW w:w="3060" w:type="dxa"/>
                <w:tcBorders>
                  <w:top w:val="single" w:sz="4" w:space="0" w:color="auto"/>
                  <w:left w:val="single" w:sz="4" w:space="0" w:color="auto"/>
                  <w:bottom w:val="single" w:sz="4" w:space="0" w:color="auto"/>
                  <w:right w:val="single" w:sz="4" w:space="0" w:color="auto"/>
                </w:tcBorders>
                <w:vAlign w:val="center"/>
              </w:tcPr>
              <w:p>
                <w:pPr>
                  <w:suppressAutoHyphens/>
                  <w:rPr>
                    <w:sz w:val="20"/>
                    <w:szCs w:val="24"/>
                    <w:lang w:eastAsia="ar-SA"/>
                  </w:rPr>
                </w:pPr>
                <w:r>
                  <w:rPr>
                    <w:sz w:val="20"/>
                    <w:szCs w:val="24"/>
                    <w:lang w:eastAsia="ar-SA"/>
                  </w:rPr>
                  <w:t>6. Atvira transformatorinė pastotis. Elektros perdavimo linija</w:t>
                </w:r>
              </w:p>
            </w:tc>
            <w:tc>
              <w:tcPr>
                <w:tcW w:w="144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80</w:t>
                </w:r>
              </w:p>
            </w:tc>
            <w:tc>
              <w:tcPr>
                <w:tcW w:w="162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30</w:t>
                </w:r>
              </w:p>
            </w:tc>
            <w:tc>
              <w:tcPr>
                <w:tcW w:w="171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42</w:t>
                </w:r>
              </w:p>
            </w:tc>
            <w:tc>
              <w:tcPr>
                <w:tcW w:w="172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42</w:t>
                </w:r>
              </w:p>
            </w:tc>
          </w:tr>
          <w:tr>
            <w:trPr>
              <w:cantSplit/>
              <w:trHeight w:val="20"/>
              <w:tblHeader/>
            </w:trPr>
            <w:tc>
              <w:tcPr>
                <w:tcW w:w="3060" w:type="dxa"/>
                <w:tcBorders>
                  <w:top w:val="single" w:sz="4" w:space="0" w:color="auto"/>
                  <w:left w:val="single" w:sz="4" w:space="0" w:color="auto"/>
                  <w:bottom w:val="single" w:sz="4" w:space="0" w:color="auto"/>
                  <w:right w:val="single" w:sz="4" w:space="0" w:color="auto"/>
                </w:tcBorders>
                <w:vAlign w:val="center"/>
              </w:tcPr>
              <w:p>
                <w:pPr>
                  <w:suppressAutoHyphens/>
                  <w:rPr>
                    <w:sz w:val="20"/>
                    <w:szCs w:val="24"/>
                    <w:lang w:eastAsia="ar-SA"/>
                  </w:rPr>
                </w:pPr>
                <w:r>
                  <w:rPr>
                    <w:sz w:val="20"/>
                    <w:szCs w:val="24"/>
                    <w:lang w:eastAsia="ar-SA"/>
                  </w:rPr>
                  <w:t>7. Atviras antžeminis sandėlis</w:t>
                </w:r>
              </w:p>
            </w:tc>
            <w:tc>
              <w:tcPr>
                <w:tcW w:w="144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60</w:t>
                </w:r>
              </w:p>
            </w:tc>
            <w:tc>
              <w:tcPr>
                <w:tcW w:w="162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21</w:t>
                </w:r>
              </w:p>
            </w:tc>
            <w:tc>
              <w:tcPr>
                <w:tcW w:w="171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24</w:t>
                </w:r>
              </w:p>
            </w:tc>
            <w:tc>
              <w:tcPr>
                <w:tcW w:w="172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15</w:t>
                </w:r>
              </w:p>
            </w:tc>
          </w:tr>
          <w:tr>
            <w:trPr>
              <w:cantSplit/>
              <w:trHeight w:val="20"/>
              <w:tblHeader/>
            </w:trPr>
            <w:tc>
              <w:tcPr>
                <w:tcW w:w="3060" w:type="dxa"/>
                <w:tcBorders>
                  <w:top w:val="single" w:sz="4" w:space="0" w:color="auto"/>
                  <w:left w:val="single" w:sz="4" w:space="0" w:color="auto"/>
                  <w:bottom w:val="single" w:sz="4" w:space="0" w:color="auto"/>
                  <w:right w:val="single" w:sz="4" w:space="0" w:color="auto"/>
                </w:tcBorders>
                <w:vAlign w:val="center"/>
              </w:tcPr>
              <w:p>
                <w:pPr>
                  <w:suppressAutoHyphens/>
                  <w:rPr>
                    <w:sz w:val="20"/>
                    <w:szCs w:val="24"/>
                    <w:lang w:eastAsia="ar-SA"/>
                  </w:rPr>
                </w:pPr>
                <w:r>
                  <w:rPr>
                    <w:sz w:val="20"/>
                    <w:szCs w:val="24"/>
                    <w:lang w:eastAsia="ar-SA"/>
                  </w:rPr>
                  <w:t>8. Antžeminiai ir pakeltieji inžineriniai tinklai</w:t>
                </w:r>
              </w:p>
            </w:tc>
            <w:tc>
              <w:tcPr>
                <w:tcW w:w="144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9</w:t>
                </w:r>
              </w:p>
            </w:tc>
            <w:tc>
              <w:tcPr>
                <w:tcW w:w="162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9</w:t>
                </w:r>
              </w:p>
            </w:tc>
            <w:tc>
              <w:tcPr>
                <w:tcW w:w="171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9</w:t>
                </w:r>
              </w:p>
            </w:tc>
            <w:tc>
              <w:tcPr>
                <w:tcW w:w="172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9</w:t>
                </w:r>
              </w:p>
            </w:tc>
          </w:tr>
          <w:tr>
            <w:trPr>
              <w:cantSplit/>
              <w:trHeight w:val="20"/>
              <w:tblHeader/>
            </w:trPr>
            <w:tc>
              <w:tcPr>
                <w:tcW w:w="3060" w:type="dxa"/>
                <w:tcBorders>
                  <w:top w:val="single" w:sz="4" w:space="0" w:color="auto"/>
                  <w:left w:val="single" w:sz="4" w:space="0" w:color="auto"/>
                  <w:bottom w:val="single" w:sz="4" w:space="0" w:color="auto"/>
                  <w:right w:val="single" w:sz="4" w:space="0" w:color="auto"/>
                </w:tcBorders>
                <w:vAlign w:val="center"/>
              </w:tcPr>
              <w:p>
                <w:pPr>
                  <w:suppressAutoHyphens/>
                  <w:rPr>
                    <w:sz w:val="20"/>
                    <w:szCs w:val="24"/>
                    <w:lang w:eastAsia="ar-SA"/>
                  </w:rPr>
                </w:pPr>
                <w:r>
                  <w:rPr>
                    <w:sz w:val="20"/>
                    <w:szCs w:val="24"/>
                    <w:lang w:eastAsia="ar-SA"/>
                  </w:rPr>
                  <w:t>9. Bendro naudojimo ir rūšiavimo geležinkelio ašis</w:t>
                </w:r>
              </w:p>
            </w:tc>
            <w:tc>
              <w:tcPr>
                <w:tcW w:w="144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80</w:t>
                </w:r>
              </w:p>
            </w:tc>
            <w:tc>
              <w:tcPr>
                <w:tcW w:w="162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42</w:t>
                </w:r>
              </w:p>
            </w:tc>
            <w:tc>
              <w:tcPr>
                <w:tcW w:w="171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60</w:t>
                </w:r>
              </w:p>
            </w:tc>
            <w:tc>
              <w:tcPr>
                <w:tcW w:w="172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21</w:t>
                </w:r>
              </w:p>
            </w:tc>
          </w:tr>
          <w:tr>
            <w:trPr>
              <w:cantSplit/>
              <w:trHeight w:val="20"/>
              <w:tblHeader/>
            </w:trPr>
            <w:tc>
              <w:tcPr>
                <w:tcW w:w="3060" w:type="dxa"/>
                <w:tcBorders>
                  <w:top w:val="single" w:sz="4" w:space="0" w:color="auto"/>
                  <w:left w:val="single" w:sz="4" w:space="0" w:color="auto"/>
                  <w:bottom w:val="single" w:sz="4" w:space="0" w:color="auto"/>
                  <w:right w:val="single" w:sz="4" w:space="0" w:color="auto"/>
                </w:tcBorders>
                <w:vAlign w:val="center"/>
              </w:tcPr>
              <w:p>
                <w:pPr>
                  <w:suppressAutoHyphens/>
                  <w:rPr>
                    <w:sz w:val="20"/>
                    <w:szCs w:val="24"/>
                    <w:lang w:eastAsia="ar-SA"/>
                  </w:rPr>
                </w:pPr>
                <w:r>
                  <w:rPr>
                    <w:sz w:val="20"/>
                    <w:szCs w:val="24"/>
                    <w:lang w:eastAsia="ar-SA"/>
                  </w:rPr>
                  <w:t>10. Gamyklinio (Sklypo) geležinkelio ašis</w:t>
                </w:r>
              </w:p>
            </w:tc>
            <w:tc>
              <w:tcPr>
                <w:tcW w:w="144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30</w:t>
                </w:r>
              </w:p>
            </w:tc>
            <w:tc>
              <w:tcPr>
                <w:tcW w:w="162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vertAlign w:val="superscript"/>
                    <w:lang w:eastAsia="ar-SA"/>
                  </w:rPr>
                </w:pPr>
                <w:r>
                  <w:rPr>
                    <w:sz w:val="20"/>
                    <w:szCs w:val="24"/>
                    <w:lang w:eastAsia="ar-SA"/>
                  </w:rPr>
                  <w:t>12</w:t>
                </w:r>
                <w:r>
                  <w:rPr>
                    <w:sz w:val="20"/>
                    <w:szCs w:val="24"/>
                    <w:vertAlign w:val="superscript"/>
                    <w:lang w:eastAsia="ar-SA"/>
                  </w:rPr>
                  <w:t>***</w:t>
                </w:r>
              </w:p>
            </w:tc>
            <w:tc>
              <w:tcPr>
                <w:tcW w:w="171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vertAlign w:val="superscript"/>
                    <w:lang w:eastAsia="ar-SA"/>
                  </w:rPr>
                </w:pPr>
                <w:r>
                  <w:rPr>
                    <w:sz w:val="20"/>
                    <w:szCs w:val="24"/>
                    <w:lang w:eastAsia="ar-SA"/>
                  </w:rPr>
                  <w:t>12</w:t>
                </w:r>
                <w:r>
                  <w:rPr>
                    <w:sz w:val="20"/>
                    <w:szCs w:val="24"/>
                    <w:vertAlign w:val="superscript"/>
                    <w:lang w:eastAsia="ar-SA"/>
                  </w:rPr>
                  <w:t>***</w:t>
                </w:r>
              </w:p>
            </w:tc>
            <w:tc>
              <w:tcPr>
                <w:tcW w:w="172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vertAlign w:val="superscript"/>
                    <w:lang w:eastAsia="ar-SA"/>
                  </w:rPr>
                </w:pPr>
                <w:r>
                  <w:rPr>
                    <w:sz w:val="20"/>
                    <w:szCs w:val="24"/>
                    <w:lang w:eastAsia="ar-SA"/>
                  </w:rPr>
                  <w:t>12</w:t>
                </w:r>
                <w:r>
                  <w:rPr>
                    <w:sz w:val="20"/>
                    <w:szCs w:val="24"/>
                    <w:vertAlign w:val="superscript"/>
                    <w:lang w:eastAsia="ar-SA"/>
                  </w:rPr>
                  <w:t>***</w:t>
                </w:r>
              </w:p>
            </w:tc>
          </w:tr>
          <w:tr>
            <w:trPr>
              <w:cantSplit/>
              <w:trHeight w:val="20"/>
              <w:tblHeader/>
            </w:trPr>
            <w:tc>
              <w:tcPr>
                <w:tcW w:w="3060" w:type="dxa"/>
                <w:tcBorders>
                  <w:top w:val="single" w:sz="4" w:space="0" w:color="auto"/>
                  <w:left w:val="single" w:sz="4" w:space="0" w:color="auto"/>
                  <w:bottom w:val="single" w:sz="4" w:space="0" w:color="auto"/>
                  <w:right w:val="single" w:sz="4" w:space="0" w:color="auto"/>
                </w:tcBorders>
                <w:vAlign w:val="center"/>
              </w:tcPr>
              <w:p>
                <w:pPr>
                  <w:suppressAutoHyphens/>
                  <w:rPr>
                    <w:sz w:val="20"/>
                    <w:szCs w:val="24"/>
                    <w:lang w:eastAsia="ar-SA"/>
                  </w:rPr>
                </w:pPr>
                <w:r>
                  <w:rPr>
                    <w:sz w:val="20"/>
                    <w:szCs w:val="24"/>
                    <w:lang w:eastAsia="ar-SA"/>
                  </w:rPr>
                  <w:t>11. Bendro naudojimo kelio kelkraštis</w:t>
                </w:r>
              </w:p>
            </w:tc>
            <w:tc>
              <w:tcPr>
                <w:tcW w:w="144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60</w:t>
                </w:r>
              </w:p>
            </w:tc>
            <w:tc>
              <w:tcPr>
                <w:tcW w:w="162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21</w:t>
                </w:r>
              </w:p>
            </w:tc>
            <w:tc>
              <w:tcPr>
                <w:tcW w:w="171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39</w:t>
                </w:r>
              </w:p>
            </w:tc>
            <w:tc>
              <w:tcPr>
                <w:tcW w:w="172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9</w:t>
                </w:r>
              </w:p>
            </w:tc>
          </w:tr>
          <w:tr>
            <w:trPr>
              <w:cantSplit/>
              <w:trHeight w:val="20"/>
              <w:tblHeader/>
            </w:trPr>
            <w:tc>
              <w:tcPr>
                <w:tcW w:w="3060" w:type="dxa"/>
                <w:tcBorders>
                  <w:top w:val="single" w:sz="4" w:space="0" w:color="auto"/>
                  <w:left w:val="single" w:sz="4" w:space="0" w:color="auto"/>
                  <w:bottom w:val="single" w:sz="4" w:space="0" w:color="auto"/>
                  <w:right w:val="single" w:sz="4" w:space="0" w:color="auto"/>
                </w:tcBorders>
                <w:vAlign w:val="center"/>
              </w:tcPr>
              <w:p>
                <w:pPr>
                  <w:suppressAutoHyphens/>
                  <w:rPr>
                    <w:sz w:val="20"/>
                    <w:szCs w:val="24"/>
                    <w:lang w:eastAsia="ar-SA"/>
                  </w:rPr>
                </w:pPr>
                <w:r>
                  <w:rPr>
                    <w:sz w:val="20"/>
                    <w:szCs w:val="24"/>
                    <w:lang w:eastAsia="ar-SA"/>
                  </w:rPr>
                  <w:t>12. Sklypo vidaus kelio ir įvažiavimo kelkraštis</w:t>
                </w:r>
              </w:p>
            </w:tc>
            <w:tc>
              <w:tcPr>
                <w:tcW w:w="144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21</w:t>
                </w:r>
              </w:p>
            </w:tc>
            <w:tc>
              <w:tcPr>
                <w:tcW w:w="162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9</w:t>
                </w:r>
              </w:p>
            </w:tc>
            <w:tc>
              <w:tcPr>
                <w:tcW w:w="171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9</w:t>
                </w:r>
              </w:p>
            </w:tc>
            <w:tc>
              <w:tcPr>
                <w:tcW w:w="172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9</w:t>
                </w:r>
              </w:p>
            </w:tc>
          </w:tr>
        </w:tbl>
        <w:p>
          <w:pPr>
            <w:suppressAutoHyphens/>
            <w:ind w:firstLine="709"/>
            <w:jc w:val="both"/>
            <w:rPr>
              <w:caps/>
              <w:szCs w:val="24"/>
              <w:lang w:eastAsia="ar-SA"/>
            </w:rPr>
          </w:pPr>
        </w:p>
        <w:p>
          <w:pPr>
            <w:suppressAutoHyphens/>
            <w:ind w:firstLine="709"/>
            <w:jc w:val="both"/>
            <w:rPr>
              <w:szCs w:val="24"/>
              <w:lang w:eastAsia="ar-SA"/>
            </w:rPr>
          </w:pPr>
          <w:r>
            <w:rPr>
              <w:caps/>
              <w:szCs w:val="24"/>
              <w:lang w:eastAsia="ar-SA"/>
            </w:rPr>
            <w:t>D</w:t>
          </w:r>
          <w:r>
            <w:rPr>
              <w:caps/>
              <w:szCs w:val="24"/>
              <w:vertAlign w:val="superscript"/>
              <w:lang w:eastAsia="ar-SA"/>
            </w:rPr>
            <w:t xml:space="preserve">* </w:t>
          </w:r>
          <w:r>
            <w:rPr>
              <w:caps/>
              <w:szCs w:val="24"/>
              <w:lang w:eastAsia="ar-SA"/>
            </w:rPr>
            <w:t>–</w:t>
          </w:r>
          <w:r>
            <w:rPr>
              <w:caps/>
              <w:szCs w:val="24"/>
              <w:vertAlign w:val="superscript"/>
              <w:lang w:eastAsia="ar-SA"/>
            </w:rPr>
            <w:t xml:space="preserve"> </w:t>
          </w:r>
          <w:r>
            <w:rPr>
              <w:szCs w:val="24"/>
              <w:lang w:eastAsia="ar-SA"/>
            </w:rPr>
            <w:t>aušintuvo diametras įėjimo angos aukštyje;</w:t>
          </w:r>
        </w:p>
        <w:p>
          <w:pPr>
            <w:suppressAutoHyphens/>
            <w:ind w:firstLine="709"/>
            <w:jc w:val="both"/>
            <w:rPr>
              <w:szCs w:val="24"/>
              <w:lang w:eastAsia="ar-SA"/>
            </w:rPr>
          </w:pPr>
          <w:r>
            <w:rPr>
              <w:szCs w:val="24"/>
              <w:lang w:eastAsia="ar-SA"/>
            </w:rPr>
            <w:t>** – kai sekcijos plotas iki 20 m</w:t>
          </w:r>
          <w:r>
            <w:rPr>
              <w:szCs w:val="24"/>
              <w:vertAlign w:val="superscript"/>
              <w:lang w:eastAsia="ar-SA"/>
            </w:rPr>
            <w:t xml:space="preserve">2 </w:t>
          </w:r>
          <w:r>
            <w:rPr>
              <w:szCs w:val="24"/>
              <w:lang w:eastAsia="ar-SA"/>
            </w:rPr>
            <w:t>– 9 m, nuo 20 iki 100 m</w:t>
          </w:r>
          <w:r>
            <w:rPr>
              <w:szCs w:val="24"/>
              <w:vertAlign w:val="superscript"/>
              <w:lang w:eastAsia="ar-SA"/>
            </w:rPr>
            <w:t xml:space="preserve">2 </w:t>
          </w:r>
          <w:r>
            <w:rPr>
              <w:szCs w:val="24"/>
              <w:lang w:eastAsia="ar-SA"/>
            </w:rPr>
            <w:t>– 15 m, nuo 100 iki 200 m</w:t>
          </w:r>
          <w:r>
            <w:rPr>
              <w:szCs w:val="24"/>
              <w:vertAlign w:val="superscript"/>
              <w:lang w:eastAsia="ar-SA"/>
            </w:rPr>
            <w:t xml:space="preserve">2 </w:t>
          </w:r>
          <w:r>
            <w:rPr>
              <w:szCs w:val="24"/>
              <w:lang w:eastAsia="ar-SA"/>
            </w:rPr>
            <w:t>–</w:t>
          </w:r>
          <w:r>
            <w:rPr>
              <w:szCs w:val="24"/>
              <w:vertAlign w:val="superscript"/>
              <w:lang w:eastAsia="ar-SA"/>
            </w:rPr>
            <w:t xml:space="preserve"> </w:t>
          </w:r>
          <w:r>
            <w:rPr>
              <w:szCs w:val="24"/>
              <w:lang w:eastAsia="ar-SA"/>
            </w:rPr>
            <w:t>21 m, didesnis kaip 200 m</w:t>
          </w:r>
          <w:r>
            <w:rPr>
              <w:szCs w:val="24"/>
              <w:vertAlign w:val="superscript"/>
              <w:lang w:eastAsia="ar-SA"/>
            </w:rPr>
            <w:t xml:space="preserve">2 </w:t>
          </w:r>
          <w:r>
            <w:rPr>
              <w:szCs w:val="24"/>
              <w:lang w:eastAsia="ar-SA"/>
            </w:rPr>
            <w:t>–</w:t>
          </w:r>
          <w:r>
            <w:rPr>
              <w:szCs w:val="24"/>
              <w:vertAlign w:val="superscript"/>
              <w:lang w:eastAsia="ar-SA"/>
            </w:rPr>
            <w:t xml:space="preserve"> </w:t>
          </w:r>
          <w:r>
            <w:rPr>
              <w:szCs w:val="24"/>
              <w:lang w:eastAsia="ar-SA"/>
            </w:rPr>
            <w:t>24 m.</w:t>
          </w:r>
        </w:p>
        <w:p>
          <w:pPr>
            <w:suppressAutoHyphens/>
            <w:ind w:firstLine="709"/>
            <w:jc w:val="both"/>
            <w:rPr>
              <w:szCs w:val="24"/>
              <w:lang w:eastAsia="ar-SA"/>
            </w:rPr>
          </w:pPr>
          <w:r>
            <w:rPr>
              <w:szCs w:val="24"/>
              <w:lang w:eastAsia="ar-SA"/>
            </w:rPr>
            <w:t>*** – kai konstrukcijos yra iš B ir žemesnės degumo klasės statybos produktų, atstumas priimamas 21 m.</w:t>
          </w:r>
        </w:p>
        <w:p>
          <w:pPr>
            <w:suppressAutoHyphens/>
            <w:ind w:firstLine="709"/>
            <w:jc w:val="both"/>
            <w:rPr>
              <w:i/>
              <w:iCs/>
              <w:szCs w:val="24"/>
              <w:lang w:eastAsia="ar-SA"/>
            </w:rPr>
          </w:pPr>
          <w:r>
            <w:rPr>
              <w:i/>
              <w:iCs/>
              <w:szCs w:val="24"/>
              <w:lang w:eastAsia="ar-SA"/>
            </w:rPr>
            <w:t>Pastabos:</w:t>
          </w:r>
        </w:p>
        <w:sdt>
          <w:sdtPr>
            <w:alias w:val="2 pr. 1 p."/>
            <w:tag w:val="part_7ac43ba7ac294c938d8251bc52a5526f"/>
            <w:lock w:val="sdtLocked"/>
            <w:richText/>
          </w:sdtPr>
          <w:sdtContent>
            <w:p>
              <w:pPr>
                <w:suppressAutoHyphens/>
                <w:ind w:firstLine="709"/>
                <w:jc w:val="both"/>
                <w:rPr>
                  <w:szCs w:val="24"/>
                  <w:lang w:eastAsia="ar-SA"/>
                </w:rPr>
              </w:pPr>
              <w:sdt>
                <w:sdtPr>
                  <w:alias w:val="Numeris"/>
                  <w:tag w:val="nr_7ac43ba7ac294c938d8251bc52a5526f"/>
                  <w:lock w:val="sdtLocked"/>
                  <w:richText/>
                </w:sdtPr>
                <w:sdtContent>
                  <w:r>
                    <w:rPr>
                      <w:caps/>
                      <w:szCs w:val="24"/>
                      <w:lang w:eastAsia="ar-SA"/>
                    </w:rPr>
                    <w:t>1</w:t>
                  </w:r>
                </w:sdtContent>
              </w:sdt>
              <w:r>
                <w:rPr>
                  <w:caps/>
                  <w:szCs w:val="24"/>
                  <w:lang w:eastAsia="ar-SA"/>
                </w:rPr>
                <w:t xml:space="preserve">. 2 </w:t>
              </w:r>
              <w:r>
                <w:rPr>
                  <w:szCs w:val="24"/>
                  <w:lang w:eastAsia="ar-SA"/>
                </w:rPr>
                <w:t>lentelės 1–4 punktuose nurodyti atstumai turi būti priimami prošvaisoje tarp vienodo tipo aušintuvų. Pursliniai baseinai išdėstomi vienoje eilėje.</w:t>
              </w:r>
            </w:p>
            <w:p>
              <w:pPr>
                <w:suppressAutoHyphens/>
                <w:ind w:firstLine="709"/>
                <w:jc w:val="both"/>
                <w:rPr>
                  <w:szCs w:val="24"/>
                  <w:lang w:eastAsia="ar-SA"/>
                </w:rPr>
              </w:pPr>
              <w:r>
                <w:rPr>
                  <w:szCs w:val="24"/>
                  <w:lang w:eastAsia="ar-SA"/>
                </w:rPr>
                <w:t>Kai eilėse išdėstomi skirtingų plotų aušintuvai, atstumai tarp eilių priimami pagal didesnio ploto aušintuvus.</w:t>
              </w:r>
            </w:p>
          </w:sdtContent>
        </w:sdt>
        <w:sdt>
          <w:sdtPr>
            <w:alias w:val="2 pr. 2 p."/>
            <w:tag w:val="part_af1918c8aa0d4dbfa59b36060df7eba4"/>
            <w:lock w:val="sdtLocked"/>
            <w:richText/>
          </w:sdtPr>
          <w:sdtContent>
            <w:p>
              <w:pPr>
                <w:suppressAutoHyphens/>
                <w:ind w:firstLine="709"/>
                <w:jc w:val="both"/>
                <w:rPr>
                  <w:szCs w:val="24"/>
                  <w:lang w:eastAsia="ar-SA"/>
                </w:rPr>
              </w:pPr>
              <w:sdt>
                <w:sdtPr>
                  <w:alias w:val="Numeris"/>
                  <w:tag w:val="nr_af1918c8aa0d4dbfa59b36060df7eba4"/>
                  <w:lock w:val="sdtLocked"/>
                  <w:richText/>
                </w:sdtPr>
                <w:sdtContent>
                  <w:r>
                    <w:rPr>
                      <w:szCs w:val="24"/>
                      <w:lang w:eastAsia="ar-SA"/>
                    </w:rPr>
                    <w:t>2</w:t>
                  </w:r>
                </w:sdtContent>
              </w:sdt>
              <w:r>
                <w:rPr>
                  <w:szCs w:val="24"/>
                  <w:lang w:eastAsia="ar-SA"/>
                </w:rPr>
                <w:t>. Atstumai tarp aušintuvų su vienu ventiliatoriumi nustatomi priklausomai nuo inžinerinių tinklų ir įrenginių išdėstymo, bet neturi būti mažesni kaip 15 m. Šio tipo aušintuvų atstumai nuo statinių priimami kaip bokštinių aušintuvų.</w:t>
              </w:r>
            </w:p>
          </w:sdtContent>
        </w:sdt>
        <w:sdt>
          <w:sdtPr>
            <w:alias w:val="2 pr. 3 p."/>
            <w:tag w:val="part_046617ac39344c92879d4d016044e7fd"/>
            <w:lock w:val="sdtLocked"/>
            <w:richText/>
          </w:sdtPr>
          <w:sdtContent>
            <w:p>
              <w:pPr>
                <w:suppressAutoHyphens/>
                <w:ind w:firstLine="709"/>
                <w:jc w:val="both"/>
                <w:rPr>
                  <w:szCs w:val="24"/>
                  <w:lang w:eastAsia="ar-SA"/>
                </w:rPr>
              </w:pPr>
              <w:sdt>
                <w:sdtPr>
                  <w:alias w:val="Numeris"/>
                  <w:tag w:val="nr_046617ac39344c92879d4d016044e7fd"/>
                  <w:lock w:val="sdtLocked"/>
                  <w:richText/>
                </w:sdtPr>
                <w:sdtContent>
                  <w:r>
                    <w:rPr>
                      <w:szCs w:val="24"/>
                      <w:lang w:eastAsia="ar-SA"/>
                    </w:rPr>
                    <w:t>3</w:t>
                  </w:r>
                </w:sdtContent>
              </w:sdt>
              <w:r>
                <w:rPr>
                  <w:szCs w:val="24"/>
                  <w:lang w:eastAsia="ar-SA"/>
                </w:rPr>
                <w:t>. Atstumai tarp bokštinių aušintuvų eilių lentelėje nurodyti, kai šio tipo aušintuvų plotas yra ne didesnis kaip 3200 m</w:t>
              </w:r>
              <w:r>
                <w:rPr>
                  <w:szCs w:val="24"/>
                  <w:vertAlign w:val="superscript"/>
                  <w:lang w:eastAsia="ar-SA"/>
                </w:rPr>
                <w:t>2</w:t>
              </w:r>
              <w:r>
                <w:rPr>
                  <w:szCs w:val="24"/>
                  <w:lang w:eastAsia="ar-SA"/>
                </w:rPr>
                <w:t>. Kai plotas yra didesnis, atstumai nustatomi techniškai pagrindus.</w:t>
              </w:r>
            </w:p>
          </w:sdtContent>
        </w:sdt>
        <w:sdt>
          <w:sdtPr>
            <w:alias w:val="2 pr. 4 p."/>
            <w:tag w:val="part_56423515cbf14f97afd4601a84892dc0"/>
            <w:lock w:val="sdtLocked"/>
            <w:richText/>
          </w:sdtPr>
          <w:sdtContent>
            <w:p>
              <w:pPr>
                <w:suppressAutoHyphens/>
                <w:ind w:firstLine="709"/>
                <w:jc w:val="both"/>
                <w:rPr>
                  <w:szCs w:val="24"/>
                  <w:lang w:eastAsia="ar-SA"/>
                </w:rPr>
              </w:pPr>
              <w:sdt>
                <w:sdtPr>
                  <w:alias w:val="Numeris"/>
                  <w:tag w:val="nr_56423515cbf14f97afd4601a84892dc0"/>
                  <w:lock w:val="sdtLocked"/>
                  <w:richText/>
                </w:sdtPr>
                <w:sdtContent>
                  <w:r>
                    <w:rPr>
                      <w:szCs w:val="24"/>
                      <w:lang w:eastAsia="ar-SA"/>
                    </w:rPr>
                    <w:t>4</w:t>
                  </w:r>
                </w:sdtContent>
              </w:sdt>
              <w:r>
                <w:rPr>
                  <w:szCs w:val="24"/>
                  <w:lang w:eastAsia="ar-SA"/>
                </w:rPr>
                <w:t>. Atstumas tarp aušintuvų, išdėstytų vienoje eilėje, turi būti:</w:t>
              </w:r>
            </w:p>
            <w:p>
              <w:pPr>
                <w:suppressAutoHyphens/>
                <w:ind w:firstLine="709"/>
                <w:jc w:val="both"/>
                <w:rPr>
                  <w:szCs w:val="24"/>
                  <w:lang w:eastAsia="ar-SA"/>
                </w:rPr>
              </w:pPr>
              <w:r>
                <w:rPr>
                  <w:szCs w:val="24"/>
                  <w:lang w:eastAsia="ar-SA"/>
                </w:rPr>
                <w:t>bokštinių aušintuvų – lygus 0,4 aušintuvo diametro (aušintuvo pagrindo lygyje), bet ne mažiau kaip 12 m;</w:t>
              </w:r>
            </w:p>
            <w:p>
              <w:pPr>
                <w:suppressAutoHyphens/>
                <w:ind w:firstLine="709"/>
                <w:jc w:val="both"/>
                <w:rPr>
                  <w:szCs w:val="24"/>
                  <w:lang w:eastAsia="ar-SA"/>
                </w:rPr>
              </w:pPr>
              <w:r>
                <w:rPr>
                  <w:szCs w:val="24"/>
                  <w:lang w:eastAsia="ar-SA"/>
                </w:rPr>
                <w:t>ventiliatorinių sekcijinių antžeminių ar ant statinio denginio statomų aušintuvų – 3 m;</w:t>
              </w:r>
            </w:p>
            <w:p>
              <w:pPr>
                <w:suppressAutoHyphens/>
                <w:ind w:firstLine="709"/>
                <w:jc w:val="both"/>
                <w:rPr>
                  <w:szCs w:val="24"/>
                  <w:lang w:eastAsia="ar-SA"/>
                </w:rPr>
              </w:pPr>
              <w:r>
                <w:rPr>
                  <w:szCs w:val="24"/>
                  <w:lang w:eastAsia="ar-SA"/>
                </w:rPr>
                <w:t>aušintuvų su vienu ventiliatoriumi – du kartus didesnis už jų įėjimo angų aukštį, bet ne mažesnis kaip 3 m.</w:t>
              </w:r>
            </w:p>
          </w:sdtContent>
        </w:sdt>
        <w:sdt>
          <w:sdtPr>
            <w:alias w:val="2 pr. 5 p."/>
            <w:tag w:val="part_03e140ce30454d098e148d8bef07a7b8"/>
            <w:lock w:val="sdtLocked"/>
            <w:richText/>
          </w:sdtPr>
          <w:sdtContent>
            <w:p>
              <w:pPr>
                <w:suppressAutoHyphens/>
                <w:ind w:firstLine="709"/>
                <w:jc w:val="both"/>
                <w:rPr>
                  <w:szCs w:val="24"/>
                  <w:lang w:eastAsia="ar-SA"/>
                </w:rPr>
              </w:pPr>
              <w:sdt>
                <w:sdtPr>
                  <w:alias w:val="Numeris"/>
                  <w:tag w:val="nr_03e140ce30454d098e148d8bef07a7b8"/>
                  <w:lock w:val="sdtLocked"/>
                  <w:richText/>
                </w:sdtPr>
                <w:sdtContent>
                  <w:r>
                    <w:rPr>
                      <w:szCs w:val="24"/>
                      <w:lang w:eastAsia="ar-SA"/>
                    </w:rPr>
                    <w:t>5</w:t>
                  </w:r>
                </w:sdtContent>
              </w:sdt>
              <w:r>
                <w:rPr>
                  <w:szCs w:val="24"/>
                  <w:lang w:eastAsia="ar-SA"/>
                </w:rPr>
                <w:t>. Atstumus, išskyrus nurodytus lentelės 7 punkte, nuo atviro tipo sandėlių, jei juose sandėliuojami kalis, kalcio karbidas, natris ir kitos medžiagos, kurios sąveikoje su vandeniu sudaro sprogius mišinius, leidžiama sumažinti: aušintuvams iki 20 m</w:t>
              </w:r>
              <w:r>
                <w:rPr>
                  <w:szCs w:val="24"/>
                  <w:vertAlign w:val="superscript"/>
                  <w:lang w:eastAsia="ar-SA"/>
                </w:rPr>
                <w:t>2</w:t>
              </w:r>
              <w:r>
                <w:rPr>
                  <w:szCs w:val="24"/>
                  <w:lang w:eastAsia="ar-SA"/>
                </w:rPr>
                <w:t xml:space="preserve"> ploto – ne daugiau kaip 40%, nuo 20</w:t>
              </w:r>
              <w:r>
                <w:rPr>
                  <w:szCs w:val="24"/>
                  <w:vertAlign w:val="superscript"/>
                  <w:lang w:eastAsia="ar-SA"/>
                </w:rPr>
                <w:t xml:space="preserve"> </w:t>
              </w:r>
              <w:r>
                <w:rPr>
                  <w:szCs w:val="24"/>
                  <w:lang w:eastAsia="ar-SA"/>
                </w:rPr>
                <w:t>iki 100 m</w:t>
              </w:r>
              <w:r>
                <w:rPr>
                  <w:szCs w:val="24"/>
                  <w:vertAlign w:val="superscript"/>
                  <w:lang w:eastAsia="ar-SA"/>
                </w:rPr>
                <w:t xml:space="preserve">2 </w:t>
              </w:r>
              <w:r>
                <w:rPr>
                  <w:szCs w:val="24"/>
                  <w:lang w:eastAsia="ar-SA"/>
                </w:rPr>
                <w:t>ploto – 30 m. Bet kuriuo atveju atstumas neturi būti mažesnis kaip 6 m.</w:t>
              </w:r>
            </w:p>
          </w:sdtContent>
        </w:sdt>
        <w:sdt>
          <w:sdtPr>
            <w:alias w:val="2 pr. 6 p."/>
            <w:tag w:val="part_9c935d9271bd436593d3c1075ff515db"/>
            <w:lock w:val="sdtLocked"/>
            <w:richText/>
          </w:sdtPr>
          <w:sdtContent>
            <w:p>
              <w:pPr>
                <w:suppressAutoHyphens/>
                <w:ind w:firstLine="709"/>
                <w:jc w:val="both"/>
                <w:rPr>
                  <w:szCs w:val="24"/>
                  <w:lang w:eastAsia="ar-SA"/>
                </w:rPr>
              </w:pPr>
              <w:sdt>
                <w:sdtPr>
                  <w:alias w:val="Numeris"/>
                  <w:tag w:val="nr_9c935d9271bd436593d3c1075ff515db"/>
                  <w:lock w:val="sdtLocked"/>
                  <w:richText/>
                </w:sdtPr>
                <w:sdtContent>
                  <w:r>
                    <w:rPr>
                      <w:szCs w:val="24"/>
                      <w:lang w:eastAsia="ar-SA"/>
                    </w:rPr>
                    <w:t>6</w:t>
                  </w:r>
                </w:sdtContent>
              </w:sdt>
              <w:r>
                <w:rPr>
                  <w:szCs w:val="24"/>
                  <w:lang w:eastAsia="ar-SA"/>
                </w:rPr>
                <w:t>. Statinių sienos, kurios yra iš neatsparių šalčiui statybos produktų, turi būti apsaugotos techninėmis priemonėmis nuo sudrėkimo ir apšalimo.</w:t>
              </w:r>
            </w:p>
          </w:sdtContent>
        </w:sdt>
        <w:sdt>
          <w:sdtPr>
            <w:alias w:val="2 pr. 7 p."/>
            <w:tag w:val="part_515644f450f744a2a95ea13786dcb5bd"/>
            <w:lock w:val="sdtLocked"/>
            <w:richText/>
          </w:sdtPr>
          <w:sdtContent>
            <w:p>
              <w:pPr>
                <w:suppressAutoHyphens/>
                <w:ind w:firstLine="709"/>
                <w:jc w:val="both"/>
                <w:rPr>
                  <w:szCs w:val="24"/>
                  <w:lang w:eastAsia="ar-SA"/>
                </w:rPr>
              </w:pPr>
              <w:sdt>
                <w:sdtPr>
                  <w:alias w:val="Numeris"/>
                  <w:tag w:val="nr_515644f450f744a2a95ea13786dcb5bd"/>
                  <w:lock w:val="sdtLocked"/>
                  <w:richText/>
                </w:sdtPr>
                <w:sdtContent>
                  <w:r>
                    <w:rPr>
                      <w:szCs w:val="24"/>
                      <w:lang w:eastAsia="ar-SA"/>
                    </w:rPr>
                    <w:t>7</w:t>
                  </w:r>
                </w:sdtContent>
              </w:sdt>
              <w:r>
                <w:rPr>
                  <w:szCs w:val="24"/>
                  <w:lang w:eastAsia="ar-SA"/>
                </w:rPr>
                <w:t>. Rekonstruojant statinius, atstumus tarp aušintuvų ir atstumus tarp aušintuvų ir kitų statinių leidžiama sumažinti, bet ne daugiau kaip 25%.</w:t>
              </w:r>
            </w:p>
          </w:sdtContent>
        </w:sdt>
        <w:sdt>
          <w:sdtPr>
            <w:alias w:val="2 pr. 8 p."/>
            <w:tag w:val="part_d0c5f193e45f41d1a9344808046058d2"/>
            <w:lock w:val="sdtLocked"/>
            <w:richText/>
          </w:sdtPr>
          <w:sdtContent>
            <w:p>
              <w:pPr>
                <w:suppressAutoHyphens/>
                <w:ind w:firstLine="709"/>
                <w:jc w:val="both"/>
                <w:rPr>
                  <w:szCs w:val="24"/>
                  <w:lang w:eastAsia="ar-SA"/>
                </w:rPr>
              </w:pPr>
              <w:sdt>
                <w:sdtPr>
                  <w:alias w:val="Numeris"/>
                  <w:tag w:val="nr_d0c5f193e45f41d1a9344808046058d2"/>
                  <w:lock w:val="sdtLocked"/>
                  <w:richText/>
                </w:sdtPr>
                <w:sdtContent>
                  <w:r>
                    <w:rPr>
                      <w:szCs w:val="24"/>
                      <w:lang w:eastAsia="ar-SA"/>
                    </w:rPr>
                    <w:t>8</w:t>
                  </w:r>
                </w:sdtContent>
              </w:sdt>
              <w:r>
                <w:rPr>
                  <w:szCs w:val="24"/>
                  <w:lang w:eastAsia="ar-SA"/>
                </w:rPr>
                <w:t>. Atstumai tarp aušintuvų ir kelių, antžeminių ir pakeltųjų tinklų, skirtų aušintuvų naudojimo reikmėms, nenormuojami.</w:t>
              </w:r>
            </w:p>
          </w:sdtContent>
        </w:sdt>
        <w:sdt>
          <w:sdtPr>
            <w:alias w:val="2 pr. 9 p."/>
            <w:tag w:val="part_8d615867ed5844868d348bf0352acd03"/>
            <w:lock w:val="sdtLocked"/>
            <w:richText/>
          </w:sdtPr>
          <w:sdtContent>
            <w:p>
              <w:pPr>
                <w:suppressAutoHyphens/>
                <w:ind w:firstLine="709"/>
                <w:jc w:val="both"/>
                <w:rPr>
                  <w:szCs w:val="24"/>
                  <w:lang w:eastAsia="ar-SA"/>
                </w:rPr>
              </w:pPr>
              <w:sdt>
                <w:sdtPr>
                  <w:alias w:val="Numeris"/>
                  <w:tag w:val="nr_8d615867ed5844868d348bf0352acd03"/>
                  <w:lock w:val="sdtLocked"/>
                  <w:richText/>
                </w:sdtPr>
                <w:sdtContent>
                  <w:r>
                    <w:rPr>
                      <w:szCs w:val="24"/>
                      <w:lang w:eastAsia="ar-SA"/>
                    </w:rPr>
                    <w:t>9</w:t>
                  </w:r>
                </w:sdtContent>
              </w:sdt>
              <w:r>
                <w:rPr>
                  <w:szCs w:val="24"/>
                  <w:lang w:eastAsia="ar-SA"/>
                </w:rPr>
                <w:t>. Atstumus, nurodytus lentelės 5-8 punktuose, leidžiama sumažinti 25% su sąlyga, kad aušintuvai bus naudojami tik šiltuoju metu periodu, kai oro temperatūra yra teigiama.</w:t>
              </w:r>
            </w:p>
          </w:sdtContent>
        </w:sdt>
        <w:sdt>
          <w:sdtPr>
            <w:alias w:val="2 pr. 10 p."/>
            <w:tag w:val="part_0f212f084bea44bcbc80e59cf5c803fa"/>
            <w:lock w:val="sdtLocked"/>
            <w:richText/>
          </w:sdtPr>
          <w:sdtContent>
            <w:p>
              <w:pPr>
                <w:suppressAutoHyphens/>
                <w:ind w:firstLine="709"/>
                <w:jc w:val="both"/>
                <w:rPr>
                  <w:szCs w:val="24"/>
                  <w:lang w:eastAsia="ar-SA"/>
                </w:rPr>
              </w:pPr>
              <w:sdt>
                <w:sdtPr>
                  <w:alias w:val="Numeris"/>
                  <w:tag w:val="nr_0f212f084bea44bcbc80e59cf5c803fa"/>
                  <w:lock w:val="sdtLocked"/>
                  <w:richText/>
                </w:sdtPr>
                <w:sdtContent>
                  <w:r>
                    <w:rPr>
                      <w:szCs w:val="24"/>
                      <w:lang w:eastAsia="ar-SA"/>
                    </w:rPr>
                    <w:t>10</w:t>
                  </w:r>
                </w:sdtContent>
              </w:sdt>
              <w:r>
                <w:rPr>
                  <w:szCs w:val="24"/>
                  <w:lang w:eastAsia="ar-SA"/>
                </w:rPr>
                <w:t>. Atstumai tarp ventiliatorinių sekcijinių aušintuvų, statomų ant statinio denginio, iki išorinių to paties statinio sienų nenormuojami.</w:t>
              </w:r>
            </w:p>
            <w:p>
              <w:pPr>
                <w:suppressAutoHyphens/>
                <w:ind w:firstLine="709"/>
                <w:jc w:val="both"/>
                <w:rPr>
                  <w:szCs w:val="24"/>
                  <w:lang w:eastAsia="ar-SA"/>
                </w:rPr>
              </w:pPr>
              <w:r>
                <w:rPr>
                  <w:szCs w:val="24"/>
                  <w:lang w:eastAsia="ar-SA"/>
                </w:rPr>
                <w:t>Atstumas nuo ventiliatorinių sekcijinių aušintuvų iki statinio paaukštintų dalių sienų priimamas pagal lentelės 5 punkto reikalavimus.</w:t>
              </w:r>
            </w:p>
          </w:sdtContent>
        </w:sdt>
        <w:sdt>
          <w:sdtPr>
            <w:alias w:val="2 pr. 11 p."/>
            <w:tag w:val="part_7ffa8cb9f0f246218016b9bdaef2212a"/>
            <w:lock w:val="sdtLocked"/>
            <w:richText/>
          </w:sdtPr>
          <w:sdtContent>
            <w:p>
              <w:pPr>
                <w:suppressAutoHyphens/>
                <w:ind w:firstLine="709"/>
                <w:jc w:val="both"/>
                <w:rPr>
                  <w:szCs w:val="24"/>
                  <w:lang w:eastAsia="ar-SA"/>
                </w:rPr>
              </w:pPr>
              <w:sdt>
                <w:sdtPr>
                  <w:alias w:val="Numeris"/>
                  <w:tag w:val="nr_7ffa8cb9f0f246218016b9bdaef2212a"/>
                  <w:lock w:val="sdtLocked"/>
                  <w:richText/>
                </w:sdtPr>
                <w:sdtContent>
                  <w:r>
                    <w:rPr>
                      <w:szCs w:val="24"/>
                      <w:lang w:eastAsia="ar-SA"/>
                    </w:rPr>
                    <w:t>11</w:t>
                  </w:r>
                </w:sdtContent>
              </w:sdt>
              <w:r>
                <w:rPr>
                  <w:szCs w:val="24"/>
                  <w:lang w:eastAsia="ar-SA"/>
                </w:rPr>
                <w:t>. Mažiausias atstumas tarp aušintuvų, kurių našumas yra ne didesnis, kaip 100 m</w:t>
              </w:r>
              <w:r>
                <w:rPr>
                  <w:szCs w:val="24"/>
                  <w:vertAlign w:val="superscript"/>
                  <w:lang w:eastAsia="ar-SA"/>
                </w:rPr>
                <w:t>3</w:t>
              </w:r>
              <w:r>
                <w:rPr>
                  <w:szCs w:val="24"/>
                  <w:lang w:eastAsia="ar-SA"/>
                </w:rPr>
                <w:t>/h:</w:t>
              </w:r>
            </w:p>
            <w:p>
              <w:pPr>
                <w:suppressAutoHyphens/>
                <w:ind w:firstLine="709"/>
                <w:jc w:val="both"/>
                <w:rPr>
                  <w:szCs w:val="24"/>
                  <w:lang w:eastAsia="ar-SA"/>
                </w:rPr>
              </w:pPr>
              <w:r>
                <w:rPr>
                  <w:szCs w:val="24"/>
                  <w:lang w:eastAsia="ar-SA"/>
                </w:rPr>
                <w:t>iki statinių, kurių sienos atsparios šalčiui – 15 m;</w:t>
              </w:r>
            </w:p>
            <w:p>
              <w:pPr>
                <w:suppressAutoHyphens/>
                <w:ind w:firstLine="709"/>
                <w:jc w:val="both"/>
                <w:rPr>
                  <w:szCs w:val="24"/>
                  <w:lang w:eastAsia="ar-SA"/>
                </w:rPr>
              </w:pPr>
              <w:r>
                <w:rPr>
                  <w:szCs w:val="24"/>
                  <w:lang w:eastAsia="ar-SA"/>
                </w:rPr>
                <w:t>iki atvirų transformatorinių pastočių – 40 m;</w:t>
              </w:r>
            </w:p>
            <w:p>
              <w:pPr>
                <w:suppressAutoHyphens/>
                <w:ind w:firstLine="709"/>
                <w:jc w:val="both"/>
                <w:rPr>
                  <w:szCs w:val="24"/>
                  <w:lang w:eastAsia="ar-SA"/>
                </w:rPr>
              </w:pPr>
              <w:r>
                <w:rPr>
                  <w:szCs w:val="24"/>
                  <w:lang w:eastAsia="ar-SA"/>
                </w:rPr>
                <w:t>iki gamyklinio (Sklypo) geležinkelio privažiuojamojo kelio ašies – 15 m;</w:t>
              </w:r>
            </w:p>
            <w:p>
              <w:pPr>
                <w:suppressAutoHyphens/>
                <w:ind w:firstLine="709"/>
                <w:jc w:val="both"/>
                <w:rPr>
                  <w:szCs w:val="24"/>
                  <w:lang w:eastAsia="ar-SA"/>
                </w:rPr>
              </w:pPr>
              <w:r>
                <w:rPr>
                  <w:szCs w:val="24"/>
                  <w:lang w:eastAsia="ar-SA"/>
                </w:rPr>
                <w:t>iki Sklypo vidaus kelio ar įvažiavimo kelkraščio – 6 m.</w:t>
              </w:r>
            </w:p>
          </w:sdtContent>
        </w:sdt>
        <w:sdt>
          <w:sdtPr>
            <w:alias w:val="2 pr. 12 p."/>
            <w:tag w:val="part_b56fc7fbb7ec453a946d54e979125edc"/>
            <w:lock w:val="sdtLocked"/>
            <w:richText/>
          </w:sdtPr>
          <w:sdtContent>
            <w:p>
              <w:pPr>
                <w:suppressAutoHyphens/>
                <w:ind w:firstLine="709"/>
                <w:jc w:val="both"/>
                <w:rPr>
                  <w:szCs w:val="24"/>
                  <w:lang w:eastAsia="ar-SA"/>
                </w:rPr>
              </w:pPr>
              <w:sdt>
                <w:sdtPr>
                  <w:alias w:val="Numeris"/>
                  <w:tag w:val="nr_b56fc7fbb7ec453a946d54e979125edc"/>
                  <w:lock w:val="sdtLocked"/>
                  <w:richText/>
                </w:sdtPr>
                <w:sdtContent>
                  <w:r>
                    <w:rPr>
                      <w:szCs w:val="24"/>
                      <w:lang w:eastAsia="ar-SA"/>
                    </w:rPr>
                    <w:t>12</w:t>
                  </w:r>
                </w:sdtContent>
              </w:sdt>
              <w:r>
                <w:rPr>
                  <w:szCs w:val="24"/>
                  <w:lang w:eastAsia="ar-SA"/>
                </w:rPr>
                <w:t>. Aplink purslinius baseinus turi būti įrengta vandens nepraleidžianti danga, kurios plotis ne mažesnis kaip 2,5 m, su nuolydžiu, pakankamu vandeniui nutekėti.</w:t>
              </w:r>
            </w:p>
          </w:sdtContent>
        </w:sdt>
        <w:sdt>
          <w:sdtPr>
            <w:alias w:val="2 pr. 13 p."/>
            <w:tag w:val="part_6e222953c6864a119ba178f70032e7fc"/>
            <w:lock w:val="sdtLocked"/>
            <w:richText/>
          </w:sdtPr>
          <w:sdtContent>
            <w:p>
              <w:pPr>
                <w:suppressAutoHyphens/>
                <w:ind w:firstLine="709"/>
                <w:jc w:val="both"/>
                <w:rPr>
                  <w:szCs w:val="24"/>
                  <w:lang w:eastAsia="ar-SA"/>
                </w:rPr>
              </w:pPr>
              <w:sdt>
                <w:sdtPr>
                  <w:alias w:val="Numeris"/>
                  <w:tag w:val="nr_6e222953c6864a119ba178f70032e7fc"/>
                  <w:lock w:val="sdtLocked"/>
                  <w:richText/>
                </w:sdtPr>
                <w:sdtContent>
                  <w:r>
                    <w:rPr>
                      <w:szCs w:val="24"/>
                      <w:lang w:eastAsia="ar-SA"/>
                    </w:rPr>
                    <w:t>13</w:t>
                  </w:r>
                </w:sdtContent>
              </w:sdt>
              <w:r>
                <w:rPr>
                  <w:szCs w:val="24"/>
                  <w:lang w:eastAsia="ar-SA"/>
                </w:rPr>
                <w:t xml:space="preserve">. Atstumai nuo atvirų nusodintuvų iki kitų statinių turi būti priimami tokie patys, kaip nuo ventiliatorinių sekcijinių antžeminių aušintuvų. </w:t>
              </w:r>
            </w:p>
            <w:p>
              <w:pPr>
                <w:suppressAutoHyphens/>
                <w:jc w:val="center"/>
                <w:rPr>
                  <w:szCs w:val="24"/>
                  <w:lang w:eastAsia="ar-SA"/>
                </w:rPr>
              </w:pPr>
              <w:r>
                <w:rPr>
                  <w:szCs w:val="24"/>
                  <w:lang w:eastAsia="ar-SA"/>
                </w:rPr>
                <w:t>______________</w:t>
              </w:r>
            </w:p>
          </w:sdtContent>
        </w:sdt>
      </w:sdtContent>
    </w:sdt>
    <w:sdt>
      <w:sdtPr>
        <w:alias w:val="3 pr."/>
        <w:tag w:val="part_957c441e390346259e06fb08645ebd94"/>
        <w:lock w:val="sdtLocked"/>
        <w:richText/>
      </w:sdtPr>
      <w:sdtContent>
        <w:p>
          <w:pPr>
            <w:suppressAutoHyphens/>
            <w:ind w:firstLine="5102"/>
          </w:pPr>
          <w:r>
            <w:br w:type="page"/>
          </w:r>
        </w:p>
        <w:p>
          <w:pPr>
            <w:suppressAutoHyphens/>
            <w:ind w:firstLine="5102"/>
            <w:rPr>
              <w:szCs w:val="24"/>
              <w:lang w:eastAsia="ar-SA"/>
            </w:rPr>
          </w:pPr>
          <w:r>
            <w:rPr>
              <w:szCs w:val="24"/>
              <w:lang w:eastAsia="ar-SA"/>
            </w:rPr>
            <w:t xml:space="preserve">STR 2.03.02:2005 </w:t>
          </w:r>
        </w:p>
        <w:p>
          <w:pPr>
            <w:suppressAutoHyphens/>
            <w:ind w:firstLine="5102"/>
            <w:rPr>
              <w:szCs w:val="24"/>
              <w:lang w:eastAsia="ar-SA"/>
            </w:rPr>
          </w:pPr>
          <w:sdt>
            <w:sdtPr>
              <w:alias w:val="Numeris"/>
              <w:tag w:val="nr_957c441e390346259e06fb08645ebd94"/>
              <w:lock w:val="sdtLocked"/>
              <w:richText/>
            </w:sdtPr>
            <w:sdtContent>
              <w:r>
                <w:rPr>
                  <w:szCs w:val="24"/>
                  <w:lang w:eastAsia="ar-SA"/>
                </w:rPr>
                <w:t>3</w:t>
              </w:r>
            </w:sdtContent>
          </w:sdt>
          <w:r>
            <w:rPr>
              <w:szCs w:val="24"/>
              <w:lang w:eastAsia="ar-SA"/>
            </w:rPr>
            <w:t xml:space="preserve"> priedas </w:t>
          </w:r>
        </w:p>
        <w:p>
          <w:pPr>
            <w:suppressAutoHyphens/>
            <w:jc w:val="center"/>
            <w:rPr>
              <w:b/>
              <w:bCs/>
              <w:szCs w:val="24"/>
              <w:lang w:eastAsia="ar-SA"/>
            </w:rPr>
          </w:pPr>
        </w:p>
        <w:p>
          <w:pPr>
            <w:keepNext/>
            <w:tabs>
              <w:tab w:val="num" w:pos="0"/>
            </w:tabs>
            <w:suppressAutoHyphens/>
            <w:jc w:val="center"/>
            <w:outlineLvl w:val="1"/>
            <w:rPr>
              <w:b/>
              <w:bCs/>
              <w:szCs w:val="24"/>
              <w:lang w:eastAsia="ar-SA"/>
            </w:rPr>
          </w:pPr>
          <w:sdt>
            <w:sdtPr>
              <w:alias w:val="Pavadinimas"/>
              <w:tag w:val="title_957c441e390346259e06fb08645ebd94"/>
              <w:lock w:val="sdtLocked"/>
              <w:richText/>
            </w:sdtPr>
            <w:sdtContent>
              <w:r>
                <w:rPr>
                  <w:b/>
                  <w:bCs/>
                  <w:szCs w:val="24"/>
                  <w:lang w:eastAsia="ar-SA"/>
                </w:rPr>
                <w:t>ATSTUMAI TARP BORTO AR KELKRAŠČIO IKI STATINIŲ</w:t>
              </w:r>
            </w:sdtContent>
          </w:sdt>
        </w:p>
        <w:p>
          <w:pPr>
            <w:suppressAutoHyphens/>
            <w:ind w:firstLine="709"/>
            <w:jc w:val="both"/>
            <w:rPr>
              <w:szCs w:val="24"/>
              <w:lang w:eastAsia="ar-SA"/>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37"/>
            <w:gridCol w:w="1500"/>
          </w:tblGrid>
          <w:tr>
            <w:trPr>
              <w:cantSplit/>
              <w:tblHeader/>
            </w:trPr>
            <w:tc>
              <w:tcPr>
                <w:tcW w:w="8388"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Pastatai ir inžineriniai statiniai</w:t>
                </w:r>
              </w:p>
            </w:tc>
            <w:tc>
              <w:tcPr>
                <w:tcW w:w="1540" w:type="dxa"/>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Atstumas iki borto ar kelkraščio, m</w:t>
                </w:r>
              </w:p>
            </w:tc>
          </w:tr>
          <w:tr>
            <w:trPr>
              <w:cantSplit/>
              <w:tblHeader/>
            </w:trPr>
            <w:tc>
              <w:tcPr>
                <w:tcW w:w="8388"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1. Pastatų sienų išoriniai paviršiai, įskaitant prieangius ir priestatus:</w:t>
                </w:r>
              </w:p>
              <w:p>
                <w:pPr>
                  <w:suppressAutoHyphens/>
                  <w:rPr>
                    <w:sz w:val="20"/>
                    <w:szCs w:val="24"/>
                    <w:lang w:eastAsia="ar-SA"/>
                  </w:rPr>
                </w:pPr>
                <w:r>
                  <w:rPr>
                    <w:sz w:val="20"/>
                    <w:szCs w:val="24"/>
                    <w:lang w:eastAsia="ar-SA"/>
                  </w:rPr>
                  <w:t>a) be įvažiavimų į pastatą, kai pastato ilgis iki 20 m</w:t>
                </w:r>
              </w:p>
              <w:p>
                <w:pPr>
                  <w:suppressAutoHyphens/>
                  <w:rPr>
                    <w:sz w:val="20"/>
                    <w:szCs w:val="24"/>
                    <w:lang w:eastAsia="ar-SA"/>
                  </w:rPr>
                </w:pPr>
                <w:r>
                  <w:rPr>
                    <w:sz w:val="20"/>
                    <w:szCs w:val="24"/>
                    <w:lang w:eastAsia="ar-SA"/>
                  </w:rPr>
                  <w:t>b) taip pat, kai pastatas ilgesnis nei 20 m</w:t>
                </w:r>
              </w:p>
              <w:p>
                <w:pPr>
                  <w:suppressAutoHyphens/>
                  <w:rPr>
                    <w:sz w:val="20"/>
                    <w:szCs w:val="24"/>
                    <w:lang w:eastAsia="ar-SA"/>
                  </w:rPr>
                </w:pPr>
                <w:r>
                  <w:rPr>
                    <w:sz w:val="20"/>
                    <w:szCs w:val="24"/>
                    <w:lang w:eastAsia="ar-SA"/>
                  </w:rPr>
                  <w:t xml:space="preserve">c) kai įvažiavimas į pastatą skirtas dviašiams automobiliams ir autokrautuvams </w:t>
                </w:r>
              </w:p>
              <w:p>
                <w:pPr>
                  <w:suppressAutoHyphens/>
                  <w:rPr>
                    <w:sz w:val="20"/>
                    <w:szCs w:val="24"/>
                    <w:lang w:eastAsia="ar-SA"/>
                  </w:rPr>
                </w:pPr>
                <w:r>
                  <w:rPr>
                    <w:sz w:val="20"/>
                    <w:szCs w:val="24"/>
                    <w:lang w:eastAsia="ar-SA"/>
                  </w:rPr>
                  <w:t>d) kai įvažiavimas į pastatą skirtas triašiams automobiliams</w:t>
                </w:r>
              </w:p>
              <w:p>
                <w:pPr>
                  <w:suppressAutoHyphens/>
                  <w:rPr>
                    <w:sz w:val="20"/>
                    <w:szCs w:val="24"/>
                    <w:lang w:eastAsia="ar-SA"/>
                  </w:rPr>
                </w:pPr>
                <w:r>
                  <w:rPr>
                    <w:sz w:val="20"/>
                    <w:szCs w:val="24"/>
                    <w:lang w:eastAsia="ar-SA"/>
                  </w:rPr>
                  <w:t>e) kai įvažiavimas į pastatą skirtas tik elektriniams vežimėliams</w:t>
                </w:r>
              </w:p>
            </w:tc>
            <w:tc>
              <w:tcPr>
                <w:tcW w:w="15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p>
                <w:pPr>
                  <w:suppressAutoHyphens/>
                  <w:jc w:val="center"/>
                  <w:rPr>
                    <w:sz w:val="20"/>
                    <w:szCs w:val="24"/>
                    <w:lang w:eastAsia="ar-SA"/>
                  </w:rPr>
                </w:pPr>
                <w:r>
                  <w:rPr>
                    <w:sz w:val="20"/>
                    <w:szCs w:val="24"/>
                    <w:lang w:eastAsia="ar-SA"/>
                  </w:rPr>
                  <w:t>1,5</w:t>
                </w:r>
              </w:p>
              <w:p>
                <w:pPr>
                  <w:suppressAutoHyphens/>
                  <w:jc w:val="center"/>
                  <w:rPr>
                    <w:sz w:val="20"/>
                    <w:szCs w:val="24"/>
                    <w:lang w:eastAsia="ar-SA"/>
                  </w:rPr>
                </w:pPr>
                <w:r>
                  <w:rPr>
                    <w:sz w:val="20"/>
                    <w:szCs w:val="24"/>
                    <w:lang w:eastAsia="ar-SA"/>
                  </w:rPr>
                  <w:t>3,0</w:t>
                </w:r>
              </w:p>
              <w:p>
                <w:pPr>
                  <w:suppressAutoHyphens/>
                  <w:jc w:val="center"/>
                  <w:rPr>
                    <w:sz w:val="20"/>
                    <w:szCs w:val="24"/>
                    <w:lang w:eastAsia="ar-SA"/>
                  </w:rPr>
                </w:pPr>
                <w:r>
                  <w:rPr>
                    <w:sz w:val="20"/>
                    <w:szCs w:val="24"/>
                    <w:lang w:eastAsia="ar-SA"/>
                  </w:rPr>
                  <w:t>8,0</w:t>
                </w:r>
              </w:p>
              <w:p>
                <w:pPr>
                  <w:suppressAutoHyphens/>
                  <w:jc w:val="center"/>
                  <w:rPr>
                    <w:sz w:val="20"/>
                    <w:szCs w:val="24"/>
                    <w:lang w:eastAsia="ar-SA"/>
                  </w:rPr>
                </w:pPr>
                <w:r>
                  <w:rPr>
                    <w:sz w:val="20"/>
                    <w:szCs w:val="24"/>
                    <w:lang w:eastAsia="ar-SA"/>
                  </w:rPr>
                  <w:t>12</w:t>
                </w:r>
              </w:p>
              <w:p>
                <w:pPr>
                  <w:suppressAutoHyphens/>
                  <w:jc w:val="center"/>
                  <w:rPr>
                    <w:sz w:val="20"/>
                    <w:szCs w:val="24"/>
                    <w:lang w:eastAsia="ar-SA"/>
                  </w:rPr>
                </w:pPr>
                <w:r>
                  <w:rPr>
                    <w:sz w:val="20"/>
                    <w:szCs w:val="24"/>
                    <w:lang w:eastAsia="ar-SA"/>
                  </w:rPr>
                  <w:t>5,0</w:t>
                </w:r>
              </w:p>
            </w:tc>
          </w:tr>
          <w:tr>
            <w:trPr>
              <w:cantSplit/>
              <w:tblHeader/>
            </w:trPr>
            <w:tc>
              <w:tcPr>
                <w:tcW w:w="8388"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2. Lygiagrečiai išdėstytų geležinkelių ašys:</w:t>
                </w:r>
              </w:p>
              <w:p>
                <w:pPr>
                  <w:suppressAutoHyphens/>
                  <w:ind w:firstLine="709"/>
                  <w:jc w:val="both"/>
                  <w:rPr>
                    <w:sz w:val="20"/>
                    <w:szCs w:val="24"/>
                    <w:lang w:eastAsia="ar-SA"/>
                  </w:rPr>
                </w:pPr>
                <w:r>
                  <w:rPr>
                    <w:sz w:val="20"/>
                    <w:szCs w:val="24"/>
                    <w:lang w:eastAsia="ar-SA"/>
                  </w:rPr>
                  <w:t>1520 (1524) mm</w:t>
                </w:r>
              </w:p>
              <w:p>
                <w:pPr>
                  <w:suppressAutoHyphens/>
                  <w:ind w:firstLine="709"/>
                  <w:jc w:val="both"/>
                  <w:rPr>
                    <w:sz w:val="20"/>
                    <w:szCs w:val="24"/>
                    <w:lang w:eastAsia="ar-SA"/>
                  </w:rPr>
                </w:pPr>
                <w:r>
                  <w:rPr>
                    <w:sz w:val="20"/>
                    <w:szCs w:val="24"/>
                    <w:lang w:eastAsia="ar-SA"/>
                  </w:rPr>
                  <w:t>750 mm</w:t>
                </w:r>
              </w:p>
            </w:tc>
            <w:tc>
              <w:tcPr>
                <w:tcW w:w="15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p>
                <w:pPr>
                  <w:suppressAutoHyphens/>
                  <w:jc w:val="center"/>
                  <w:rPr>
                    <w:sz w:val="20"/>
                    <w:szCs w:val="24"/>
                    <w:lang w:eastAsia="ar-SA"/>
                  </w:rPr>
                </w:pPr>
                <w:r>
                  <w:rPr>
                    <w:sz w:val="20"/>
                    <w:szCs w:val="24"/>
                    <w:lang w:eastAsia="ar-SA"/>
                  </w:rPr>
                  <w:t>3,75</w:t>
                </w:r>
              </w:p>
              <w:p>
                <w:pPr>
                  <w:suppressAutoHyphens/>
                  <w:jc w:val="center"/>
                  <w:rPr>
                    <w:sz w:val="20"/>
                    <w:szCs w:val="24"/>
                    <w:lang w:eastAsia="ar-SA"/>
                  </w:rPr>
                </w:pPr>
                <w:r>
                  <w:rPr>
                    <w:sz w:val="20"/>
                    <w:szCs w:val="24"/>
                    <w:lang w:eastAsia="ar-SA"/>
                  </w:rPr>
                  <w:t>3,0</w:t>
                </w:r>
              </w:p>
            </w:tc>
          </w:tr>
          <w:tr>
            <w:trPr>
              <w:cantSplit/>
              <w:tblHeader/>
            </w:trPr>
            <w:tc>
              <w:tcPr>
                <w:tcW w:w="8388"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3. Įmonės sklypo aptvaras</w:t>
                </w:r>
              </w:p>
            </w:tc>
            <w:tc>
              <w:tcPr>
                <w:tcW w:w="15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1,5</w:t>
                </w:r>
              </w:p>
            </w:tc>
          </w:tr>
          <w:tr>
            <w:trPr>
              <w:cantSplit/>
              <w:tblHeader/>
            </w:trPr>
            <w:tc>
              <w:tcPr>
                <w:tcW w:w="8388"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 xml:space="preserve">4. Estakadų atramų ir viadukų, dūmtraukių, stulpų, antenos stiebų, pastatų išsikišusių dalių: piliastrų, kontraforsų, išorinių laiptų ir pan. išorinės pusės </w:t>
                </w:r>
              </w:p>
            </w:tc>
            <w:tc>
              <w:tcPr>
                <w:tcW w:w="15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w:t>
                </w:r>
              </w:p>
            </w:tc>
          </w:tr>
          <w:tr>
            <w:trPr>
              <w:cantSplit/>
              <w:tblHeader/>
            </w:trPr>
            <w:tc>
              <w:tcPr>
                <w:tcW w:w="8388"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5. Geležinkelio, kuriuo pervežamas skystas metalas, šlakas, vežimėliai su liejiniais ir liejimo formomis, vežimėliai su mulda ir įkrovų medžiagų pervežimo dėžėmis</w:t>
                </w:r>
              </w:p>
            </w:tc>
            <w:tc>
              <w:tcPr>
                <w:tcW w:w="15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5,0</w:t>
                </w:r>
              </w:p>
            </w:tc>
          </w:tr>
        </w:tbl>
        <w:p>
          <w:pPr>
            <w:suppressAutoHyphens/>
            <w:ind w:firstLine="709"/>
            <w:jc w:val="both"/>
            <w:rPr>
              <w:szCs w:val="24"/>
              <w:lang w:eastAsia="ar-SA"/>
            </w:rPr>
          </w:pPr>
        </w:p>
        <w:p>
          <w:pPr>
            <w:suppressAutoHyphens/>
            <w:ind w:firstLine="709"/>
            <w:jc w:val="both"/>
            <w:rPr>
              <w:i/>
              <w:iCs/>
              <w:szCs w:val="24"/>
              <w:lang w:eastAsia="ar-SA"/>
            </w:rPr>
          </w:pPr>
          <w:r>
            <w:rPr>
              <w:i/>
              <w:iCs/>
              <w:szCs w:val="24"/>
              <w:lang w:eastAsia="ar-SA"/>
            </w:rPr>
            <w:t>Pastabos:</w:t>
          </w:r>
        </w:p>
        <w:sdt>
          <w:sdtPr>
            <w:alias w:val="3 pr. 1 p."/>
            <w:tag w:val="part_321334d8b30f44a3b41116caf2b6e2fc"/>
            <w:lock w:val="sdtLocked"/>
            <w:richText/>
          </w:sdtPr>
          <w:sdtContent>
            <w:p>
              <w:pPr>
                <w:suppressAutoHyphens/>
                <w:ind w:firstLine="709"/>
                <w:jc w:val="both"/>
                <w:rPr>
                  <w:szCs w:val="24"/>
                  <w:lang w:eastAsia="ar-SA"/>
                </w:rPr>
              </w:pPr>
              <w:sdt>
                <w:sdtPr>
                  <w:alias w:val="Numeris"/>
                  <w:tag w:val="nr_321334d8b30f44a3b41116caf2b6e2fc"/>
                  <w:lock w:val="sdtLocked"/>
                  <w:richText/>
                </w:sdtPr>
                <w:sdtContent>
                  <w:r>
                    <w:rPr>
                      <w:szCs w:val="24"/>
                      <w:lang w:eastAsia="ar-SA"/>
                    </w:rPr>
                    <w:t>1</w:t>
                  </w:r>
                </w:sdtContent>
              </w:sdt>
              <w:r>
                <w:rPr>
                  <w:szCs w:val="24"/>
                  <w:lang w:eastAsia="ar-SA"/>
                </w:rPr>
                <w:t>. Projektuojant kelius, skirtus vilkikams su šlajomis ilgiems kroviniams (rąstams, sijoms ir pan.) pervežti, posūkiuose ir kryžkelėse lentelėje nurodyti atstumai turi būti atitinkamai padidinti krovinio nuosvyros dydžiu pagal normatyvinius automobilių kelių reikalavimus.</w:t>
              </w:r>
            </w:p>
          </w:sdtContent>
        </w:sdt>
        <w:sdt>
          <w:sdtPr>
            <w:alias w:val="3 pr. 2 p."/>
            <w:tag w:val="part_52b51800b81c4d61a3e7a1512bebcfcd"/>
            <w:lock w:val="sdtLocked"/>
            <w:richText/>
          </w:sdtPr>
          <w:sdtContent>
            <w:p>
              <w:pPr>
                <w:suppressAutoHyphens/>
                <w:ind w:firstLine="709"/>
                <w:jc w:val="both"/>
                <w:rPr>
                  <w:szCs w:val="24"/>
                  <w:lang w:eastAsia="ar-SA"/>
                </w:rPr>
              </w:pPr>
              <w:sdt>
                <w:sdtPr>
                  <w:alias w:val="Numeris"/>
                  <w:tag w:val="nr_52b51800b81c4d61a3e7a1512bebcfcd"/>
                  <w:lock w:val="sdtLocked"/>
                  <w:richText/>
                </w:sdtPr>
                <w:sdtContent>
                  <w:r>
                    <w:rPr>
                      <w:szCs w:val="24"/>
                      <w:lang w:eastAsia="ar-SA"/>
                    </w:rPr>
                    <w:t>2</w:t>
                  </w:r>
                </w:sdtContent>
              </w:sdt>
              <w:r>
                <w:rPr>
                  <w:szCs w:val="24"/>
                  <w:lang w:eastAsia="ar-SA"/>
                </w:rPr>
                <w:t>. Atstumai nuo borto, važiuojamosios dalies pakraščio arba sustiprintos juostos kelkraščio iki medžių kamienų arba krūmų priklausomai nuo medžių ir krūmų veislių (bet ne mažesni už nurodytus 7 priede) nustatomi taip, kad medžių vainikai, įvertinus jų ir krūmų genėjimą, nepakibtų virš važiuojamosios dalies arba kelkraščio.</w:t>
              </w:r>
            </w:p>
          </w:sdtContent>
        </w:sdt>
        <w:sdt>
          <w:sdtPr>
            <w:alias w:val="3 pr. 3 p."/>
            <w:tag w:val="part_0091381d4edd497e9ac03ec862d23ec8"/>
            <w:lock w:val="sdtLocked"/>
            <w:richText/>
          </w:sdtPr>
          <w:sdtContent>
            <w:p>
              <w:pPr>
                <w:suppressAutoHyphens/>
                <w:ind w:firstLine="709"/>
                <w:jc w:val="both"/>
                <w:rPr>
                  <w:szCs w:val="24"/>
                  <w:lang w:eastAsia="ar-SA"/>
                </w:rPr>
              </w:pPr>
              <w:sdt>
                <w:sdtPr>
                  <w:alias w:val="Numeris"/>
                  <w:tag w:val="nr_0091381d4edd497e9ac03ec862d23ec8"/>
                  <w:lock w:val="sdtLocked"/>
                  <w:richText/>
                </w:sdtPr>
                <w:sdtContent>
                  <w:r>
                    <w:rPr>
                      <w:szCs w:val="24"/>
                      <w:lang w:eastAsia="ar-SA"/>
                    </w:rPr>
                    <w:t>3</w:t>
                  </w:r>
                </w:sdtContent>
              </w:sdt>
              <w:r>
                <w:rPr>
                  <w:szCs w:val="24"/>
                  <w:lang w:eastAsia="ar-SA"/>
                </w:rPr>
                <w:t>. Kai dviejų eismo juostų kelio plotis mažesnis kaip 3,75 m ir kai nėra borto ar sustiprintos kelkraščio juostos, atstumai atvejais, nurodytais lentelės 5 punkte, turi būti ne mažesni kaip 4,25 m nuo kelio ašies. Kai automobilio plotis didesnis kaip 2,5 m, nurodytas atstumas turi būti atitinkamai padidintas.</w:t>
              </w:r>
            </w:p>
          </w:sdtContent>
        </w:sdt>
        <w:sdt>
          <w:sdtPr>
            <w:alias w:val="3 pr. 4 p."/>
            <w:tag w:val="part_a3a8483731914364bb966ace005903ff"/>
            <w:lock w:val="sdtLocked"/>
            <w:richText/>
          </w:sdtPr>
          <w:sdtContent>
            <w:p>
              <w:pPr>
                <w:suppressAutoHyphens/>
                <w:ind w:firstLine="709"/>
                <w:jc w:val="both"/>
                <w:rPr>
                  <w:szCs w:val="24"/>
                  <w:lang w:eastAsia="ar-SA"/>
                </w:rPr>
              </w:pPr>
              <w:sdt>
                <w:sdtPr>
                  <w:alias w:val="Numeris"/>
                  <w:tag w:val="nr_a3a8483731914364bb966ace005903ff"/>
                  <w:lock w:val="sdtLocked"/>
                  <w:richText/>
                </w:sdtPr>
                <w:sdtContent>
                  <w:r>
                    <w:rPr>
                      <w:szCs w:val="24"/>
                      <w:lang w:eastAsia="ar-SA"/>
                    </w:rPr>
                    <w:t>4</w:t>
                  </w:r>
                </w:sdtContent>
              </w:sdt>
              <w:r>
                <w:rPr>
                  <w:szCs w:val="24"/>
                  <w:lang w:eastAsia="ar-SA"/>
                </w:rPr>
                <w:t>. Automobilių su priekabomis įvažiavimams į cechą atstumas nuo cecho sienos iki kelio turi būti nustatytas apskaičiavimais.</w:t>
              </w:r>
            </w:p>
          </w:sdtContent>
        </w:sdt>
        <w:sdt>
          <w:sdtPr>
            <w:alias w:val="3 pr. 5 p."/>
            <w:tag w:val="part_e1f93294bc774ab498be3fbfa5c2ee10"/>
            <w:lock w:val="sdtLocked"/>
            <w:richText/>
          </w:sdtPr>
          <w:sdtContent>
            <w:p>
              <w:pPr>
                <w:suppressAutoHyphens/>
                <w:ind w:firstLine="709"/>
                <w:jc w:val="both"/>
                <w:rPr>
                  <w:szCs w:val="24"/>
                  <w:lang w:eastAsia="ar-SA"/>
                </w:rPr>
              </w:pPr>
              <w:sdt>
                <w:sdtPr>
                  <w:alias w:val="Numeris"/>
                  <w:tag w:val="nr_e1f93294bc774ab498be3fbfa5c2ee10"/>
                  <w:lock w:val="sdtLocked"/>
                  <w:richText/>
                </w:sdtPr>
                <w:sdtContent>
                  <w:r>
                    <w:rPr>
                      <w:szCs w:val="24"/>
                      <w:lang w:eastAsia="ar-SA"/>
                    </w:rPr>
                    <w:t>5</w:t>
                  </w:r>
                </w:sdtContent>
              </w:sdt>
              <w:r>
                <w:rPr>
                  <w:szCs w:val="24"/>
                  <w:lang w:eastAsia="ar-SA"/>
                </w:rPr>
                <w:t xml:space="preserve">. Atstumus, nurodytus šios lentelės 1c–1e punktuose, rekonstravimo metu leidžiama sumažinti 3 kartus su sąlyga, kad bus užtikrintas kelių eismo saugumas. </w:t>
              </w:r>
            </w:p>
            <w:p>
              <w:pPr>
                <w:suppressAutoHyphens/>
                <w:jc w:val="center"/>
                <w:rPr>
                  <w:szCs w:val="24"/>
                  <w:lang w:eastAsia="ar-SA"/>
                </w:rPr>
              </w:pPr>
              <w:r>
                <w:rPr>
                  <w:szCs w:val="24"/>
                  <w:lang w:eastAsia="ar-SA"/>
                </w:rPr>
                <w:t>______________</w:t>
              </w:r>
            </w:p>
          </w:sdtContent>
        </w:sdt>
      </w:sdtContent>
    </w:sdt>
    <w:sdt>
      <w:sdtPr>
        <w:alias w:val="4 pr."/>
        <w:tag w:val="part_056b7a92269e4d08a920923509597d9d"/>
        <w:lock w:val="sdtLocked"/>
        <w:richText/>
      </w:sdtPr>
      <w:sdtContent>
        <w:p>
          <w:pPr>
            <w:suppressAutoHyphens/>
            <w:ind w:firstLine="5102"/>
          </w:pPr>
          <w:r>
            <w:br w:type="page"/>
          </w:r>
        </w:p>
        <w:p>
          <w:pPr>
            <w:suppressAutoHyphens/>
            <w:ind w:firstLine="5102"/>
            <w:rPr>
              <w:szCs w:val="24"/>
              <w:lang w:eastAsia="ar-SA"/>
            </w:rPr>
          </w:pPr>
          <w:r>
            <w:rPr>
              <w:szCs w:val="24"/>
              <w:lang w:eastAsia="ar-SA"/>
            </w:rPr>
            <w:t xml:space="preserve">STR 2.03.02:2005 </w:t>
          </w:r>
        </w:p>
        <w:p>
          <w:pPr>
            <w:suppressAutoHyphens/>
            <w:ind w:firstLine="5102"/>
            <w:rPr>
              <w:szCs w:val="24"/>
              <w:lang w:eastAsia="ar-SA"/>
            </w:rPr>
          </w:pPr>
          <w:sdt>
            <w:sdtPr>
              <w:alias w:val="Numeris"/>
              <w:tag w:val="nr_056b7a92269e4d08a920923509597d9d"/>
              <w:lock w:val="sdtLocked"/>
              <w:richText/>
            </w:sdtPr>
            <w:sdtContent>
              <w:r>
                <w:rPr>
                  <w:szCs w:val="24"/>
                  <w:lang w:eastAsia="ar-SA"/>
                </w:rPr>
                <w:t>4</w:t>
              </w:r>
            </w:sdtContent>
          </w:sdt>
          <w:r>
            <w:rPr>
              <w:szCs w:val="24"/>
              <w:lang w:eastAsia="ar-SA"/>
            </w:rPr>
            <w:t xml:space="preserve"> priedas </w:t>
          </w:r>
        </w:p>
        <w:p>
          <w:pPr>
            <w:suppressAutoHyphens/>
            <w:jc w:val="center"/>
            <w:rPr>
              <w:b/>
              <w:bCs/>
              <w:szCs w:val="24"/>
              <w:lang w:eastAsia="ar-SA"/>
            </w:rPr>
          </w:pPr>
        </w:p>
        <w:sdt>
          <w:sdtPr>
            <w:alias w:val="Pavadinimas"/>
            <w:tag w:val="title_056b7a92269e4d08a920923509597d9d"/>
            <w:lock w:val="sdtLocked"/>
            <w:richText/>
          </w:sdtPr>
          <w:sdtContent>
            <w:p>
              <w:pPr>
                <w:suppressAutoHyphens/>
                <w:jc w:val="center"/>
                <w:rPr>
                  <w:b/>
                  <w:bCs/>
                  <w:szCs w:val="24"/>
                  <w:lang w:eastAsia="ar-SA"/>
                </w:rPr>
              </w:pPr>
              <w:r>
                <w:rPr>
                  <w:b/>
                  <w:bCs/>
                  <w:szCs w:val="24"/>
                  <w:lang w:eastAsia="ar-SA"/>
                </w:rPr>
                <w:t>ATSTUMAI NUO SKLYPO VIDAUS GELEŽINKELIO AŠIES IKI STATINIŲ ELEMENTŲ</w:t>
              </w:r>
            </w:p>
            <w:p>
              <w:pPr>
                <w:suppressAutoHyphens/>
                <w:jc w:val="center"/>
                <w:rPr>
                  <w:b/>
                  <w:bCs/>
                  <w:szCs w:val="24"/>
                  <w:lang w:eastAsia="ar-SA"/>
                </w:rPr>
              </w:pPr>
              <w:r>
                <w:rPr>
                  <w:b/>
                  <w:bCs/>
                  <w:szCs w:val="24"/>
                  <w:lang w:eastAsia="ar-SA"/>
                </w:rPr>
                <w:t>(išskyrus atvejus, nurodytus Reglamento 3 priede)</w:t>
              </w:r>
            </w:p>
          </w:sdtContent>
        </w:sdt>
        <w:p>
          <w:pPr>
            <w:suppressAutoHyphens/>
            <w:ind w:firstLine="709"/>
            <w:jc w:val="both"/>
            <w:rPr>
              <w:caps/>
              <w:szCs w:val="24"/>
              <w:lang w:eastAsia="ar-SA"/>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90"/>
            <w:gridCol w:w="2012"/>
            <w:gridCol w:w="1935"/>
          </w:tblGrid>
          <w:tr>
            <w:trPr>
              <w:cantSplit/>
              <w:trHeight w:val="20"/>
              <w:tblHeader/>
            </w:trPr>
            <w:tc>
              <w:tcPr>
                <w:tcW w:w="5868" w:type="dxa"/>
                <w:vMerge w:val="restart"/>
                <w:tcBorders>
                  <w:top w:val="single" w:sz="4" w:space="0" w:color="auto"/>
                  <w:left w:val="single" w:sz="4" w:space="0" w:color="auto"/>
                  <w:bottom w:val="single" w:sz="4" w:space="0" w:color="auto"/>
                  <w:right w:val="single" w:sz="4" w:space="0" w:color="auto"/>
                </w:tcBorders>
                <w:vAlign w:val="center"/>
              </w:tcPr>
              <w:p>
                <w:pPr>
                  <w:tabs>
                    <w:tab w:val="num" w:pos="0"/>
                  </w:tabs>
                  <w:suppressAutoHyphens/>
                  <w:jc w:val="center"/>
                  <w:outlineLvl w:val="7"/>
                  <w:rPr>
                    <w:sz w:val="20"/>
                    <w:szCs w:val="24"/>
                    <w:lang w:eastAsia="ar-SA"/>
                  </w:rPr>
                </w:pPr>
                <w:r>
                  <w:rPr>
                    <w:sz w:val="20"/>
                    <w:szCs w:val="24"/>
                    <w:lang w:eastAsia="ar-SA"/>
                  </w:rPr>
                  <w:t>Statinių elementai</w:t>
                </w:r>
              </w:p>
            </w:tc>
            <w:tc>
              <w:tcPr>
                <w:tcW w:w="4060" w:type="dxa"/>
                <w:gridSpan w:val="2"/>
                <w:tcBorders>
                  <w:top w:val="single" w:sz="4" w:space="0" w:color="auto"/>
                  <w:left w:val="single" w:sz="4" w:space="0" w:color="auto"/>
                  <w:bottom w:val="single" w:sz="4" w:space="0" w:color="auto"/>
                  <w:right w:val="single" w:sz="4" w:space="0" w:color="auto"/>
                </w:tcBorders>
                <w:vAlign w:val="center"/>
              </w:tcPr>
              <w:p>
                <w:pPr>
                  <w:tabs>
                    <w:tab w:val="num" w:pos="0"/>
                  </w:tabs>
                  <w:suppressAutoHyphens/>
                  <w:jc w:val="center"/>
                  <w:outlineLvl w:val="1"/>
                  <w:rPr>
                    <w:sz w:val="20"/>
                    <w:szCs w:val="24"/>
                    <w:lang w:eastAsia="ar-SA"/>
                  </w:rPr>
                </w:pPr>
                <w:r>
                  <w:rPr>
                    <w:sz w:val="20"/>
                    <w:szCs w:val="24"/>
                    <w:lang w:eastAsia="ar-SA"/>
                  </w:rPr>
                  <w:t>Atstumai, m, kai geležinkelio vėžė, mm</w:t>
                </w:r>
              </w:p>
            </w:tc>
          </w:tr>
          <w:tr>
            <w:trPr>
              <w:cantSplit/>
              <w:trHeight w:val="20"/>
              <w:tblHeader/>
            </w:trPr>
            <w:tc>
              <w:tcPr>
                <w:tcW w:w="5687" w:type="dxa"/>
                <w:vMerge/>
                <w:tcBorders>
                  <w:top w:val="single" w:sz="4" w:space="0" w:color="auto"/>
                  <w:left w:val="single" w:sz="4" w:space="0" w:color="auto"/>
                  <w:bottom w:val="single" w:sz="4" w:space="0" w:color="auto"/>
                  <w:right w:val="single" w:sz="4" w:space="0" w:color="auto"/>
                </w:tcBorders>
                <w:vAlign w:val="center"/>
              </w:tcPr>
              <w:p>
                <w:pPr>
                  <w:rPr>
                    <w:sz w:val="20"/>
                    <w:szCs w:val="24"/>
                    <w:lang w:eastAsia="ar-SA"/>
                  </w:rPr>
                </w:pP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caps/>
                    <w:sz w:val="20"/>
                    <w:szCs w:val="24"/>
                    <w:lang w:eastAsia="ar-SA"/>
                  </w:rPr>
                </w:pPr>
                <w:r>
                  <w:rPr>
                    <w:caps/>
                    <w:sz w:val="20"/>
                    <w:szCs w:val="24"/>
                    <w:lang w:eastAsia="ar-SA"/>
                  </w:rPr>
                  <w:t>1520 (1524)</w:t>
                </w:r>
              </w:p>
            </w:tc>
            <w:tc>
              <w:tcPr>
                <w:tcW w:w="1990" w:type="dxa"/>
                <w:tcBorders>
                  <w:top w:val="single" w:sz="4" w:space="0" w:color="auto"/>
                  <w:left w:val="single" w:sz="4" w:space="0" w:color="auto"/>
                  <w:bottom w:val="single" w:sz="4" w:space="0" w:color="auto"/>
                  <w:right w:val="single" w:sz="4" w:space="0" w:color="auto"/>
                </w:tcBorders>
              </w:tcPr>
              <w:p>
                <w:pPr>
                  <w:suppressAutoHyphens/>
                  <w:jc w:val="center"/>
                  <w:rPr>
                    <w:caps/>
                    <w:sz w:val="20"/>
                    <w:szCs w:val="24"/>
                    <w:lang w:eastAsia="ar-SA"/>
                  </w:rPr>
                </w:pPr>
                <w:r>
                  <w:rPr>
                    <w:caps/>
                    <w:sz w:val="20"/>
                    <w:szCs w:val="24"/>
                    <w:lang w:eastAsia="ar-SA"/>
                  </w:rPr>
                  <w:t>750</w:t>
                </w:r>
              </w:p>
            </w:tc>
          </w:tr>
          <w:tr>
            <w:trPr>
              <w:cantSplit/>
              <w:trHeight w:val="20"/>
              <w:tblHeader/>
            </w:trPr>
            <w:tc>
              <w:tcPr>
                <w:tcW w:w="5868"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1. Išorinės pastatų sienų ar išsikišusių dalių: piliastrų, kontraforsų, prieangių, laiptų ir pan. pusės:</w:t>
                </w:r>
              </w:p>
              <w:p>
                <w:pPr>
                  <w:suppressAutoHyphens/>
                  <w:rPr>
                    <w:sz w:val="20"/>
                    <w:szCs w:val="24"/>
                    <w:lang w:eastAsia="ar-SA"/>
                  </w:rPr>
                </w:pPr>
                <w:r>
                  <w:rPr>
                    <w:sz w:val="20"/>
                    <w:szCs w:val="24"/>
                    <w:lang w:eastAsia="ar-SA"/>
                  </w:rPr>
                  <w:t xml:space="preserve">a) kai nėra išėjimų iš pastato </w:t>
                </w:r>
              </w:p>
              <w:p>
                <w:pPr>
                  <w:suppressAutoHyphens/>
                  <w:rPr>
                    <w:sz w:val="20"/>
                    <w:szCs w:val="24"/>
                    <w:lang w:eastAsia="ar-SA"/>
                  </w:rPr>
                </w:pPr>
                <w:r>
                  <w:rPr>
                    <w:sz w:val="20"/>
                    <w:szCs w:val="24"/>
                    <w:lang w:eastAsia="ar-SA"/>
                  </w:rPr>
                  <w:t xml:space="preserve">b) kai yra išėjimai iš pastato </w:t>
                </w:r>
              </w:p>
              <w:p>
                <w:pPr>
                  <w:suppressAutoHyphens/>
                  <w:rPr>
                    <w:sz w:val="20"/>
                    <w:szCs w:val="24"/>
                    <w:lang w:eastAsia="ar-SA"/>
                  </w:rPr>
                </w:pPr>
                <w:r>
                  <w:rPr>
                    <w:sz w:val="20"/>
                    <w:szCs w:val="24"/>
                    <w:lang w:eastAsia="ar-SA"/>
                  </w:rPr>
                  <w:t xml:space="preserve">c) kai yra išėjimai iš pastato ir įrengti aptvariniai barjerai (ne ilgesni kaip 10 m), išdėstyti tarp išėjimų iš pastato ir geležinkelių, lygiagretūs pastato sienoms </w:t>
                </w:r>
              </w:p>
            </w:tc>
            <w:tc>
              <w:tcPr>
                <w:tcW w:w="2070" w:type="dxa"/>
                <w:tcBorders>
                  <w:top w:val="single" w:sz="4" w:space="0" w:color="auto"/>
                  <w:left w:val="single" w:sz="4" w:space="0" w:color="auto"/>
                  <w:bottom w:val="single" w:sz="4" w:space="0" w:color="auto"/>
                  <w:right w:val="single" w:sz="4" w:space="0" w:color="auto"/>
                </w:tcBorders>
              </w:tcPr>
              <w:p>
                <w:pPr>
                  <w:suppressAutoHyphens/>
                  <w:jc w:val="both"/>
                  <w:rPr>
                    <w:caps/>
                    <w:sz w:val="20"/>
                    <w:szCs w:val="24"/>
                    <w:lang w:eastAsia="ar-SA"/>
                  </w:rPr>
                </w:pPr>
              </w:p>
              <w:p>
                <w:pPr>
                  <w:suppressAutoHyphens/>
                  <w:jc w:val="both"/>
                  <w:rPr>
                    <w:caps/>
                    <w:sz w:val="20"/>
                    <w:szCs w:val="24"/>
                    <w:lang w:eastAsia="ar-SA"/>
                  </w:rPr>
                </w:pPr>
              </w:p>
              <w:p>
                <w:pPr>
                  <w:suppressAutoHyphens/>
                  <w:jc w:val="center"/>
                  <w:rPr>
                    <w:caps/>
                    <w:sz w:val="20"/>
                    <w:szCs w:val="24"/>
                    <w:lang w:eastAsia="ar-SA"/>
                  </w:rPr>
                </w:pPr>
                <w:r>
                  <w:rPr>
                    <w:caps/>
                    <w:sz w:val="20"/>
                    <w:szCs w:val="24"/>
                    <w:lang w:eastAsia="ar-SA"/>
                  </w:rPr>
                  <w:t>3,1</w:t>
                </w:r>
              </w:p>
              <w:p>
                <w:pPr>
                  <w:suppressAutoHyphens/>
                  <w:jc w:val="center"/>
                  <w:rPr>
                    <w:caps/>
                    <w:sz w:val="20"/>
                    <w:szCs w:val="24"/>
                    <w:lang w:eastAsia="ar-SA"/>
                  </w:rPr>
                </w:pPr>
                <w:r>
                  <w:rPr>
                    <w:caps/>
                    <w:sz w:val="20"/>
                    <w:szCs w:val="24"/>
                    <w:lang w:eastAsia="ar-SA"/>
                  </w:rPr>
                  <w:t>6,0</w:t>
                </w:r>
              </w:p>
              <w:p>
                <w:pPr>
                  <w:suppressAutoHyphens/>
                  <w:jc w:val="center"/>
                  <w:rPr>
                    <w:caps/>
                    <w:sz w:val="20"/>
                    <w:szCs w:val="24"/>
                    <w:lang w:eastAsia="ar-SA"/>
                  </w:rPr>
                </w:pPr>
                <w:r>
                  <w:rPr>
                    <w:caps/>
                    <w:sz w:val="20"/>
                    <w:szCs w:val="24"/>
                    <w:lang w:eastAsia="ar-SA"/>
                  </w:rPr>
                  <w:t>4,5</w:t>
                </w:r>
              </w:p>
              <w:p>
                <w:pPr>
                  <w:suppressAutoHyphens/>
                  <w:jc w:val="both"/>
                  <w:rPr>
                    <w:caps/>
                    <w:sz w:val="20"/>
                    <w:szCs w:val="24"/>
                    <w:lang w:eastAsia="ar-SA"/>
                  </w:rPr>
                </w:pPr>
              </w:p>
            </w:tc>
            <w:tc>
              <w:tcPr>
                <w:tcW w:w="1990" w:type="dxa"/>
                <w:tcBorders>
                  <w:top w:val="single" w:sz="4" w:space="0" w:color="auto"/>
                  <w:left w:val="single" w:sz="4" w:space="0" w:color="auto"/>
                  <w:bottom w:val="single" w:sz="4" w:space="0" w:color="auto"/>
                  <w:right w:val="single" w:sz="4" w:space="0" w:color="auto"/>
                </w:tcBorders>
              </w:tcPr>
              <w:p>
                <w:pPr>
                  <w:suppressAutoHyphens/>
                  <w:jc w:val="both"/>
                  <w:rPr>
                    <w:caps/>
                    <w:sz w:val="20"/>
                    <w:szCs w:val="24"/>
                    <w:lang w:eastAsia="ar-SA"/>
                  </w:rPr>
                </w:pPr>
              </w:p>
              <w:p>
                <w:pPr>
                  <w:suppressAutoHyphens/>
                  <w:jc w:val="both"/>
                  <w:rPr>
                    <w:caps/>
                    <w:sz w:val="20"/>
                    <w:szCs w:val="24"/>
                    <w:lang w:eastAsia="ar-SA"/>
                  </w:rPr>
                </w:pPr>
              </w:p>
              <w:p>
                <w:pPr>
                  <w:suppressAutoHyphens/>
                  <w:jc w:val="center"/>
                  <w:rPr>
                    <w:caps/>
                    <w:sz w:val="20"/>
                    <w:szCs w:val="24"/>
                    <w:lang w:eastAsia="ar-SA"/>
                  </w:rPr>
                </w:pPr>
                <w:r>
                  <w:rPr>
                    <w:caps/>
                    <w:sz w:val="20"/>
                    <w:szCs w:val="24"/>
                    <w:lang w:eastAsia="ar-SA"/>
                  </w:rPr>
                  <w:t>2,3</w:t>
                </w:r>
              </w:p>
              <w:p>
                <w:pPr>
                  <w:suppressAutoHyphens/>
                  <w:jc w:val="center"/>
                  <w:rPr>
                    <w:caps/>
                    <w:sz w:val="20"/>
                    <w:szCs w:val="24"/>
                    <w:lang w:eastAsia="ar-SA"/>
                  </w:rPr>
                </w:pPr>
                <w:r>
                  <w:rPr>
                    <w:caps/>
                    <w:sz w:val="20"/>
                    <w:szCs w:val="24"/>
                    <w:lang w:eastAsia="ar-SA"/>
                  </w:rPr>
                  <w:t>5,0</w:t>
                </w:r>
              </w:p>
              <w:p>
                <w:pPr>
                  <w:suppressAutoHyphens/>
                  <w:jc w:val="center"/>
                  <w:rPr>
                    <w:caps/>
                    <w:sz w:val="20"/>
                    <w:szCs w:val="24"/>
                    <w:lang w:eastAsia="ar-SA"/>
                  </w:rPr>
                </w:pPr>
                <w:r>
                  <w:rPr>
                    <w:caps/>
                    <w:sz w:val="20"/>
                    <w:szCs w:val="24"/>
                    <w:lang w:eastAsia="ar-SA"/>
                  </w:rPr>
                  <w:t>3,5</w:t>
                </w:r>
              </w:p>
              <w:p>
                <w:pPr>
                  <w:suppressAutoHyphens/>
                  <w:jc w:val="both"/>
                  <w:rPr>
                    <w:caps/>
                    <w:sz w:val="20"/>
                    <w:szCs w:val="24"/>
                    <w:lang w:eastAsia="ar-SA"/>
                  </w:rPr>
                </w:pPr>
              </w:p>
            </w:tc>
          </w:tr>
          <w:tr>
            <w:trPr>
              <w:cantSplit/>
              <w:trHeight w:val="20"/>
              <w:tblHeader/>
            </w:trPr>
            <w:tc>
              <w:tcPr>
                <w:tcW w:w="5868" w:type="dxa"/>
                <w:tcBorders>
                  <w:top w:val="single" w:sz="4" w:space="0" w:color="auto"/>
                  <w:left w:val="single" w:sz="4" w:space="0" w:color="auto"/>
                  <w:bottom w:val="single" w:sz="4" w:space="0" w:color="auto"/>
                  <w:right w:val="single" w:sz="4" w:space="0" w:color="auto"/>
                </w:tcBorders>
              </w:tcPr>
              <w:p>
                <w:pPr>
                  <w:suppressAutoHyphens/>
                  <w:rPr>
                    <w:caps/>
                    <w:sz w:val="20"/>
                    <w:szCs w:val="24"/>
                    <w:lang w:eastAsia="ar-SA"/>
                  </w:rPr>
                </w:pPr>
                <w:r>
                  <w:rPr>
                    <w:sz w:val="20"/>
                    <w:szCs w:val="24"/>
                    <w:lang w:eastAsia="ar-SA"/>
                  </w:rPr>
                  <w:t>2. Pavienės kolonos, gamybinių pastatų vartų angų ar pastato išsikišusių dalių (piliastrų, kontraforsų, prieangių, laiptų ir pan.) statramsčiai, kai jų ilgis išilgai kelio ne didesnis kaip 1000 mm; išpylimo ir įpylimo, pakrovimo ir iškrovimo įrenginiai, judamojo sąstato techninio aptarnavimo, ekipiruotės, remonto įtaisai, taip pat kiti technologiniai įtaisai ne darbo padėtyje, išdėstyti stoties keliuose (išskyrus pagrindinius priėmimo ir išvažiavimo).</w:t>
                </w: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w:t>
                </w:r>
              </w:p>
            </w:tc>
            <w:tc>
              <w:tcPr>
                <w:tcW w:w="199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w:t>
                </w:r>
              </w:p>
            </w:tc>
          </w:tr>
          <w:tr>
            <w:trPr>
              <w:cantSplit/>
              <w:trHeight w:val="20"/>
              <w:tblHeader/>
            </w:trPr>
            <w:tc>
              <w:tcPr>
                <w:tcW w:w="5868" w:type="dxa"/>
                <w:tcBorders>
                  <w:top w:val="single" w:sz="4" w:space="0" w:color="auto"/>
                  <w:left w:val="single" w:sz="4" w:space="0" w:color="auto"/>
                  <w:bottom w:val="single" w:sz="4" w:space="0" w:color="auto"/>
                  <w:right w:val="single" w:sz="4" w:space="0" w:color="auto"/>
                </w:tcBorders>
              </w:tcPr>
              <w:p>
                <w:pPr>
                  <w:suppressAutoHyphens/>
                  <w:jc w:val="both"/>
                  <w:rPr>
                    <w:sz w:val="20"/>
                    <w:szCs w:val="24"/>
                    <w:lang w:eastAsia="ar-SA"/>
                  </w:rPr>
                </w:pPr>
                <w:r>
                  <w:rPr>
                    <w:sz w:val="20"/>
                    <w:szCs w:val="24"/>
                    <w:lang w:eastAsia="ar-SA"/>
                  </w:rPr>
                  <w:t>3. Apvalių rąstų sandėlis, kurio talpa – iki 10 000 m</w:t>
                </w:r>
                <w:r>
                  <w:rPr>
                    <w:sz w:val="20"/>
                    <w:szCs w:val="24"/>
                    <w:vertAlign w:val="superscript"/>
                    <w:lang w:eastAsia="ar-SA"/>
                  </w:rPr>
                  <w:t>3</w:t>
                </w:r>
                <w:r>
                  <w:rPr>
                    <w:sz w:val="20"/>
                    <w:szCs w:val="24"/>
                    <w:lang w:eastAsia="ar-SA"/>
                  </w:rPr>
                  <w:t xml:space="preserve"> </w:t>
                </w: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caps/>
                    <w:sz w:val="20"/>
                    <w:szCs w:val="24"/>
                    <w:lang w:eastAsia="ar-SA"/>
                  </w:rPr>
                </w:pPr>
                <w:r>
                  <w:rPr>
                    <w:caps/>
                    <w:sz w:val="20"/>
                    <w:szCs w:val="24"/>
                    <w:lang w:eastAsia="ar-SA"/>
                  </w:rPr>
                  <w:t>5,0</w:t>
                </w:r>
              </w:p>
            </w:tc>
            <w:tc>
              <w:tcPr>
                <w:tcW w:w="1990" w:type="dxa"/>
                <w:tcBorders>
                  <w:top w:val="single" w:sz="4" w:space="0" w:color="auto"/>
                  <w:left w:val="single" w:sz="4" w:space="0" w:color="auto"/>
                  <w:bottom w:val="single" w:sz="4" w:space="0" w:color="auto"/>
                  <w:right w:val="single" w:sz="4" w:space="0" w:color="auto"/>
                </w:tcBorders>
              </w:tcPr>
              <w:p>
                <w:pPr>
                  <w:suppressAutoHyphens/>
                  <w:jc w:val="center"/>
                  <w:rPr>
                    <w:caps/>
                    <w:sz w:val="20"/>
                    <w:szCs w:val="24"/>
                    <w:lang w:eastAsia="ar-SA"/>
                  </w:rPr>
                </w:pPr>
                <w:r>
                  <w:rPr>
                    <w:caps/>
                    <w:sz w:val="20"/>
                    <w:szCs w:val="24"/>
                    <w:lang w:eastAsia="ar-SA"/>
                  </w:rPr>
                  <w:t>4,5</w:t>
                </w:r>
              </w:p>
            </w:tc>
          </w:tr>
          <w:tr>
            <w:trPr>
              <w:cantSplit/>
              <w:trHeight w:val="20"/>
              <w:tblHeader/>
            </w:trPr>
            <w:tc>
              <w:tcPr>
                <w:tcW w:w="5868" w:type="dxa"/>
                <w:tcBorders>
                  <w:top w:val="single" w:sz="4" w:space="0" w:color="auto"/>
                  <w:left w:val="single" w:sz="4" w:space="0" w:color="auto"/>
                  <w:bottom w:val="single" w:sz="4" w:space="0" w:color="auto"/>
                  <w:right w:val="single" w:sz="4" w:space="0" w:color="auto"/>
                </w:tcBorders>
              </w:tcPr>
              <w:p>
                <w:pPr>
                  <w:suppressAutoHyphens/>
                  <w:jc w:val="both"/>
                  <w:rPr>
                    <w:sz w:val="20"/>
                    <w:szCs w:val="24"/>
                    <w:vertAlign w:val="superscript"/>
                    <w:lang w:eastAsia="ar-SA"/>
                  </w:rPr>
                </w:pPr>
                <w:r>
                  <w:rPr>
                    <w:sz w:val="20"/>
                    <w:szCs w:val="24"/>
                    <w:lang w:eastAsia="ar-SA"/>
                  </w:rPr>
                  <w:t>4. Miško medžiagos, skiedrų ir pjuvenų sandėlis, kurio talpa – iki 5000 m</w:t>
                </w:r>
                <w:r>
                  <w:rPr>
                    <w:sz w:val="20"/>
                    <w:szCs w:val="24"/>
                    <w:vertAlign w:val="superscript"/>
                    <w:lang w:eastAsia="ar-SA"/>
                  </w:rPr>
                  <w:t>3</w:t>
                </w: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caps/>
                    <w:sz w:val="20"/>
                    <w:szCs w:val="24"/>
                    <w:lang w:eastAsia="ar-SA"/>
                  </w:rPr>
                </w:pPr>
                <w:r>
                  <w:rPr>
                    <w:caps/>
                    <w:sz w:val="20"/>
                    <w:szCs w:val="24"/>
                    <w:lang w:eastAsia="ar-SA"/>
                  </w:rPr>
                  <w:t>10,0</w:t>
                </w:r>
              </w:p>
            </w:tc>
            <w:tc>
              <w:tcPr>
                <w:tcW w:w="1990" w:type="dxa"/>
                <w:tcBorders>
                  <w:top w:val="single" w:sz="4" w:space="0" w:color="auto"/>
                  <w:left w:val="single" w:sz="4" w:space="0" w:color="auto"/>
                  <w:bottom w:val="single" w:sz="4" w:space="0" w:color="auto"/>
                  <w:right w:val="single" w:sz="4" w:space="0" w:color="auto"/>
                </w:tcBorders>
              </w:tcPr>
              <w:p>
                <w:pPr>
                  <w:suppressAutoHyphens/>
                  <w:jc w:val="center"/>
                  <w:rPr>
                    <w:caps/>
                    <w:sz w:val="20"/>
                    <w:szCs w:val="24"/>
                    <w:lang w:eastAsia="ar-SA"/>
                  </w:rPr>
                </w:pPr>
                <w:r>
                  <w:rPr>
                    <w:caps/>
                    <w:sz w:val="20"/>
                    <w:szCs w:val="24"/>
                    <w:lang w:eastAsia="ar-SA"/>
                  </w:rPr>
                  <w:t>9,5</w:t>
                </w:r>
              </w:p>
            </w:tc>
          </w:tr>
          <w:tr>
            <w:trPr>
              <w:cantSplit/>
              <w:trHeight w:val="20"/>
              <w:tblHeader/>
            </w:trPr>
            <w:tc>
              <w:tcPr>
                <w:tcW w:w="5868" w:type="dxa"/>
                <w:tcBorders>
                  <w:top w:val="single" w:sz="4" w:space="0" w:color="auto"/>
                  <w:left w:val="single" w:sz="4" w:space="0" w:color="auto"/>
                  <w:bottom w:val="single" w:sz="4" w:space="0" w:color="auto"/>
                  <w:right w:val="single" w:sz="4" w:space="0" w:color="auto"/>
                </w:tcBorders>
              </w:tcPr>
              <w:p>
                <w:pPr>
                  <w:suppressAutoHyphens/>
                  <w:jc w:val="both"/>
                  <w:rPr>
                    <w:sz w:val="20"/>
                    <w:szCs w:val="24"/>
                    <w:lang w:eastAsia="ar-SA"/>
                  </w:rPr>
                </w:pPr>
                <w:r>
                  <w:rPr>
                    <w:sz w:val="20"/>
                    <w:szCs w:val="24"/>
                    <w:lang w:eastAsia="ar-SA"/>
                  </w:rPr>
                  <w:t>5. Degių skysčių sandėlis, kurio talpa – iki 2000 m</w:t>
                </w:r>
                <w:r>
                  <w:rPr>
                    <w:sz w:val="20"/>
                    <w:szCs w:val="24"/>
                    <w:vertAlign w:val="superscript"/>
                    <w:lang w:eastAsia="ar-SA"/>
                  </w:rPr>
                  <w:t>3</w:t>
                </w:r>
                <w:r>
                  <w:rPr>
                    <w:sz w:val="20"/>
                    <w:szCs w:val="24"/>
                    <w:lang w:eastAsia="ar-SA"/>
                  </w:rPr>
                  <w:t xml:space="preserve"> </w:t>
                </w: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caps/>
                    <w:sz w:val="20"/>
                    <w:szCs w:val="24"/>
                    <w:lang w:eastAsia="ar-SA"/>
                  </w:rPr>
                </w:pPr>
                <w:r>
                  <w:rPr>
                    <w:caps/>
                    <w:sz w:val="20"/>
                    <w:szCs w:val="24"/>
                    <w:lang w:eastAsia="ar-SA"/>
                  </w:rPr>
                  <w:t>20</w:t>
                </w:r>
              </w:p>
            </w:tc>
            <w:tc>
              <w:tcPr>
                <w:tcW w:w="1990" w:type="dxa"/>
                <w:tcBorders>
                  <w:top w:val="single" w:sz="4" w:space="0" w:color="auto"/>
                  <w:left w:val="single" w:sz="4" w:space="0" w:color="auto"/>
                  <w:bottom w:val="single" w:sz="4" w:space="0" w:color="auto"/>
                  <w:right w:val="single" w:sz="4" w:space="0" w:color="auto"/>
                </w:tcBorders>
              </w:tcPr>
              <w:p>
                <w:pPr>
                  <w:suppressAutoHyphens/>
                  <w:jc w:val="center"/>
                  <w:rPr>
                    <w:caps/>
                    <w:sz w:val="20"/>
                    <w:szCs w:val="24"/>
                    <w:lang w:eastAsia="ar-SA"/>
                  </w:rPr>
                </w:pPr>
                <w:r>
                  <w:rPr>
                    <w:caps/>
                    <w:sz w:val="20"/>
                    <w:szCs w:val="24"/>
                    <w:lang w:eastAsia="ar-SA"/>
                  </w:rPr>
                  <w:t>19,5</w:t>
                </w:r>
              </w:p>
            </w:tc>
          </w:tr>
          <w:tr>
            <w:trPr>
              <w:cantSplit/>
              <w:trHeight w:val="20"/>
              <w:tblHeader/>
            </w:trPr>
            <w:tc>
              <w:tcPr>
                <w:tcW w:w="5868" w:type="dxa"/>
                <w:tcBorders>
                  <w:top w:val="single" w:sz="4" w:space="0" w:color="auto"/>
                  <w:left w:val="single" w:sz="4" w:space="0" w:color="auto"/>
                  <w:bottom w:val="single" w:sz="4" w:space="0" w:color="auto"/>
                  <w:right w:val="single" w:sz="4" w:space="0" w:color="auto"/>
                </w:tcBorders>
              </w:tcPr>
              <w:p>
                <w:pPr>
                  <w:suppressAutoHyphens/>
                  <w:jc w:val="both"/>
                  <w:rPr>
                    <w:sz w:val="20"/>
                    <w:szCs w:val="24"/>
                    <w:vertAlign w:val="superscript"/>
                    <w:lang w:eastAsia="ar-SA"/>
                  </w:rPr>
                </w:pPr>
                <w:r>
                  <w:rPr>
                    <w:sz w:val="20"/>
                    <w:szCs w:val="24"/>
                    <w:lang w:eastAsia="ar-SA"/>
                  </w:rPr>
                  <w:t>6. Degių skysčių sandėlis, kurio talpa – iki 10 000 m</w:t>
                </w:r>
                <w:r>
                  <w:rPr>
                    <w:sz w:val="20"/>
                    <w:szCs w:val="24"/>
                    <w:vertAlign w:val="superscript"/>
                    <w:lang w:eastAsia="ar-SA"/>
                  </w:rPr>
                  <w:t>3</w:t>
                </w: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caps/>
                    <w:sz w:val="20"/>
                    <w:szCs w:val="24"/>
                    <w:lang w:eastAsia="ar-SA"/>
                  </w:rPr>
                </w:pPr>
                <w:r>
                  <w:rPr>
                    <w:caps/>
                    <w:sz w:val="20"/>
                    <w:szCs w:val="24"/>
                    <w:lang w:eastAsia="ar-SA"/>
                  </w:rPr>
                  <w:t>10,0</w:t>
                </w:r>
              </w:p>
            </w:tc>
            <w:tc>
              <w:tcPr>
                <w:tcW w:w="1990" w:type="dxa"/>
                <w:tcBorders>
                  <w:top w:val="single" w:sz="4" w:space="0" w:color="auto"/>
                  <w:left w:val="single" w:sz="4" w:space="0" w:color="auto"/>
                  <w:bottom w:val="single" w:sz="4" w:space="0" w:color="auto"/>
                  <w:right w:val="single" w:sz="4" w:space="0" w:color="auto"/>
                </w:tcBorders>
              </w:tcPr>
              <w:p>
                <w:pPr>
                  <w:suppressAutoHyphens/>
                  <w:jc w:val="center"/>
                  <w:rPr>
                    <w:caps/>
                    <w:sz w:val="20"/>
                    <w:szCs w:val="24"/>
                    <w:lang w:eastAsia="ar-SA"/>
                  </w:rPr>
                </w:pPr>
                <w:r>
                  <w:rPr>
                    <w:caps/>
                    <w:sz w:val="20"/>
                    <w:szCs w:val="24"/>
                    <w:lang w:eastAsia="ar-SA"/>
                  </w:rPr>
                  <w:t>9,5</w:t>
                </w:r>
              </w:p>
            </w:tc>
          </w:tr>
          <w:tr>
            <w:trPr>
              <w:cantSplit/>
              <w:trHeight w:val="20"/>
              <w:tblHeader/>
            </w:trPr>
            <w:tc>
              <w:tcPr>
                <w:tcW w:w="5868" w:type="dxa"/>
                <w:tcBorders>
                  <w:top w:val="single" w:sz="4" w:space="0" w:color="auto"/>
                  <w:left w:val="single" w:sz="4" w:space="0" w:color="auto"/>
                  <w:bottom w:val="single" w:sz="4" w:space="0" w:color="auto"/>
                  <w:right w:val="single" w:sz="4" w:space="0" w:color="auto"/>
                </w:tcBorders>
              </w:tcPr>
              <w:p>
                <w:pPr>
                  <w:suppressAutoHyphens/>
                  <w:jc w:val="both"/>
                  <w:rPr>
                    <w:sz w:val="20"/>
                    <w:szCs w:val="24"/>
                    <w:lang w:eastAsia="ar-SA"/>
                  </w:rPr>
                </w:pPr>
                <w:r>
                  <w:rPr>
                    <w:sz w:val="20"/>
                    <w:szCs w:val="24"/>
                    <w:lang w:eastAsia="ar-SA"/>
                  </w:rPr>
                  <w:t xml:space="preserve">7. Akmens anglies sandėlis, kurio talpa – iki 100 000 t </w:t>
                </w: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caps/>
                    <w:sz w:val="20"/>
                    <w:szCs w:val="24"/>
                    <w:lang w:eastAsia="ar-SA"/>
                  </w:rPr>
                </w:pPr>
                <w:r>
                  <w:rPr>
                    <w:caps/>
                    <w:sz w:val="20"/>
                    <w:szCs w:val="24"/>
                    <w:lang w:eastAsia="ar-SA"/>
                  </w:rPr>
                  <w:t>5,0</w:t>
                </w:r>
              </w:p>
            </w:tc>
            <w:tc>
              <w:tcPr>
                <w:tcW w:w="1990" w:type="dxa"/>
                <w:tcBorders>
                  <w:top w:val="single" w:sz="4" w:space="0" w:color="auto"/>
                  <w:left w:val="single" w:sz="4" w:space="0" w:color="auto"/>
                  <w:bottom w:val="single" w:sz="4" w:space="0" w:color="auto"/>
                  <w:right w:val="single" w:sz="4" w:space="0" w:color="auto"/>
                </w:tcBorders>
              </w:tcPr>
              <w:p>
                <w:pPr>
                  <w:suppressAutoHyphens/>
                  <w:jc w:val="center"/>
                  <w:rPr>
                    <w:caps/>
                    <w:sz w:val="20"/>
                    <w:szCs w:val="24"/>
                    <w:lang w:eastAsia="ar-SA"/>
                  </w:rPr>
                </w:pPr>
                <w:r>
                  <w:rPr>
                    <w:caps/>
                    <w:sz w:val="20"/>
                    <w:szCs w:val="24"/>
                    <w:lang w:eastAsia="ar-SA"/>
                  </w:rPr>
                  <w:t>4,5</w:t>
                </w:r>
              </w:p>
            </w:tc>
          </w:tr>
          <w:tr>
            <w:trPr>
              <w:cantSplit/>
              <w:trHeight w:val="20"/>
              <w:tblHeader/>
            </w:trPr>
            <w:tc>
              <w:tcPr>
                <w:tcW w:w="5868" w:type="dxa"/>
                <w:tcBorders>
                  <w:top w:val="single" w:sz="4" w:space="0" w:color="auto"/>
                  <w:left w:val="single" w:sz="4" w:space="0" w:color="auto"/>
                  <w:bottom w:val="single" w:sz="4" w:space="0" w:color="auto"/>
                  <w:right w:val="single" w:sz="4" w:space="0" w:color="auto"/>
                </w:tcBorders>
              </w:tcPr>
              <w:p>
                <w:pPr>
                  <w:suppressAutoHyphens/>
                  <w:jc w:val="both"/>
                  <w:rPr>
                    <w:sz w:val="20"/>
                    <w:szCs w:val="24"/>
                    <w:lang w:eastAsia="ar-SA"/>
                  </w:rPr>
                </w:pPr>
                <w:r>
                  <w:rPr>
                    <w:sz w:val="20"/>
                    <w:szCs w:val="24"/>
                    <w:lang w:eastAsia="ar-SA"/>
                  </w:rPr>
                  <w:t>8. Trupininių durpių sandėlis, kurio talpa – iki 10 000 t</w:t>
                </w: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caps/>
                    <w:sz w:val="20"/>
                    <w:szCs w:val="24"/>
                    <w:lang w:eastAsia="ar-SA"/>
                  </w:rPr>
                </w:pPr>
                <w:r>
                  <w:rPr>
                    <w:caps/>
                    <w:sz w:val="20"/>
                    <w:szCs w:val="24"/>
                    <w:lang w:eastAsia="ar-SA"/>
                  </w:rPr>
                  <w:t>10,0</w:t>
                </w:r>
              </w:p>
            </w:tc>
            <w:tc>
              <w:tcPr>
                <w:tcW w:w="1990" w:type="dxa"/>
                <w:tcBorders>
                  <w:top w:val="single" w:sz="4" w:space="0" w:color="auto"/>
                  <w:left w:val="single" w:sz="4" w:space="0" w:color="auto"/>
                  <w:bottom w:val="single" w:sz="4" w:space="0" w:color="auto"/>
                  <w:right w:val="single" w:sz="4" w:space="0" w:color="auto"/>
                </w:tcBorders>
              </w:tcPr>
              <w:p>
                <w:pPr>
                  <w:suppressAutoHyphens/>
                  <w:jc w:val="center"/>
                  <w:rPr>
                    <w:caps/>
                    <w:sz w:val="20"/>
                    <w:szCs w:val="24"/>
                    <w:lang w:eastAsia="ar-SA"/>
                  </w:rPr>
                </w:pPr>
                <w:r>
                  <w:rPr>
                    <w:caps/>
                    <w:sz w:val="20"/>
                    <w:szCs w:val="24"/>
                    <w:lang w:eastAsia="ar-SA"/>
                  </w:rPr>
                  <w:t>9,5</w:t>
                </w:r>
              </w:p>
            </w:tc>
          </w:tr>
          <w:tr>
            <w:trPr>
              <w:cantSplit/>
              <w:trHeight w:val="20"/>
              <w:tblHeader/>
            </w:trPr>
            <w:tc>
              <w:tcPr>
                <w:tcW w:w="5868" w:type="dxa"/>
                <w:tcBorders>
                  <w:top w:val="single" w:sz="4" w:space="0" w:color="auto"/>
                  <w:left w:val="single" w:sz="4" w:space="0" w:color="auto"/>
                  <w:bottom w:val="single" w:sz="4" w:space="0" w:color="auto"/>
                  <w:right w:val="single" w:sz="4" w:space="0" w:color="auto"/>
                </w:tcBorders>
              </w:tcPr>
              <w:p>
                <w:pPr>
                  <w:suppressAutoHyphens/>
                  <w:jc w:val="both"/>
                  <w:rPr>
                    <w:sz w:val="20"/>
                    <w:szCs w:val="24"/>
                    <w:lang w:eastAsia="ar-SA"/>
                  </w:rPr>
                </w:pPr>
                <w:r>
                  <w:rPr>
                    <w:sz w:val="20"/>
                    <w:szCs w:val="24"/>
                    <w:lang w:eastAsia="ar-SA"/>
                  </w:rPr>
                  <w:t xml:space="preserve">9. Kastinių durpių sandėlis, kurio talpa – iki 10 000 t </w:t>
                </w: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caps/>
                    <w:sz w:val="20"/>
                    <w:szCs w:val="24"/>
                    <w:lang w:eastAsia="ar-SA"/>
                  </w:rPr>
                </w:pPr>
                <w:r>
                  <w:rPr>
                    <w:caps/>
                    <w:sz w:val="20"/>
                    <w:szCs w:val="24"/>
                    <w:lang w:eastAsia="ar-SA"/>
                  </w:rPr>
                  <w:t>10,0</w:t>
                </w:r>
              </w:p>
            </w:tc>
            <w:tc>
              <w:tcPr>
                <w:tcW w:w="1990" w:type="dxa"/>
                <w:tcBorders>
                  <w:top w:val="single" w:sz="4" w:space="0" w:color="auto"/>
                  <w:left w:val="single" w:sz="4" w:space="0" w:color="auto"/>
                  <w:bottom w:val="single" w:sz="4" w:space="0" w:color="auto"/>
                  <w:right w:val="single" w:sz="4" w:space="0" w:color="auto"/>
                </w:tcBorders>
              </w:tcPr>
              <w:p>
                <w:pPr>
                  <w:suppressAutoHyphens/>
                  <w:jc w:val="center"/>
                  <w:rPr>
                    <w:caps/>
                    <w:sz w:val="20"/>
                    <w:szCs w:val="24"/>
                    <w:lang w:eastAsia="ar-SA"/>
                  </w:rPr>
                </w:pPr>
                <w:r>
                  <w:rPr>
                    <w:caps/>
                    <w:sz w:val="20"/>
                    <w:szCs w:val="24"/>
                    <w:lang w:eastAsia="ar-SA"/>
                  </w:rPr>
                  <w:t>9,5</w:t>
                </w:r>
              </w:p>
            </w:tc>
          </w:tr>
        </w:tbl>
        <w:p>
          <w:pPr>
            <w:suppressAutoHyphens/>
            <w:ind w:firstLine="771"/>
            <w:jc w:val="both"/>
            <w:rPr>
              <w:szCs w:val="24"/>
              <w:lang w:eastAsia="ar-SA"/>
            </w:rPr>
          </w:pPr>
        </w:p>
        <w:p>
          <w:pPr>
            <w:suppressAutoHyphens/>
            <w:ind w:firstLine="709"/>
            <w:jc w:val="both"/>
            <w:rPr>
              <w:szCs w:val="24"/>
              <w:lang w:eastAsia="ar-SA"/>
            </w:rPr>
          </w:pPr>
          <w:r>
            <w:rPr>
              <w:b/>
              <w:bCs/>
              <w:szCs w:val="24"/>
              <w:lang w:eastAsia="ar-SA"/>
            </w:rPr>
            <w:t xml:space="preserve">* </w:t>
          </w:r>
          <w:r>
            <w:rPr>
              <w:szCs w:val="24"/>
              <w:lang w:eastAsia="ar-SA"/>
            </w:rPr>
            <w:t>pagal statinių priartėjimo prie geležinkelio gabaritą, nustatytą normatyviniais geležinkelio projektavimo dokumentais.</w:t>
          </w:r>
        </w:p>
        <w:p>
          <w:pPr>
            <w:suppressAutoHyphens/>
            <w:ind w:firstLine="709"/>
            <w:jc w:val="both"/>
            <w:rPr>
              <w:i/>
              <w:iCs/>
              <w:szCs w:val="24"/>
              <w:lang w:eastAsia="ar-SA"/>
            </w:rPr>
          </w:pPr>
          <w:r>
            <w:rPr>
              <w:i/>
              <w:iCs/>
              <w:szCs w:val="24"/>
              <w:lang w:eastAsia="ar-SA"/>
            </w:rPr>
            <w:t xml:space="preserve">Pastabos: </w:t>
          </w:r>
        </w:p>
        <w:sdt>
          <w:sdtPr>
            <w:alias w:val="4 pr. 1 p."/>
            <w:tag w:val="part_4f51d10a3fae4ad3a438172ff39e2ef0"/>
            <w:lock w:val="sdtLocked"/>
            <w:richText/>
          </w:sdtPr>
          <w:sdtContent>
            <w:p>
              <w:pPr>
                <w:suppressAutoHyphens/>
                <w:ind w:firstLine="709"/>
                <w:jc w:val="both"/>
                <w:rPr>
                  <w:szCs w:val="24"/>
                  <w:lang w:eastAsia="ar-SA"/>
                </w:rPr>
              </w:pPr>
              <w:sdt>
                <w:sdtPr>
                  <w:alias w:val="Numeris"/>
                  <w:tag w:val="nr_4f51d10a3fae4ad3a438172ff39e2ef0"/>
                  <w:lock w:val="sdtLocked"/>
                  <w:richText/>
                </w:sdtPr>
                <w:sdtContent>
                  <w:r>
                    <w:rPr>
                      <w:szCs w:val="24"/>
                      <w:lang w:eastAsia="ar-SA"/>
                    </w:rPr>
                    <w:t>1</w:t>
                  </w:r>
                </w:sdtContent>
              </w:sdt>
              <w:r>
                <w:rPr>
                  <w:b/>
                  <w:bCs/>
                  <w:szCs w:val="24"/>
                  <w:lang w:eastAsia="ar-SA"/>
                </w:rPr>
                <w:t xml:space="preserve">. </w:t>
              </w:r>
              <w:r>
                <w:rPr>
                  <w:szCs w:val="24"/>
                  <w:lang w:eastAsia="ar-SA"/>
                </w:rPr>
                <w:t>Atstumai, nurodyti 3–9 pozicijose, nustatomi atsižvelgiant į 3 priedo 2 poziciją.</w:t>
              </w:r>
            </w:p>
          </w:sdtContent>
        </w:sdt>
        <w:sdt>
          <w:sdtPr>
            <w:alias w:val="4 pr. 2 p."/>
            <w:tag w:val="part_a59be79be19444808bc14d220f65529f"/>
            <w:lock w:val="sdtLocked"/>
            <w:richText/>
          </w:sdtPr>
          <w:sdtContent>
            <w:p>
              <w:pPr>
                <w:suppressAutoHyphens/>
                <w:ind w:firstLine="709"/>
                <w:jc w:val="both"/>
                <w:rPr>
                  <w:szCs w:val="24"/>
                  <w:lang w:eastAsia="ar-SA"/>
                </w:rPr>
              </w:pPr>
              <w:sdt>
                <w:sdtPr>
                  <w:alias w:val="Numeris"/>
                  <w:tag w:val="nr_a59be79be19444808bc14d220f65529f"/>
                  <w:lock w:val="sdtLocked"/>
                  <w:richText/>
                </w:sdtPr>
                <w:sdtContent>
                  <w:r>
                    <w:rPr>
                      <w:szCs w:val="24"/>
                      <w:lang w:eastAsia="ar-SA"/>
                    </w:rPr>
                    <w:t>2</w:t>
                  </w:r>
                </w:sdtContent>
              </w:sdt>
              <w:r>
                <w:rPr>
                  <w:szCs w:val="24"/>
                  <w:lang w:eastAsia="ar-SA"/>
                </w:rPr>
                <w:t>. Įmonės ir teritorijos, kuriai reikia apsaugos, išoriniai aptvarai turi būti išdėstomi per atstumą, ne mažesnį kaip 5 m nuo geležinkelio.</w:t>
              </w:r>
            </w:p>
          </w:sdtContent>
        </w:sdt>
        <w:sdt>
          <w:sdtPr>
            <w:alias w:val="4 pr. 3 p."/>
            <w:tag w:val="part_e5d338d116cc4ea5b72b590e76fce162"/>
            <w:lock w:val="sdtLocked"/>
            <w:richText/>
          </w:sdtPr>
          <w:sdtContent>
            <w:p>
              <w:pPr>
                <w:suppressAutoHyphens/>
                <w:ind w:firstLine="709"/>
                <w:jc w:val="both"/>
                <w:rPr>
                  <w:szCs w:val="24"/>
                  <w:lang w:eastAsia="ar-SA"/>
                </w:rPr>
              </w:pPr>
              <w:sdt>
                <w:sdtPr>
                  <w:alias w:val="Numeris"/>
                  <w:tag w:val="nr_e5d338d116cc4ea5b72b590e76fce162"/>
                  <w:lock w:val="sdtLocked"/>
                  <w:richText/>
                </w:sdtPr>
                <w:sdtContent>
                  <w:r>
                    <w:rPr>
                      <w:szCs w:val="24"/>
                      <w:lang w:eastAsia="ar-SA"/>
                    </w:rPr>
                    <w:t>3</w:t>
                  </w:r>
                </w:sdtContent>
              </w:sdt>
              <w:r>
                <w:rPr>
                  <w:szCs w:val="24"/>
                  <w:lang w:eastAsia="ar-SA"/>
                </w:rPr>
                <w:t>. Geležinkelio priartėjimo prie apvalių rąstų rietuvės, kurios talpa didesnė kaip 10 000 m</w:t>
              </w:r>
              <w:r>
                <w:rPr>
                  <w:szCs w:val="24"/>
                  <w:vertAlign w:val="superscript"/>
                  <w:lang w:eastAsia="ar-SA"/>
                </w:rPr>
                <w:t>3</w:t>
              </w:r>
              <w:r>
                <w:rPr>
                  <w:szCs w:val="24"/>
                  <w:lang w:eastAsia="ar-SA"/>
                </w:rPr>
                <w:t>, atstumas priimamas pagal miško medžiagų sandėlių projektavimo normas.</w:t>
              </w:r>
            </w:p>
          </w:sdtContent>
        </w:sdt>
        <w:sdt>
          <w:sdtPr>
            <w:alias w:val="4 pr. 4 p."/>
            <w:tag w:val="part_0d03452c07f14d78b07e0f13088dc482"/>
            <w:lock w:val="sdtLocked"/>
            <w:richText/>
          </w:sdtPr>
          <w:sdtContent>
            <w:p>
              <w:pPr>
                <w:suppressAutoHyphens/>
                <w:ind w:firstLine="709"/>
                <w:jc w:val="both"/>
                <w:rPr>
                  <w:szCs w:val="24"/>
                  <w:lang w:eastAsia="ar-SA"/>
                </w:rPr>
              </w:pPr>
              <w:sdt>
                <w:sdtPr>
                  <w:alias w:val="Numeris"/>
                  <w:tag w:val="nr_0d03452c07f14d78b07e0f13088dc482"/>
                  <w:lock w:val="sdtLocked"/>
                  <w:richText/>
                </w:sdtPr>
                <w:sdtContent>
                  <w:r>
                    <w:rPr>
                      <w:szCs w:val="24"/>
                      <w:lang w:eastAsia="ar-SA"/>
                    </w:rPr>
                    <w:t>4</w:t>
                  </w:r>
                </w:sdtContent>
              </w:sdt>
              <w:r>
                <w:rPr>
                  <w:szCs w:val="24"/>
                  <w:lang w:eastAsia="ar-SA"/>
                </w:rPr>
                <w:t>. Geležinkelį tiesti tarp kelio ir pastato sienos, iš kurios numatytas autotransporto priemonių išvažiavimas, leidžiama tik pagal technologinius reikalavimus; šiuo atveju atstumas tarp pastato sienos iki kelio ašies turi būti ne mažesnis kaip 6 m.</w:t>
              </w:r>
            </w:p>
          </w:sdtContent>
        </w:sdt>
        <w:sdt>
          <w:sdtPr>
            <w:alias w:val="pabaiga"/>
            <w:tag w:val="part_2176d65968ac41bd8adf629552354e0a"/>
            <w:lock w:val="sdtLocked"/>
            <w:richText/>
          </w:sdtPr>
          <w:sdtContent>
            <w:p>
              <w:pPr>
                <w:suppressAutoHyphens/>
                <w:jc w:val="center"/>
                <w:rPr>
                  <w:szCs w:val="24"/>
                  <w:lang w:eastAsia="ar-SA"/>
                </w:rPr>
              </w:pPr>
              <w:r>
                <w:rPr>
                  <w:szCs w:val="24"/>
                  <w:lang w:eastAsia="ar-SA"/>
                </w:rPr>
                <w:t>________________</w:t>
              </w:r>
            </w:p>
          </w:sdtContent>
        </w:sdt>
      </w:sdtContent>
    </w:sdt>
    <w:sdt>
      <w:sdtPr>
        <w:alias w:val="5 pr."/>
        <w:tag w:val="part_b7cf54d832b544519dbca0286c0ec6b5"/>
        <w:lock w:val="sdtLocked"/>
        <w:richText/>
      </w:sdtPr>
      <w:sdtContent>
        <w:p>
          <w:pPr>
            <w:suppressAutoHyphens/>
            <w:ind w:firstLine="5102"/>
          </w:pPr>
          <w:r>
            <w:br w:type="page"/>
          </w:r>
        </w:p>
        <w:p>
          <w:pPr>
            <w:suppressAutoHyphens/>
            <w:ind w:firstLine="5102"/>
            <w:rPr>
              <w:szCs w:val="24"/>
              <w:lang w:eastAsia="ar-SA"/>
            </w:rPr>
          </w:pPr>
          <w:r>
            <w:rPr>
              <w:szCs w:val="24"/>
              <w:lang w:eastAsia="ar-SA"/>
            </w:rPr>
            <w:t>STR 2.03.02:2005</w:t>
          </w:r>
        </w:p>
        <w:p>
          <w:pPr>
            <w:suppressAutoHyphens/>
            <w:ind w:firstLine="5102"/>
            <w:rPr>
              <w:szCs w:val="24"/>
              <w:lang w:eastAsia="ar-SA"/>
            </w:rPr>
          </w:pPr>
          <w:sdt>
            <w:sdtPr>
              <w:alias w:val="Numeris"/>
              <w:tag w:val="nr_b7cf54d832b544519dbca0286c0ec6b5"/>
              <w:lock w:val="sdtLocked"/>
              <w:richText/>
            </w:sdtPr>
            <w:sdtContent>
              <w:r>
                <w:rPr>
                  <w:szCs w:val="24"/>
                  <w:lang w:eastAsia="ar-SA"/>
                </w:rPr>
                <w:t>5</w:t>
              </w:r>
            </w:sdtContent>
          </w:sdt>
          <w:r>
            <w:rPr>
              <w:szCs w:val="24"/>
              <w:lang w:eastAsia="ar-SA"/>
            </w:rPr>
            <w:t xml:space="preserve"> priedas</w:t>
          </w:r>
        </w:p>
        <w:p>
          <w:pPr>
            <w:suppressAutoHyphens/>
            <w:jc w:val="center"/>
            <w:rPr>
              <w:b/>
              <w:szCs w:val="24"/>
              <w:lang w:eastAsia="ar-SA"/>
            </w:rPr>
          </w:pPr>
        </w:p>
        <w:p>
          <w:pPr>
            <w:suppressAutoHyphens/>
            <w:jc w:val="center"/>
            <w:rPr>
              <w:b/>
              <w:caps/>
              <w:szCs w:val="24"/>
              <w:lang w:eastAsia="ar-SA"/>
            </w:rPr>
          </w:pPr>
          <w:sdt>
            <w:sdtPr>
              <w:alias w:val="Pavadinimas"/>
              <w:tag w:val="title_b7cf54d832b544519dbca0286c0ec6b5"/>
              <w:lock w:val="sdtLocked"/>
              <w:richText/>
            </w:sdtPr>
            <w:sdtContent>
              <w:r>
                <w:rPr>
                  <w:b/>
                  <w:caps/>
                  <w:szCs w:val="24"/>
                  <w:lang w:eastAsia="ar-SA"/>
                </w:rPr>
                <w:t>Horizontalūs atstumai (PROŠVAISOJE) tarp inžinerinių tinklų ir statinių pamatų, susisiekimo komunikacijų, kitų inžinerinių statinių (1 ir 2 LENTELĖS)</w:t>
              </w:r>
            </w:sdtContent>
          </w:sdt>
        </w:p>
        <w:p>
          <w:pPr>
            <w:suppressAutoHyphens/>
            <w:jc w:val="center"/>
            <w:rPr>
              <w:caps/>
              <w:szCs w:val="24"/>
              <w:lang w:eastAsia="ar-SA"/>
            </w:rPr>
          </w:pPr>
        </w:p>
        <w:sdt>
          <w:sdtPr>
            <w:alias w:val="lentele"/>
            <w:tag w:val="part_5c850e9729154cd282f5e5be0ecc27e2"/>
            <w:lock w:val="sdtLocked"/>
            <w:richText/>
          </w:sdtPr>
          <w:sdtContent>
            <w:p>
              <w:pPr>
                <w:suppressAutoHyphens/>
                <w:ind w:firstLine="709"/>
                <w:jc w:val="right"/>
                <w:rPr>
                  <w:szCs w:val="24"/>
                  <w:lang w:eastAsia="ar-SA"/>
                </w:rPr>
              </w:pPr>
              <w:sdt>
                <w:sdtPr>
                  <w:alias w:val="Numeris"/>
                  <w:tag w:val="nr_5c850e9729154cd282f5e5be0ecc27e2"/>
                  <w:lock w:val="sdtLocked"/>
                  <w:richText/>
                </w:sdtPr>
                <w:sdtContent>
                  <w:r>
                    <w:rPr>
                      <w:szCs w:val="24"/>
                      <w:lang w:eastAsia="ar-SA"/>
                    </w:rPr>
                    <w:t>1</w:t>
                  </w:r>
                </w:sdtContent>
              </w:sdt>
              <w:r>
                <w:rPr>
                  <w:szCs w:val="24"/>
                  <w:lang w:eastAsia="ar-SA"/>
                </w:rPr>
                <w:t xml:space="preserve"> lentelė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2"/>
                <w:gridCol w:w="3486"/>
                <w:gridCol w:w="1258"/>
                <w:gridCol w:w="1396"/>
                <w:gridCol w:w="1258"/>
                <w:gridCol w:w="1677"/>
              </w:tblGrid>
              <w:tr>
                <w:trPr>
                  <w:cantSplit/>
                  <w:trHeight w:val="20"/>
                  <w:tblHeader/>
                </w:trPr>
                <w:tc>
                  <w:tcPr>
                    <w:tcW w:w="567" w:type="dxa"/>
                    <w:vMerge w:val="restart"/>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p>
                    <w:pPr>
                      <w:suppressAutoHyphens/>
                      <w:jc w:val="center"/>
                      <w:rPr>
                        <w:sz w:val="20"/>
                        <w:szCs w:val="24"/>
                        <w:lang w:eastAsia="ar-SA"/>
                      </w:rPr>
                    </w:pPr>
                    <w:r>
                      <w:rPr>
                        <w:sz w:val="20"/>
                        <w:szCs w:val="24"/>
                        <w:lang w:eastAsia="ar-SA"/>
                      </w:rPr>
                      <w:t>Eil. Nr.</w:t>
                    </w:r>
                  </w:p>
                </w:tc>
                <w:tc>
                  <w:tcPr>
                    <w:tcW w:w="3544" w:type="dxa"/>
                    <w:vMerge w:val="restart"/>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p>
                    <w:pPr>
                      <w:suppressAutoHyphens/>
                      <w:jc w:val="center"/>
                      <w:rPr>
                        <w:sz w:val="20"/>
                        <w:szCs w:val="24"/>
                        <w:lang w:eastAsia="ar-SA"/>
                      </w:rPr>
                    </w:pPr>
                    <w:r>
                      <w:rPr>
                        <w:sz w:val="20"/>
                        <w:szCs w:val="24"/>
                        <w:lang w:eastAsia="ar-SA"/>
                      </w:rPr>
                      <w:t>Tinklo paskirtis</w:t>
                    </w:r>
                  </w:p>
                </w:tc>
                <w:tc>
                  <w:tcPr>
                    <w:tcW w:w="5672" w:type="dxa"/>
                    <w:gridSpan w:val="4"/>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Horizontalioji prošvaisa, m</w:t>
                    </w:r>
                  </w:p>
                </w:tc>
              </w:tr>
              <w:tr>
                <w:trPr>
                  <w:cantSplit/>
                  <w:trHeight w:val="20"/>
                  <w:tblHeader/>
                </w:trPr>
                <w:tc>
                  <w:tcPr>
                    <w:tcW w:w="567" w:type="dxa"/>
                    <w:vMerge/>
                    <w:tcBorders>
                      <w:top w:val="single" w:sz="4" w:space="0" w:color="auto"/>
                      <w:left w:val="single" w:sz="4" w:space="0" w:color="auto"/>
                      <w:bottom w:val="single" w:sz="4" w:space="0" w:color="auto"/>
                      <w:right w:val="single" w:sz="4" w:space="0" w:color="auto"/>
                    </w:tcBorders>
                    <w:vAlign w:val="center"/>
                  </w:tcPr>
                  <w:p>
                    <w:pPr>
                      <w:rPr>
                        <w:sz w:val="20"/>
                        <w:szCs w:val="24"/>
                        <w:lang w:eastAsia="ar-SA"/>
                      </w:rPr>
                    </w:pPr>
                  </w:p>
                </w:tc>
                <w:tc>
                  <w:tcPr>
                    <w:tcW w:w="3544" w:type="dxa"/>
                    <w:vMerge/>
                    <w:tcBorders>
                      <w:top w:val="single" w:sz="4" w:space="0" w:color="auto"/>
                      <w:left w:val="single" w:sz="4" w:space="0" w:color="auto"/>
                      <w:bottom w:val="single" w:sz="4" w:space="0" w:color="auto"/>
                      <w:right w:val="single" w:sz="4" w:space="0" w:color="auto"/>
                    </w:tcBorders>
                    <w:vAlign w:val="center"/>
                  </w:tcPr>
                  <w:p>
                    <w:pPr>
                      <w:rPr>
                        <w:sz w:val="20"/>
                        <w:szCs w:val="24"/>
                        <w:lang w:eastAsia="ar-SA"/>
                      </w:rPr>
                    </w:pP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statinių pamatai</w:t>
                    </w:r>
                  </w:p>
                </w:tc>
                <w:tc>
                  <w:tcPr>
                    <w:tcW w:w="141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kapitalinių tvorų pamatai</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gatvės bortai</w:t>
                    </w:r>
                  </w:p>
                </w:tc>
                <w:tc>
                  <w:tcPr>
                    <w:tcW w:w="1703"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pylimo papėdė, griovio viršaus kraštas</w:t>
                    </w:r>
                  </w:p>
                </w:tc>
              </w:tr>
              <w:tr>
                <w:trPr>
                  <w:cantSplit/>
                  <w:trHeight w:val="20"/>
                  <w:tblHeader/>
                </w:trPr>
                <w:tc>
                  <w:tcPr>
                    <w:tcW w:w="567" w:type="dxa"/>
                    <w:tcBorders>
                      <w:top w:val="single" w:sz="4" w:space="0" w:color="auto"/>
                      <w:left w:val="single" w:sz="4" w:space="0" w:color="auto"/>
                      <w:bottom w:val="single" w:sz="4" w:space="0" w:color="auto"/>
                      <w:right w:val="single" w:sz="4" w:space="0" w:color="auto"/>
                    </w:tcBorders>
                  </w:tcPr>
                  <w:p>
                    <w:pPr>
                      <w:suppressAutoHyphens/>
                      <w:jc w:val="center"/>
                      <w:rPr>
                        <w:bCs/>
                        <w:sz w:val="20"/>
                        <w:szCs w:val="24"/>
                        <w:lang w:eastAsia="ar-SA"/>
                      </w:rPr>
                    </w:pPr>
                    <w:r>
                      <w:rPr>
                        <w:bCs/>
                        <w:sz w:val="20"/>
                        <w:szCs w:val="24"/>
                        <w:lang w:eastAsia="ar-SA"/>
                      </w:rPr>
                      <w:t>1</w:t>
                    </w:r>
                  </w:p>
                </w:tc>
                <w:tc>
                  <w:tcPr>
                    <w:tcW w:w="3544" w:type="dxa"/>
                    <w:tcBorders>
                      <w:top w:val="single" w:sz="4" w:space="0" w:color="auto"/>
                      <w:left w:val="single" w:sz="4" w:space="0" w:color="auto"/>
                      <w:bottom w:val="single" w:sz="4" w:space="0" w:color="auto"/>
                      <w:right w:val="single" w:sz="4" w:space="0" w:color="auto"/>
                    </w:tcBorders>
                  </w:tcPr>
                  <w:p>
                    <w:pPr>
                      <w:suppressAutoHyphens/>
                      <w:jc w:val="center"/>
                      <w:rPr>
                        <w:bCs/>
                        <w:sz w:val="20"/>
                        <w:szCs w:val="24"/>
                        <w:lang w:eastAsia="ar-SA"/>
                      </w:rPr>
                    </w:pPr>
                    <w:r>
                      <w:rPr>
                        <w:bCs/>
                        <w:sz w:val="20"/>
                        <w:szCs w:val="24"/>
                        <w:lang w:eastAsia="ar-SA"/>
                      </w:rPr>
                      <w:t>2</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w:t>
                    </w:r>
                  </w:p>
                </w:tc>
                <w:tc>
                  <w:tcPr>
                    <w:tcW w:w="141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w:t>
                    </w:r>
                  </w:p>
                </w:tc>
                <w:tc>
                  <w:tcPr>
                    <w:tcW w:w="1703"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6</w:t>
                    </w:r>
                  </w:p>
                </w:tc>
              </w:tr>
              <w:tr>
                <w:trPr>
                  <w:cantSplit/>
                  <w:trHeight w:val="20"/>
                  <w:tblHeader/>
                </w:trPr>
                <w:tc>
                  <w:tcPr>
                    <w:tcW w:w="567" w:type="dxa"/>
                    <w:tcBorders>
                      <w:top w:val="single" w:sz="4" w:space="0" w:color="auto"/>
                      <w:left w:val="single" w:sz="4" w:space="0" w:color="auto"/>
                      <w:bottom w:val="single" w:sz="4" w:space="0" w:color="auto"/>
                      <w:right w:val="single" w:sz="4" w:space="0" w:color="auto"/>
                    </w:tcBorders>
                  </w:tcPr>
                  <w:p>
                    <w:pPr>
                      <w:suppressAutoHyphens/>
                      <w:jc w:val="center"/>
                      <w:rPr>
                        <w:bCs/>
                        <w:sz w:val="20"/>
                        <w:szCs w:val="24"/>
                        <w:lang w:eastAsia="ar-SA"/>
                      </w:rPr>
                    </w:pPr>
                    <w:r>
                      <w:rPr>
                        <w:bCs/>
                        <w:sz w:val="20"/>
                        <w:szCs w:val="24"/>
                        <w:lang w:eastAsia="ar-SA"/>
                      </w:rPr>
                      <w:t>1</w:t>
                    </w:r>
                  </w:p>
                </w:tc>
                <w:tc>
                  <w:tcPr>
                    <w:tcW w:w="3544"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Vandentiekis ir slėginė nuotekų linija</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w:t>
                    </w:r>
                  </w:p>
                </w:tc>
                <w:tc>
                  <w:tcPr>
                    <w:tcW w:w="141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703"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r>
              <w:tr>
                <w:trPr>
                  <w:cantSplit/>
                  <w:trHeight w:val="20"/>
                  <w:tblHeader/>
                </w:trPr>
                <w:tc>
                  <w:tcPr>
                    <w:tcW w:w="56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3544"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Savitakiniai tinklai:</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41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703"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r>
              <w:tr>
                <w:trPr>
                  <w:cantSplit/>
                  <w:trHeight w:val="20"/>
                  <w:tblHeader/>
                </w:trPr>
                <w:tc>
                  <w:tcPr>
                    <w:tcW w:w="56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2.1</w:t>
                    </w:r>
                  </w:p>
                </w:tc>
                <w:tc>
                  <w:tcPr>
                    <w:tcW w:w="3544"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ūkinių nuotekų</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w:t>
                    </w:r>
                  </w:p>
                </w:tc>
                <w:tc>
                  <w:tcPr>
                    <w:tcW w:w="141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1,5</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w:t>
                    </w:r>
                  </w:p>
                </w:tc>
                <w:tc>
                  <w:tcPr>
                    <w:tcW w:w="1703"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r>
              <w:tr>
                <w:trPr>
                  <w:cantSplit/>
                  <w:trHeight w:val="20"/>
                  <w:tblHeader/>
                </w:trPr>
                <w:tc>
                  <w:tcPr>
                    <w:tcW w:w="56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2.2</w:t>
                    </w:r>
                  </w:p>
                </w:tc>
                <w:tc>
                  <w:tcPr>
                    <w:tcW w:w="3544"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lietaus vandens</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w:t>
                    </w:r>
                  </w:p>
                </w:tc>
                <w:tc>
                  <w:tcPr>
                    <w:tcW w:w="141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1,5</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w:t>
                    </w:r>
                  </w:p>
                </w:tc>
                <w:tc>
                  <w:tcPr>
                    <w:tcW w:w="1703"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r>
              <w:tr>
                <w:trPr>
                  <w:cantSplit/>
                  <w:trHeight w:val="20"/>
                  <w:tblHeader/>
                </w:trPr>
                <w:tc>
                  <w:tcPr>
                    <w:tcW w:w="56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2.3</w:t>
                    </w:r>
                  </w:p>
                </w:tc>
                <w:tc>
                  <w:tcPr>
                    <w:tcW w:w="3544"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lauko drenažo</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141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1,0</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w:t>
                    </w:r>
                  </w:p>
                </w:tc>
                <w:tc>
                  <w:tcPr>
                    <w:tcW w:w="1703"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r>
              <w:tr>
                <w:trPr>
                  <w:cantSplit/>
                  <w:trHeight w:val="20"/>
                  <w:tblHeader/>
                </w:trPr>
                <w:tc>
                  <w:tcPr>
                    <w:tcW w:w="56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2.4</w:t>
                    </w:r>
                  </w:p>
                </w:tc>
                <w:tc>
                  <w:tcPr>
                    <w:tcW w:w="3544"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statinio drenažo</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w:t>
                    </w:r>
                  </w:p>
                </w:tc>
                <w:tc>
                  <w:tcPr>
                    <w:tcW w:w="141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w:t>
                    </w:r>
                  </w:p>
                </w:tc>
                <w:tc>
                  <w:tcPr>
                    <w:tcW w:w="1703"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w:t>
                    </w:r>
                  </w:p>
                </w:tc>
              </w:tr>
              <w:tr>
                <w:trPr>
                  <w:cantSplit/>
                  <w:trHeight w:val="20"/>
                  <w:tblHeader/>
                </w:trPr>
                <w:tc>
                  <w:tcPr>
                    <w:tcW w:w="56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w:t>
                    </w:r>
                  </w:p>
                </w:tc>
                <w:tc>
                  <w:tcPr>
                    <w:tcW w:w="3544"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Dujotiekis, kai slėgis:</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41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703"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r>
              <w:tr>
                <w:trPr>
                  <w:cantSplit/>
                  <w:trHeight w:val="20"/>
                  <w:tblHeader/>
                </w:trPr>
                <w:tc>
                  <w:tcPr>
                    <w:tcW w:w="56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3.1</w:t>
                    </w:r>
                  </w:p>
                </w:tc>
                <w:tc>
                  <w:tcPr>
                    <w:tcW w:w="3544"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iki 0,1 bar</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1(2)</w:t>
                    </w:r>
                  </w:p>
                </w:tc>
                <w:tc>
                  <w:tcPr>
                    <w:tcW w:w="141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0,5(1)</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w:t>
                    </w:r>
                  </w:p>
                </w:tc>
                <w:tc>
                  <w:tcPr>
                    <w:tcW w:w="1703"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r>
              <w:tr>
                <w:trPr>
                  <w:cantSplit/>
                  <w:trHeight w:val="20"/>
                  <w:tblHeader/>
                </w:trPr>
                <w:tc>
                  <w:tcPr>
                    <w:tcW w:w="56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3.2</w:t>
                    </w:r>
                  </w:p>
                </w:tc>
                <w:tc>
                  <w:tcPr>
                    <w:tcW w:w="3544"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daugiau kaip 0,1 iki 5 bar</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1(4)</w:t>
                    </w:r>
                  </w:p>
                </w:tc>
                <w:tc>
                  <w:tcPr>
                    <w:tcW w:w="141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0,5(1)</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w:t>
                    </w:r>
                  </w:p>
                </w:tc>
                <w:tc>
                  <w:tcPr>
                    <w:tcW w:w="1703"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r>
              <w:tr>
                <w:trPr>
                  <w:cantSplit/>
                  <w:trHeight w:val="20"/>
                  <w:tblHeader/>
                </w:trPr>
                <w:tc>
                  <w:tcPr>
                    <w:tcW w:w="56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3.3</w:t>
                    </w:r>
                  </w:p>
                </w:tc>
                <w:tc>
                  <w:tcPr>
                    <w:tcW w:w="3544"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 xml:space="preserve">daugiau kaip 5 iki 16 bar </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7</w:t>
                    </w:r>
                  </w:p>
                </w:tc>
                <w:tc>
                  <w:tcPr>
                    <w:tcW w:w="141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1,5</w:t>
                    </w:r>
                  </w:p>
                </w:tc>
                <w:tc>
                  <w:tcPr>
                    <w:tcW w:w="1703"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r>
              <w:tr>
                <w:trPr>
                  <w:cantSplit/>
                  <w:trHeight w:val="20"/>
                  <w:tblHeader/>
                </w:trPr>
                <w:tc>
                  <w:tcPr>
                    <w:tcW w:w="56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w:t>
                    </w:r>
                  </w:p>
                </w:tc>
                <w:tc>
                  <w:tcPr>
                    <w:tcW w:w="3544"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Šilumotiekis:</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41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703"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r>
              <w:tr>
                <w:trPr>
                  <w:cantSplit/>
                  <w:trHeight w:val="20"/>
                  <w:tblHeader/>
                </w:trPr>
                <w:tc>
                  <w:tcPr>
                    <w:tcW w:w="56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4.1</w:t>
                    </w:r>
                  </w:p>
                </w:tc>
                <w:tc>
                  <w:tcPr>
                    <w:tcW w:w="3544"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bekanalinis</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w:t>
                    </w:r>
                  </w:p>
                </w:tc>
                <w:tc>
                  <w:tcPr>
                    <w:tcW w:w="141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703"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r>
              <w:tr>
                <w:trPr>
                  <w:cantSplit/>
                  <w:trHeight w:val="20"/>
                  <w:tblHeader/>
                </w:trPr>
                <w:tc>
                  <w:tcPr>
                    <w:tcW w:w="56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4.2</w:t>
                    </w:r>
                  </w:p>
                </w:tc>
                <w:tc>
                  <w:tcPr>
                    <w:tcW w:w="3544"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kanaluose (nuo krašto)</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141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1.5</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w:t>
                    </w:r>
                  </w:p>
                </w:tc>
                <w:tc>
                  <w:tcPr>
                    <w:tcW w:w="1703"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r>
              <w:tr>
                <w:trPr>
                  <w:cantSplit/>
                  <w:trHeight w:val="20"/>
                  <w:tblHeader/>
                </w:trPr>
                <w:tc>
                  <w:tcPr>
                    <w:tcW w:w="56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w:t>
                    </w:r>
                  </w:p>
                </w:tc>
                <w:tc>
                  <w:tcPr>
                    <w:tcW w:w="3544"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Elektros kabeliai:</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41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703"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r>
              <w:tr>
                <w:trPr>
                  <w:cantSplit/>
                  <w:trHeight w:val="20"/>
                  <w:tblHeader/>
                </w:trPr>
                <w:tc>
                  <w:tcPr>
                    <w:tcW w:w="56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5.1</w:t>
                    </w:r>
                  </w:p>
                </w:tc>
                <w:tc>
                  <w:tcPr>
                    <w:tcW w:w="3544"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iki 10 kV</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0,6</w:t>
                    </w:r>
                  </w:p>
                </w:tc>
                <w:tc>
                  <w:tcPr>
                    <w:tcW w:w="141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w:t>
                    </w:r>
                  </w:p>
                </w:tc>
                <w:tc>
                  <w:tcPr>
                    <w:tcW w:w="1703"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r>
              <w:tr>
                <w:trPr>
                  <w:cantSplit/>
                  <w:trHeight w:val="20"/>
                  <w:tblHeader/>
                </w:trPr>
                <w:tc>
                  <w:tcPr>
                    <w:tcW w:w="56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5.2</w:t>
                    </w:r>
                  </w:p>
                </w:tc>
                <w:tc>
                  <w:tcPr>
                    <w:tcW w:w="3544"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daugiau kaip 10 iki 110 kV</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1,5</w:t>
                    </w:r>
                  </w:p>
                </w:tc>
                <w:tc>
                  <w:tcPr>
                    <w:tcW w:w="141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703"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r>
              <w:tr>
                <w:trPr>
                  <w:cantSplit/>
                  <w:trHeight w:val="20"/>
                  <w:tblHeader/>
                </w:trPr>
                <w:tc>
                  <w:tcPr>
                    <w:tcW w:w="56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6</w:t>
                    </w:r>
                  </w:p>
                </w:tc>
                <w:tc>
                  <w:tcPr>
                    <w:tcW w:w="3544"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Ryšių kabeliai ir jų kanalizacija</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0,6</w:t>
                    </w:r>
                  </w:p>
                </w:tc>
                <w:tc>
                  <w:tcPr>
                    <w:tcW w:w="141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w:t>
                    </w:r>
                  </w:p>
                </w:tc>
                <w:tc>
                  <w:tcPr>
                    <w:tcW w:w="1703"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r>
              <w:tr>
                <w:trPr>
                  <w:cantSplit/>
                  <w:trHeight w:val="20"/>
                  <w:tblHeader/>
                </w:trPr>
                <w:tc>
                  <w:tcPr>
                    <w:tcW w:w="56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7</w:t>
                    </w:r>
                  </w:p>
                </w:tc>
                <w:tc>
                  <w:tcPr>
                    <w:tcW w:w="3544"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Atliekų pneumovamzdynai</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141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w:t>
                    </w:r>
                  </w:p>
                </w:tc>
                <w:tc>
                  <w:tcPr>
                    <w:tcW w:w="1703"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r>
              <w:tr>
                <w:trPr>
                  <w:cantSplit/>
                  <w:trHeight w:val="20"/>
                  <w:tblHeader/>
                </w:trPr>
                <w:tc>
                  <w:tcPr>
                    <w:tcW w:w="56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8</w:t>
                    </w:r>
                  </w:p>
                </w:tc>
                <w:tc>
                  <w:tcPr>
                    <w:tcW w:w="3544"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Komunikacijų kolektoriai</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2,0</w:t>
                    </w:r>
                  </w:p>
                </w:tc>
                <w:tc>
                  <w:tcPr>
                    <w:tcW w:w="1417"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1,5</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w:t>
                    </w:r>
                  </w:p>
                </w:tc>
                <w:tc>
                  <w:tcPr>
                    <w:tcW w:w="1703"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r>
            </w:tbl>
            <w:p>
              <w:pPr>
                <w:suppressAutoHyphens/>
                <w:ind w:firstLine="709"/>
                <w:jc w:val="both"/>
                <w:rPr>
                  <w:szCs w:val="24"/>
                  <w:lang w:eastAsia="ar-SA"/>
                </w:rPr>
              </w:pPr>
            </w:p>
          </w:sdtContent>
        </w:sdt>
        <w:sdt>
          <w:sdtPr>
            <w:alias w:val="lentele"/>
            <w:tag w:val="part_8cf6809c52f049109bf5e791d4f514f7"/>
            <w:lock w:val="sdtLocked"/>
            <w:richText/>
          </w:sdtPr>
          <w:sdtContent>
            <w:p>
              <w:pPr>
                <w:suppressAutoHyphens/>
                <w:ind w:firstLine="782"/>
                <w:jc w:val="right"/>
                <w:rPr>
                  <w:szCs w:val="24"/>
                  <w:lang w:eastAsia="ar-SA"/>
                </w:rPr>
              </w:pPr>
              <w:sdt>
                <w:sdtPr>
                  <w:alias w:val="Numeris"/>
                  <w:tag w:val="nr_8cf6809c52f049109bf5e791d4f514f7"/>
                  <w:lock w:val="sdtLocked"/>
                  <w:richText/>
                </w:sdtPr>
                <w:sdtContent>
                  <w:r>
                    <w:rPr>
                      <w:szCs w:val="24"/>
                      <w:lang w:eastAsia="ar-SA"/>
                    </w:rPr>
                    <w:t>2</w:t>
                  </w:r>
                </w:sdtContent>
              </w:sdt>
              <w:r>
                <w:rPr>
                  <w:szCs w:val="24"/>
                  <w:lang w:eastAsia="ar-SA"/>
                </w:rPr>
                <w:t xml:space="preserve"> lentelė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8"/>
                <w:gridCol w:w="2776"/>
                <w:gridCol w:w="1104"/>
                <w:gridCol w:w="1104"/>
                <w:gridCol w:w="964"/>
                <w:gridCol w:w="1108"/>
                <w:gridCol w:w="996"/>
                <w:gridCol w:w="967"/>
              </w:tblGrid>
              <w:tr>
                <w:trPr>
                  <w:cantSplit/>
                  <w:trHeight w:hRule="exact" w:val="276"/>
                </w:trPr>
                <w:tc>
                  <w:tcPr>
                    <w:tcW w:w="630" w:type="dxa"/>
                    <w:vMerge w:val="restart"/>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Eil. Nr.</w:t>
                    </w:r>
                  </w:p>
                </w:tc>
                <w:tc>
                  <w:tcPr>
                    <w:tcW w:w="2863" w:type="dxa"/>
                    <w:vMerge w:val="restart"/>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Tinklo paskirtis</w:t>
                    </w:r>
                  </w:p>
                </w:tc>
                <w:tc>
                  <w:tcPr>
                    <w:tcW w:w="6409" w:type="dxa"/>
                    <w:gridSpan w:val="6"/>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Horizontalioji prošvaisa, m</w:t>
                    </w:r>
                  </w:p>
                </w:tc>
              </w:tr>
              <w:tr>
                <w:trPr>
                  <w:cantSplit/>
                  <w:trHeight w:hRule="exact" w:val="823"/>
                </w:trPr>
                <w:tc>
                  <w:tcPr>
                    <w:tcW w:w="601" w:type="dxa"/>
                    <w:vMerge/>
                    <w:tcBorders>
                      <w:top w:val="single" w:sz="4" w:space="0" w:color="auto"/>
                      <w:left w:val="single" w:sz="4" w:space="0" w:color="auto"/>
                      <w:bottom w:val="single" w:sz="4" w:space="0" w:color="auto"/>
                      <w:right w:val="single" w:sz="4" w:space="0" w:color="auto"/>
                    </w:tcBorders>
                    <w:vAlign w:val="center"/>
                  </w:tcPr>
                  <w:p>
                    <w:pPr>
                      <w:rPr>
                        <w:sz w:val="20"/>
                        <w:szCs w:val="24"/>
                        <w:lang w:eastAsia="ar-SA"/>
                      </w:rPr>
                    </w:pPr>
                  </w:p>
                </w:tc>
                <w:tc>
                  <w:tcPr>
                    <w:tcW w:w="2675" w:type="dxa"/>
                    <w:vMerge/>
                    <w:tcBorders>
                      <w:top w:val="single" w:sz="4" w:space="0" w:color="auto"/>
                      <w:left w:val="single" w:sz="4" w:space="0" w:color="auto"/>
                      <w:bottom w:val="single" w:sz="4" w:space="0" w:color="auto"/>
                      <w:right w:val="single" w:sz="4" w:space="0" w:color="auto"/>
                    </w:tcBorders>
                    <w:vAlign w:val="center"/>
                  </w:tcPr>
                  <w:p>
                    <w:pPr>
                      <w:rPr>
                        <w:sz w:val="20"/>
                        <w:szCs w:val="24"/>
                        <w:lang w:eastAsia="ar-SA"/>
                      </w:rPr>
                    </w:pPr>
                  </w:p>
                </w:tc>
                <w:tc>
                  <w:tcPr>
                    <w:tcW w:w="3257" w:type="dxa"/>
                    <w:gridSpan w:val="3"/>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nuo geležinkelio kraštinio bėgio ar tinklo atramų pamato iki</w:t>
                    </w:r>
                  </w:p>
                </w:tc>
                <w:tc>
                  <w:tcPr>
                    <w:tcW w:w="3152" w:type="dxa"/>
                    <w:gridSpan w:val="3"/>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nuo elektros tiekimo antžeminių linijų atramų pamato</w:t>
                    </w:r>
                  </w:p>
                </w:tc>
              </w:tr>
              <w:tr>
                <w:trPr>
                  <w:cantSplit/>
                </w:trPr>
                <w:tc>
                  <w:tcPr>
                    <w:tcW w:w="601" w:type="dxa"/>
                    <w:vMerge/>
                    <w:tcBorders>
                      <w:top w:val="single" w:sz="4" w:space="0" w:color="auto"/>
                      <w:left w:val="single" w:sz="4" w:space="0" w:color="auto"/>
                      <w:bottom w:val="single" w:sz="4" w:space="0" w:color="auto"/>
                      <w:right w:val="single" w:sz="4" w:space="0" w:color="auto"/>
                    </w:tcBorders>
                    <w:vAlign w:val="center"/>
                  </w:tcPr>
                  <w:p>
                    <w:pPr>
                      <w:rPr>
                        <w:sz w:val="20"/>
                        <w:szCs w:val="24"/>
                        <w:lang w:eastAsia="ar-SA"/>
                      </w:rPr>
                    </w:pPr>
                  </w:p>
                </w:tc>
                <w:tc>
                  <w:tcPr>
                    <w:tcW w:w="2675" w:type="dxa"/>
                    <w:vMerge/>
                    <w:tcBorders>
                      <w:top w:val="single" w:sz="4" w:space="0" w:color="auto"/>
                      <w:left w:val="single" w:sz="4" w:space="0" w:color="auto"/>
                      <w:bottom w:val="single" w:sz="4" w:space="0" w:color="auto"/>
                      <w:right w:val="single" w:sz="4" w:space="0" w:color="auto"/>
                    </w:tcBorders>
                    <w:vAlign w:val="center"/>
                  </w:tcPr>
                  <w:p>
                    <w:pPr>
                      <w:rPr>
                        <w:sz w:val="20"/>
                        <w:szCs w:val="24"/>
                        <w:lang w:eastAsia="ar-SA"/>
                      </w:rPr>
                    </w:pP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 xml:space="preserve">1520 arba </w:t>
                    </w:r>
                  </w:p>
                  <w:p>
                    <w:pPr>
                      <w:suppressAutoHyphens/>
                      <w:jc w:val="center"/>
                      <w:rPr>
                        <w:sz w:val="20"/>
                        <w:szCs w:val="24"/>
                        <w:lang w:eastAsia="ar-SA"/>
                      </w:rPr>
                    </w:pPr>
                    <w:r>
                      <w:rPr>
                        <w:sz w:val="20"/>
                        <w:szCs w:val="24"/>
                        <w:lang w:eastAsia="ar-SA"/>
                      </w:rPr>
                      <w:t>1420 mm</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750 mm</w:t>
                    </w:r>
                  </w:p>
                </w:tc>
                <w:tc>
                  <w:tcPr>
                    <w:tcW w:w="98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ryšių ir kontaktinio</w:t>
                    </w:r>
                  </w:p>
                </w:tc>
                <w:tc>
                  <w:tcPr>
                    <w:tcW w:w="1138"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iki 1 kV ir kontaktinio</w:t>
                    </w:r>
                  </w:p>
                </w:tc>
                <w:tc>
                  <w:tcPr>
                    <w:tcW w:w="10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daugiau kaip 1 iki 35 kV</w:t>
                    </w:r>
                  </w:p>
                </w:tc>
                <w:tc>
                  <w:tcPr>
                    <w:tcW w:w="99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daugiau kaip 35 iki 400 kV</w:t>
                    </w:r>
                  </w:p>
                </w:tc>
              </w:tr>
              <w:tr>
                <w:trPr>
                  <w:cantSplit/>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bCs/>
                        <w:sz w:val="20"/>
                        <w:szCs w:val="24"/>
                        <w:lang w:eastAsia="ar-SA"/>
                      </w:rPr>
                    </w:pPr>
                    <w:r>
                      <w:rPr>
                        <w:bCs/>
                        <w:sz w:val="20"/>
                        <w:szCs w:val="24"/>
                        <w:lang w:eastAsia="ar-SA"/>
                      </w:rPr>
                      <w:t>1</w:t>
                    </w:r>
                  </w:p>
                </w:tc>
                <w:tc>
                  <w:tcPr>
                    <w:tcW w:w="2863" w:type="dxa"/>
                    <w:tcBorders>
                      <w:top w:val="single" w:sz="4" w:space="0" w:color="auto"/>
                      <w:left w:val="single" w:sz="4" w:space="0" w:color="auto"/>
                      <w:bottom w:val="single" w:sz="4" w:space="0" w:color="auto"/>
                      <w:right w:val="single" w:sz="4" w:space="0" w:color="auto"/>
                    </w:tcBorders>
                  </w:tcPr>
                  <w:p>
                    <w:pPr>
                      <w:suppressAutoHyphens/>
                      <w:jc w:val="center"/>
                      <w:rPr>
                        <w:bCs/>
                        <w:sz w:val="20"/>
                        <w:szCs w:val="24"/>
                        <w:lang w:eastAsia="ar-SA"/>
                      </w:rPr>
                    </w:pPr>
                    <w:r>
                      <w:rPr>
                        <w:bCs/>
                        <w:sz w:val="20"/>
                        <w:szCs w:val="24"/>
                        <w:lang w:eastAsia="ar-SA"/>
                      </w:rPr>
                      <w:t>2</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w:t>
                    </w:r>
                  </w:p>
                </w:tc>
                <w:tc>
                  <w:tcPr>
                    <w:tcW w:w="98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w:t>
                    </w:r>
                  </w:p>
                </w:tc>
                <w:tc>
                  <w:tcPr>
                    <w:tcW w:w="1138"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6</w:t>
                    </w:r>
                  </w:p>
                </w:tc>
                <w:tc>
                  <w:tcPr>
                    <w:tcW w:w="10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7</w:t>
                    </w:r>
                  </w:p>
                </w:tc>
                <w:tc>
                  <w:tcPr>
                    <w:tcW w:w="99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8</w:t>
                    </w:r>
                  </w:p>
                </w:tc>
              </w:tr>
              <w:tr>
                <w:trPr>
                  <w:cantSplit/>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bCs/>
                        <w:sz w:val="20"/>
                        <w:szCs w:val="24"/>
                        <w:lang w:eastAsia="ar-SA"/>
                      </w:rPr>
                    </w:pPr>
                    <w:r>
                      <w:rPr>
                        <w:bCs/>
                        <w:sz w:val="20"/>
                        <w:szCs w:val="24"/>
                        <w:lang w:eastAsia="ar-SA"/>
                      </w:rPr>
                      <w:t>1</w:t>
                    </w:r>
                  </w:p>
                </w:tc>
                <w:tc>
                  <w:tcPr>
                    <w:tcW w:w="2863"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Vandentiekis ir slėginė nuotekų linija</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2,8</w:t>
                    </w:r>
                  </w:p>
                </w:tc>
                <w:tc>
                  <w:tcPr>
                    <w:tcW w:w="98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w:t>
                    </w:r>
                  </w:p>
                </w:tc>
                <w:tc>
                  <w:tcPr>
                    <w:tcW w:w="1138"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0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99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w:t>
                    </w:r>
                  </w:p>
                </w:tc>
              </w:tr>
              <w:tr>
                <w:trPr>
                  <w:cantSplit/>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2863"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Savitakiniai tinklai:</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98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138"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0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99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r>
              <w:tr>
                <w:trPr>
                  <w:cantSplit/>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2.1</w:t>
                    </w:r>
                  </w:p>
                </w:tc>
                <w:tc>
                  <w:tcPr>
                    <w:tcW w:w="2863"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ūkinių nuotekų</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2,8</w:t>
                    </w:r>
                  </w:p>
                </w:tc>
                <w:tc>
                  <w:tcPr>
                    <w:tcW w:w="98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1,5</w:t>
                    </w:r>
                  </w:p>
                </w:tc>
                <w:tc>
                  <w:tcPr>
                    <w:tcW w:w="1138"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0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99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w:t>
                    </w:r>
                  </w:p>
                </w:tc>
              </w:tr>
              <w:tr>
                <w:trPr>
                  <w:cantSplit/>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2.2</w:t>
                    </w:r>
                  </w:p>
                </w:tc>
                <w:tc>
                  <w:tcPr>
                    <w:tcW w:w="2863"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lietaus vandens</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2,8</w:t>
                    </w:r>
                  </w:p>
                </w:tc>
                <w:tc>
                  <w:tcPr>
                    <w:tcW w:w="98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1,5</w:t>
                    </w:r>
                  </w:p>
                </w:tc>
                <w:tc>
                  <w:tcPr>
                    <w:tcW w:w="1138"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0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99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w:t>
                    </w:r>
                  </w:p>
                </w:tc>
              </w:tr>
              <w:tr>
                <w:trPr>
                  <w:cantSplit/>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2.3</w:t>
                    </w:r>
                  </w:p>
                </w:tc>
                <w:tc>
                  <w:tcPr>
                    <w:tcW w:w="2863"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lauko drenažo</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2,8</w:t>
                    </w:r>
                  </w:p>
                </w:tc>
                <w:tc>
                  <w:tcPr>
                    <w:tcW w:w="98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138"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0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99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w:t>
                    </w:r>
                  </w:p>
                </w:tc>
              </w:tr>
              <w:tr>
                <w:trPr>
                  <w:cantSplit/>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2.4</w:t>
                    </w:r>
                  </w:p>
                </w:tc>
                <w:tc>
                  <w:tcPr>
                    <w:tcW w:w="2863"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statinio drenažo</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w:t>
                    </w:r>
                  </w:p>
                </w:tc>
                <w:tc>
                  <w:tcPr>
                    <w:tcW w:w="98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w:t>
                    </w:r>
                  </w:p>
                </w:tc>
                <w:tc>
                  <w:tcPr>
                    <w:tcW w:w="1138"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0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99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r>
              <w:tr>
                <w:trPr>
                  <w:cantSplit/>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w:t>
                    </w:r>
                  </w:p>
                </w:tc>
                <w:tc>
                  <w:tcPr>
                    <w:tcW w:w="2863"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Dujotiekis, kai slėgis:</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98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138"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0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99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r>
              <w:tr>
                <w:trPr>
                  <w:cantSplit/>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3.1</w:t>
                    </w:r>
                  </w:p>
                </w:tc>
                <w:tc>
                  <w:tcPr>
                    <w:tcW w:w="2863"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iki 0,1 bar</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3,8</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2,8</w:t>
                    </w:r>
                  </w:p>
                </w:tc>
                <w:tc>
                  <w:tcPr>
                    <w:tcW w:w="98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138"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0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w:t>
                    </w:r>
                  </w:p>
                </w:tc>
                <w:tc>
                  <w:tcPr>
                    <w:tcW w:w="99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10</w:t>
                    </w:r>
                  </w:p>
                </w:tc>
              </w:tr>
              <w:tr>
                <w:trPr>
                  <w:cantSplit/>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3.2</w:t>
                    </w:r>
                  </w:p>
                </w:tc>
                <w:tc>
                  <w:tcPr>
                    <w:tcW w:w="2863" w:type="dxa"/>
                    <w:tcBorders>
                      <w:top w:val="single" w:sz="4" w:space="0" w:color="auto"/>
                      <w:left w:val="single" w:sz="4" w:space="0" w:color="auto"/>
                      <w:bottom w:val="single" w:sz="4" w:space="0" w:color="auto"/>
                      <w:right w:val="single" w:sz="4" w:space="0" w:color="auto"/>
                    </w:tcBorders>
                  </w:tcPr>
                  <w:p>
                    <w:pPr>
                      <w:suppressAutoHyphens/>
                      <w:rPr>
                        <w:spacing w:val="-6"/>
                        <w:sz w:val="20"/>
                        <w:szCs w:val="24"/>
                        <w:lang w:eastAsia="ar-SA"/>
                      </w:rPr>
                    </w:pPr>
                    <w:r>
                      <w:rPr>
                        <w:spacing w:val="-6"/>
                        <w:sz w:val="20"/>
                        <w:szCs w:val="24"/>
                        <w:lang w:eastAsia="ar-SA"/>
                      </w:rPr>
                      <w:t>daugiau kaip 0,1 iki 5 bar</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4,8</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2,8</w:t>
                    </w:r>
                  </w:p>
                </w:tc>
                <w:tc>
                  <w:tcPr>
                    <w:tcW w:w="98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138"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0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w:t>
                    </w:r>
                  </w:p>
                </w:tc>
                <w:tc>
                  <w:tcPr>
                    <w:tcW w:w="99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10</w:t>
                    </w:r>
                  </w:p>
                </w:tc>
              </w:tr>
              <w:tr>
                <w:trPr>
                  <w:cantSplit/>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3.3</w:t>
                    </w:r>
                  </w:p>
                </w:tc>
                <w:tc>
                  <w:tcPr>
                    <w:tcW w:w="2863" w:type="dxa"/>
                    <w:tcBorders>
                      <w:top w:val="single" w:sz="4" w:space="0" w:color="auto"/>
                      <w:left w:val="single" w:sz="4" w:space="0" w:color="auto"/>
                      <w:bottom w:val="single" w:sz="4" w:space="0" w:color="auto"/>
                      <w:right w:val="single" w:sz="4" w:space="0" w:color="auto"/>
                    </w:tcBorders>
                  </w:tcPr>
                  <w:p>
                    <w:pPr>
                      <w:suppressAutoHyphens/>
                      <w:rPr>
                        <w:spacing w:val="-6"/>
                        <w:sz w:val="20"/>
                        <w:szCs w:val="24"/>
                        <w:lang w:eastAsia="ar-SA"/>
                      </w:rPr>
                    </w:pPr>
                    <w:r>
                      <w:rPr>
                        <w:spacing w:val="-6"/>
                        <w:sz w:val="20"/>
                        <w:szCs w:val="24"/>
                        <w:lang w:eastAsia="ar-SA"/>
                      </w:rPr>
                      <w:t xml:space="preserve">daugiau kaip 5 iki 16 bar </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7,8</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3,8</w:t>
                    </w:r>
                  </w:p>
                </w:tc>
                <w:tc>
                  <w:tcPr>
                    <w:tcW w:w="98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138"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0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w:t>
                    </w:r>
                  </w:p>
                </w:tc>
                <w:tc>
                  <w:tcPr>
                    <w:tcW w:w="99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10</w:t>
                    </w:r>
                  </w:p>
                </w:tc>
              </w:tr>
              <w:tr>
                <w:trPr>
                  <w:cantSplit/>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w:t>
                    </w:r>
                  </w:p>
                </w:tc>
                <w:tc>
                  <w:tcPr>
                    <w:tcW w:w="2863"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Šilumotiekis:</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98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138"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0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99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r>
              <w:tr>
                <w:trPr>
                  <w:cantSplit/>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4.1</w:t>
                    </w:r>
                  </w:p>
                </w:tc>
                <w:tc>
                  <w:tcPr>
                    <w:tcW w:w="2863"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bekanalinis</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2,8</w:t>
                    </w:r>
                  </w:p>
                </w:tc>
                <w:tc>
                  <w:tcPr>
                    <w:tcW w:w="98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w:t>
                    </w:r>
                  </w:p>
                </w:tc>
                <w:tc>
                  <w:tcPr>
                    <w:tcW w:w="1138"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0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99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w:t>
                    </w:r>
                  </w:p>
                </w:tc>
              </w:tr>
              <w:tr>
                <w:trPr>
                  <w:cantSplit/>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4.2</w:t>
                    </w:r>
                  </w:p>
                </w:tc>
                <w:tc>
                  <w:tcPr>
                    <w:tcW w:w="2863"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kanaluose (nuo krašto)</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2,8</w:t>
                    </w:r>
                  </w:p>
                </w:tc>
                <w:tc>
                  <w:tcPr>
                    <w:tcW w:w="98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1,5</w:t>
                    </w:r>
                  </w:p>
                </w:tc>
                <w:tc>
                  <w:tcPr>
                    <w:tcW w:w="1138"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0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99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w:t>
                    </w:r>
                  </w:p>
                </w:tc>
              </w:tr>
              <w:tr>
                <w:trPr>
                  <w:cantSplit/>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w:t>
                    </w:r>
                  </w:p>
                </w:tc>
                <w:tc>
                  <w:tcPr>
                    <w:tcW w:w="2863"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Elektros kabeliai:</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98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138"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0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99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r>
              <w:tr>
                <w:trPr>
                  <w:cantSplit/>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5.1</w:t>
                    </w:r>
                  </w:p>
                </w:tc>
                <w:tc>
                  <w:tcPr>
                    <w:tcW w:w="2863"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iki 10 kV</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3,2</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2,8</w:t>
                    </w:r>
                  </w:p>
                </w:tc>
                <w:tc>
                  <w:tcPr>
                    <w:tcW w:w="98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138"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0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w:t>
                    </w:r>
                  </w:p>
                </w:tc>
                <w:tc>
                  <w:tcPr>
                    <w:tcW w:w="99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10</w:t>
                    </w:r>
                  </w:p>
                </w:tc>
              </w:tr>
              <w:tr>
                <w:trPr>
                  <w:cantSplit/>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5.2</w:t>
                    </w:r>
                  </w:p>
                </w:tc>
                <w:tc>
                  <w:tcPr>
                    <w:tcW w:w="2863"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daugiau kaip 10 iki 110 kV</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3,2</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2,8</w:t>
                    </w:r>
                  </w:p>
                </w:tc>
                <w:tc>
                  <w:tcPr>
                    <w:tcW w:w="98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1,5</w:t>
                    </w:r>
                  </w:p>
                </w:tc>
                <w:tc>
                  <w:tcPr>
                    <w:tcW w:w="1138"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1,5</w:t>
                    </w:r>
                  </w:p>
                </w:tc>
                <w:tc>
                  <w:tcPr>
                    <w:tcW w:w="10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w:t>
                    </w:r>
                  </w:p>
                </w:tc>
                <w:tc>
                  <w:tcPr>
                    <w:tcW w:w="99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10</w:t>
                    </w:r>
                  </w:p>
                </w:tc>
              </w:tr>
              <w:tr>
                <w:trPr>
                  <w:cantSplit/>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6</w:t>
                    </w:r>
                  </w:p>
                </w:tc>
                <w:tc>
                  <w:tcPr>
                    <w:tcW w:w="2863"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Ryšių kabeliai ir jų kanalizacija</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2,8</w:t>
                    </w:r>
                  </w:p>
                </w:tc>
                <w:tc>
                  <w:tcPr>
                    <w:tcW w:w="98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138"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0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w:t>
                    </w:r>
                  </w:p>
                </w:tc>
                <w:tc>
                  <w:tcPr>
                    <w:tcW w:w="99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10</w:t>
                    </w:r>
                  </w:p>
                </w:tc>
              </w:tr>
              <w:tr>
                <w:trPr>
                  <w:cantSplit/>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7</w:t>
                    </w:r>
                  </w:p>
                </w:tc>
                <w:tc>
                  <w:tcPr>
                    <w:tcW w:w="2863"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Atliekų pneumovamzdynai</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2,8</w:t>
                    </w:r>
                  </w:p>
                </w:tc>
                <w:tc>
                  <w:tcPr>
                    <w:tcW w:w="98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138"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0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w:t>
                    </w:r>
                  </w:p>
                </w:tc>
                <w:tc>
                  <w:tcPr>
                    <w:tcW w:w="99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w:t>
                    </w:r>
                  </w:p>
                </w:tc>
              </w:tr>
              <w:tr>
                <w:trPr>
                  <w:cantSplit/>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8</w:t>
                    </w:r>
                  </w:p>
                </w:tc>
                <w:tc>
                  <w:tcPr>
                    <w:tcW w:w="2863"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Komunikacijų kolektoriai</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w:t>
                    </w:r>
                  </w:p>
                </w:tc>
                <w:tc>
                  <w:tcPr>
                    <w:tcW w:w="1134"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2,8</w:t>
                    </w:r>
                  </w:p>
                </w:tc>
                <w:tc>
                  <w:tcPr>
                    <w:tcW w:w="98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1,5</w:t>
                    </w:r>
                  </w:p>
                </w:tc>
                <w:tc>
                  <w:tcPr>
                    <w:tcW w:w="1138"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0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99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w:t>
                    </w:r>
                  </w:p>
                </w:tc>
              </w:tr>
            </w:tbl>
            <w:p/>
          </w:sdtContent>
        </w:sdt>
        <w:sdt>
          <w:sdtPr>
            <w:alias w:val="pastaba"/>
            <w:tag w:val="part_da8fab1f3f094161b09c18c5841c9b02"/>
            <w:lock w:val="sdtLocked"/>
            <w:richText/>
          </w:sdtPr>
          <w:sdtContent>
            <w:p>
              <w:pPr>
                <w:tabs>
                  <w:tab w:val="num" w:pos="0"/>
                </w:tabs>
                <w:suppressAutoHyphens/>
                <w:ind w:firstLine="709"/>
                <w:jc w:val="both"/>
                <w:outlineLvl w:val="7"/>
                <w:rPr>
                  <w:i/>
                  <w:iCs/>
                  <w:szCs w:val="24"/>
                  <w:lang w:eastAsia="ar-SA"/>
                </w:rPr>
              </w:pPr>
              <w:r>
                <w:rPr>
                  <w:i/>
                  <w:iCs/>
                  <w:szCs w:val="24"/>
                  <w:lang w:eastAsia="ar-SA"/>
                </w:rPr>
                <w:t>Pastabos:</w:t>
              </w:r>
            </w:p>
            <w:sdt>
              <w:sdtPr>
                <w:alias w:val="1 pr. 1 p."/>
                <w:tag w:val="part_35aff604d7dd44989baa85761c5b3c82"/>
                <w:lock w:val="sdtLocked"/>
                <w:richText/>
              </w:sdtPr>
              <w:sdtContent>
                <w:p>
                  <w:pPr>
                    <w:tabs>
                      <w:tab w:val="num" w:pos="0"/>
                    </w:tabs>
                    <w:suppressAutoHyphens/>
                    <w:ind w:firstLine="709"/>
                    <w:jc w:val="both"/>
                    <w:outlineLvl w:val="7"/>
                    <w:rPr>
                      <w:szCs w:val="24"/>
                      <w:lang w:eastAsia="ar-SA"/>
                    </w:rPr>
                  </w:pPr>
                  <w:sdt>
                    <w:sdtPr>
                      <w:alias w:val="Numeris"/>
                      <w:tag w:val="nr_35aff604d7dd44989baa85761c5b3c82"/>
                      <w:lock w:val="sdtLocked"/>
                      <w:richText/>
                    </w:sdtPr>
                    <w:sdtContent>
                      <w:r>
                        <w:rPr>
                          <w:szCs w:val="24"/>
                          <w:lang w:eastAsia="ar-SA"/>
                        </w:rPr>
                        <w:t>1</w:t>
                      </w:r>
                    </w:sdtContent>
                  </w:sdt>
                  <w:r>
                    <w:rPr>
                      <w:szCs w:val="24"/>
                      <w:lang w:eastAsia="ar-SA"/>
                    </w:rPr>
                    <w:t>.</w:t>
                  </w:r>
                  <w:r>
                    <w:rPr>
                      <w:b/>
                      <w:bCs/>
                      <w:szCs w:val="24"/>
                      <w:lang w:eastAsia="ar-SA"/>
                    </w:rPr>
                    <w:t xml:space="preserve"> </w:t>
                  </w:r>
                  <w:r>
                    <w:rPr>
                      <w:szCs w:val="24"/>
                      <w:lang w:eastAsia="ar-SA"/>
                    </w:rPr>
                    <w:t>Atstumai nuo inžinerinių tinklų išorinės sienelės krašto iki kitų statinių (pastatų, inžinerinių statinių ir pan.) nurodyti mažiausi. Norint šiuos atstumus sumažinti (atsižvelgiant į statybos produktų, iš kurių tiesiami inžineriniai tinklai, savybes), kiekvieną konkretų projekto sprendinį privaloma derinti su atitinkamomis statinio saugos ir paskirties reikalavimų valstybinės priežiūros institucijomis, kurios apibrėžtos Statybos įstatyme [4.1.1].</w:t>
                  </w:r>
                </w:p>
              </w:sdtContent>
            </w:sdt>
            <w:sdt>
              <w:sdtPr>
                <w:alias w:val="1 pr. 2 p."/>
                <w:tag w:val="part_c605579511f0427b8f97bfd75c3e44e3"/>
                <w:lock w:val="sdtLocked"/>
                <w:richText/>
              </w:sdtPr>
              <w:sdtContent>
                <w:p>
                  <w:pPr>
                    <w:tabs>
                      <w:tab w:val="num" w:pos="0"/>
                    </w:tabs>
                    <w:suppressAutoHyphens/>
                    <w:ind w:firstLine="709"/>
                    <w:jc w:val="both"/>
                    <w:outlineLvl w:val="7"/>
                    <w:rPr>
                      <w:szCs w:val="24"/>
                      <w:lang w:eastAsia="ar-SA"/>
                    </w:rPr>
                  </w:pPr>
                  <w:sdt>
                    <w:sdtPr>
                      <w:alias w:val="Numeris"/>
                      <w:tag w:val="nr_c605579511f0427b8f97bfd75c3e44e3"/>
                      <w:lock w:val="sdtLocked"/>
                      <w:richText/>
                    </w:sdtPr>
                    <w:sdtContent>
                      <w:r>
                        <w:rPr>
                          <w:szCs w:val="24"/>
                          <w:lang w:eastAsia="ar-SA"/>
                        </w:rPr>
                        <w:t>2</w:t>
                      </w:r>
                    </w:sdtContent>
                  </w:sdt>
                  <w:r>
                    <w:rPr>
                      <w:szCs w:val="24"/>
                      <w:lang w:eastAsia="ar-SA"/>
                    </w:rPr>
                    <w:t>. Lentelėse skliaustuose nurodyti mažiausi atstumai tais atvejais, kai tiesiami nauji inžineriniai tinklai šalia esamų, pastatytų iš tuo metu statyboje naudotų statybos produktų, ir nėra galimybės išlaikyti naujiems inžineriniams tinklams tiesti nustatytų atstumų.</w:t>
                  </w:r>
                </w:p>
                <w:p>
                  <w:pPr>
                    <w:suppressAutoHyphens/>
                    <w:jc w:val="center"/>
                    <w:rPr>
                      <w:szCs w:val="24"/>
                      <w:lang w:eastAsia="ar-SA"/>
                    </w:rPr>
                  </w:pPr>
                  <w:r>
                    <w:rPr>
                      <w:szCs w:val="24"/>
                      <w:lang w:eastAsia="ar-SA"/>
                    </w:rPr>
                    <w:t>______________</w:t>
                  </w:r>
                </w:p>
              </w:sdtContent>
            </w:sdt>
          </w:sdtContent>
        </w:sdt>
      </w:sdtContent>
    </w:sdt>
    <w:sdt>
      <w:sdtPr>
        <w:alias w:val="6 pr."/>
        <w:tag w:val="part_4cfeb965f9ec4f92bf5e4a4b3933b22c"/>
        <w:lock w:val="sdtLocked"/>
        <w:richText/>
      </w:sdtPr>
      <w:sdtContent>
        <w:p>
          <w:pPr>
            <w:suppressAutoHyphens/>
            <w:ind w:firstLine="5102"/>
          </w:pPr>
          <w:r>
            <w:br w:type="page"/>
          </w:r>
        </w:p>
        <w:p>
          <w:pPr>
            <w:suppressAutoHyphens/>
            <w:ind w:firstLine="5102"/>
            <w:rPr>
              <w:szCs w:val="24"/>
              <w:lang w:eastAsia="ar-SA"/>
            </w:rPr>
          </w:pPr>
          <w:r>
            <w:rPr>
              <w:szCs w:val="24"/>
              <w:lang w:eastAsia="ar-SA"/>
            </w:rPr>
            <w:t>STR 2.03.02:2005</w:t>
          </w:r>
        </w:p>
        <w:p>
          <w:pPr>
            <w:suppressAutoHyphens/>
            <w:ind w:firstLine="5102"/>
            <w:rPr>
              <w:szCs w:val="24"/>
              <w:lang w:eastAsia="ar-SA"/>
            </w:rPr>
          </w:pPr>
          <w:sdt>
            <w:sdtPr>
              <w:alias w:val="Numeris"/>
              <w:tag w:val="nr_4cfeb965f9ec4f92bf5e4a4b3933b22c"/>
              <w:lock w:val="sdtLocked"/>
              <w:richText/>
            </w:sdtPr>
            <w:sdtContent>
              <w:r>
                <w:rPr>
                  <w:szCs w:val="24"/>
                  <w:lang w:eastAsia="ar-SA"/>
                </w:rPr>
                <w:t>6</w:t>
              </w:r>
            </w:sdtContent>
          </w:sdt>
          <w:r>
            <w:rPr>
              <w:szCs w:val="24"/>
              <w:lang w:eastAsia="ar-SA"/>
            </w:rPr>
            <w:t xml:space="preserve"> priedas</w:t>
          </w:r>
        </w:p>
        <w:p>
          <w:pPr>
            <w:suppressAutoHyphens/>
            <w:ind w:firstLine="709"/>
            <w:jc w:val="right"/>
            <w:rPr>
              <w:szCs w:val="24"/>
              <w:lang w:eastAsia="ar-SA"/>
            </w:rPr>
          </w:pPr>
        </w:p>
        <w:sdt>
          <w:sdtPr>
            <w:alias w:val="Pavadinimas"/>
            <w:tag w:val="title_4cfeb965f9ec4f92bf5e4a4b3933b22c"/>
            <w:lock w:val="sdtLocked"/>
            <w:richText/>
          </w:sdtPr>
          <w:sdtContent>
            <w:p>
              <w:pPr>
                <w:suppressAutoHyphens/>
                <w:jc w:val="center"/>
                <w:rPr>
                  <w:b/>
                  <w:caps/>
                  <w:szCs w:val="24"/>
                  <w:lang w:eastAsia="ar-SA"/>
                </w:rPr>
              </w:pPr>
              <w:r>
                <w:rPr>
                  <w:b/>
                  <w:caps/>
                  <w:szCs w:val="24"/>
                  <w:lang w:eastAsia="ar-SA"/>
                </w:rPr>
                <w:t>Horizontalūs atstumai (prošvaisoje) TARP INŽINERINIŲ TINKLŲ</w:t>
              </w:r>
            </w:p>
            <w:p>
              <w:pPr>
                <w:suppressAutoHyphens/>
                <w:jc w:val="center"/>
                <w:rPr>
                  <w:b/>
                  <w:caps/>
                  <w:szCs w:val="24"/>
                  <w:lang w:eastAsia="ar-SA"/>
                </w:rPr>
              </w:pPr>
              <w:r>
                <w:rPr>
                  <w:b/>
                  <w:caps/>
                  <w:szCs w:val="24"/>
                  <w:lang w:eastAsia="ar-SA"/>
                </w:rPr>
                <w:t>(1, 2, 3, 4 LENTELĖS)</w:t>
              </w:r>
            </w:p>
          </w:sdtContent>
        </w:sdt>
        <w:sdt>
          <w:sdtPr>
            <w:alias w:val="lentele"/>
            <w:tag w:val="part_f24e6b3b13bc49d786cd3db94ec2daf8"/>
            <w:lock w:val="sdtLocked"/>
            <w:richText/>
          </w:sdtPr>
          <w:sdtContent>
            <w:p>
              <w:pPr>
                <w:suppressAutoHyphens/>
                <w:ind w:firstLine="709"/>
                <w:jc w:val="right"/>
                <w:rPr>
                  <w:szCs w:val="24"/>
                  <w:lang w:eastAsia="ar-SA"/>
                </w:rPr>
              </w:pPr>
              <w:sdt>
                <w:sdtPr>
                  <w:alias w:val="Numeris"/>
                  <w:tag w:val="nr_f24e6b3b13bc49d786cd3db94ec2daf8"/>
                  <w:lock w:val="sdtLocked"/>
                  <w:richText/>
                </w:sdtPr>
                <w:sdtContent>
                  <w:r>
                    <w:rPr>
                      <w:szCs w:val="24"/>
                      <w:lang w:eastAsia="ar-SA"/>
                    </w:rPr>
                    <w:t>1</w:t>
                  </w:r>
                </w:sdtContent>
              </w:sdt>
              <w:r>
                <w:rPr>
                  <w:szCs w:val="24"/>
                  <w:lang w:eastAsia="ar-SA"/>
                </w:rPr>
                <w:t xml:space="preserve"> lentelė</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25"/>
                <w:gridCol w:w="4020"/>
                <w:gridCol w:w="1573"/>
                <w:gridCol w:w="1225"/>
                <w:gridCol w:w="1138"/>
                <w:gridCol w:w="1056"/>
              </w:tblGrid>
              <w:tr>
                <w:trPr>
                  <w:cantSplit/>
                  <w:trHeight w:hRule="exact" w:val="276"/>
                </w:trPr>
                <w:tc>
                  <w:tcPr>
                    <w:tcW w:w="639" w:type="dxa"/>
                    <w:vMerge w:val="restart"/>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Eil. Nr.</w:t>
                    </w:r>
                  </w:p>
                </w:tc>
                <w:tc>
                  <w:tcPr>
                    <w:tcW w:w="4154" w:type="dxa"/>
                    <w:vMerge w:val="restart"/>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p>
                    <w:pPr>
                      <w:suppressAutoHyphens/>
                      <w:jc w:val="center"/>
                      <w:rPr>
                        <w:sz w:val="20"/>
                        <w:szCs w:val="24"/>
                        <w:lang w:eastAsia="ar-SA"/>
                      </w:rPr>
                    </w:pPr>
                    <w:r>
                      <w:rPr>
                        <w:sz w:val="20"/>
                        <w:szCs w:val="24"/>
                        <w:lang w:eastAsia="ar-SA"/>
                      </w:rPr>
                      <w:t>Tinklo paskirtis</w:t>
                    </w:r>
                  </w:p>
                </w:tc>
                <w:tc>
                  <w:tcPr>
                    <w:tcW w:w="5135" w:type="dxa"/>
                    <w:gridSpan w:val="4"/>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bCs/>
                        <w:sz w:val="20"/>
                        <w:szCs w:val="24"/>
                        <w:lang w:eastAsia="ar-SA"/>
                      </w:rPr>
                      <w:t>Horizontalūs atstumai (prošvaisoje)</w:t>
                    </w:r>
                    <w:r>
                      <w:rPr>
                        <w:b/>
                        <w:sz w:val="20"/>
                        <w:szCs w:val="24"/>
                        <w:lang w:eastAsia="ar-SA"/>
                      </w:rPr>
                      <w:t xml:space="preserve"> </w:t>
                    </w:r>
                    <w:r>
                      <w:rPr>
                        <w:sz w:val="20"/>
                        <w:szCs w:val="24"/>
                        <w:lang w:eastAsia="ar-SA"/>
                      </w:rPr>
                      <w:t>tarp tinklų, m</w:t>
                    </w:r>
                  </w:p>
                </w:tc>
              </w:tr>
              <w:tr>
                <w:trPr>
                  <w:cantSplit/>
                </w:trPr>
                <w:tc>
                  <w:tcPr>
                    <w:tcW w:w="625" w:type="dxa"/>
                    <w:vMerge/>
                    <w:tcBorders>
                      <w:top w:val="single" w:sz="4" w:space="0" w:color="auto"/>
                      <w:left w:val="single" w:sz="4" w:space="0" w:color="auto"/>
                      <w:bottom w:val="single" w:sz="4" w:space="0" w:color="auto"/>
                      <w:right w:val="single" w:sz="4" w:space="0" w:color="auto"/>
                    </w:tcBorders>
                    <w:vAlign w:val="center"/>
                  </w:tcPr>
                  <w:p>
                    <w:pPr>
                      <w:rPr>
                        <w:sz w:val="20"/>
                        <w:szCs w:val="24"/>
                        <w:lang w:eastAsia="ar-SA"/>
                      </w:rPr>
                    </w:pPr>
                  </w:p>
                </w:tc>
                <w:tc>
                  <w:tcPr>
                    <w:tcW w:w="3967" w:type="dxa"/>
                    <w:vMerge/>
                    <w:tcBorders>
                      <w:top w:val="single" w:sz="4" w:space="0" w:color="auto"/>
                      <w:left w:val="single" w:sz="4" w:space="0" w:color="auto"/>
                      <w:bottom w:val="single" w:sz="4" w:space="0" w:color="auto"/>
                      <w:right w:val="single" w:sz="4" w:space="0" w:color="auto"/>
                    </w:tcBorders>
                    <w:vAlign w:val="center"/>
                  </w:tcPr>
                  <w:p>
                    <w:pPr>
                      <w:rPr>
                        <w:sz w:val="20"/>
                        <w:szCs w:val="24"/>
                        <w:lang w:eastAsia="ar-SA"/>
                      </w:rPr>
                    </w:pPr>
                  </w:p>
                </w:tc>
                <w:tc>
                  <w:tcPr>
                    <w:tcW w:w="162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Vandentiekio</w:t>
                    </w:r>
                  </w:p>
                </w:tc>
                <w:tc>
                  <w:tcPr>
                    <w:tcW w:w="126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Ūkinių nuotekų</w:t>
                    </w:r>
                  </w:p>
                </w:tc>
                <w:tc>
                  <w:tcPr>
                    <w:tcW w:w="11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Lietaus vandens</w:t>
                    </w:r>
                  </w:p>
                </w:tc>
                <w:tc>
                  <w:tcPr>
                    <w:tcW w:w="1085"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Drenažo</w:t>
                    </w:r>
                  </w:p>
                </w:tc>
              </w:tr>
              <w:tr>
                <w:trPr>
                  <w:cantSplit/>
                </w:trPr>
                <w:tc>
                  <w:tcPr>
                    <w:tcW w:w="639" w:type="dxa"/>
                    <w:tcBorders>
                      <w:top w:val="single" w:sz="4" w:space="0" w:color="auto"/>
                      <w:left w:val="single" w:sz="4" w:space="0" w:color="auto"/>
                      <w:bottom w:val="single" w:sz="4" w:space="0" w:color="auto"/>
                      <w:right w:val="single" w:sz="4" w:space="0" w:color="auto"/>
                    </w:tcBorders>
                  </w:tcPr>
                  <w:p>
                    <w:pPr>
                      <w:suppressAutoHyphens/>
                      <w:jc w:val="center"/>
                      <w:rPr>
                        <w:bCs/>
                        <w:sz w:val="20"/>
                        <w:szCs w:val="24"/>
                        <w:lang w:eastAsia="ar-SA"/>
                      </w:rPr>
                    </w:pPr>
                    <w:r>
                      <w:rPr>
                        <w:bCs/>
                        <w:sz w:val="20"/>
                        <w:szCs w:val="24"/>
                        <w:lang w:eastAsia="ar-SA"/>
                      </w:rPr>
                      <w:t>1</w:t>
                    </w:r>
                  </w:p>
                </w:tc>
                <w:tc>
                  <w:tcPr>
                    <w:tcW w:w="4154"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Vandentiekis ir slėginė nuotekų linija</w:t>
                    </w:r>
                  </w:p>
                </w:tc>
                <w:tc>
                  <w:tcPr>
                    <w:tcW w:w="162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0,5(1)</w:t>
                    </w:r>
                  </w:p>
                </w:tc>
                <w:tc>
                  <w:tcPr>
                    <w:tcW w:w="126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0,5(1,5)</w:t>
                    </w:r>
                  </w:p>
                </w:tc>
                <w:tc>
                  <w:tcPr>
                    <w:tcW w:w="11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1085"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r>
              <w:tr>
                <w:trPr>
                  <w:cantSplit/>
                </w:trPr>
                <w:tc>
                  <w:tcPr>
                    <w:tcW w:w="63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4154"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Savitakiniai tinklai:</w:t>
                    </w:r>
                  </w:p>
                </w:tc>
                <w:tc>
                  <w:tcPr>
                    <w:tcW w:w="162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26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1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085"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r>
              <w:tr>
                <w:trPr>
                  <w:cantSplit/>
                </w:trPr>
                <w:tc>
                  <w:tcPr>
                    <w:tcW w:w="63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2.1</w:t>
                    </w:r>
                  </w:p>
                </w:tc>
                <w:tc>
                  <w:tcPr>
                    <w:tcW w:w="4154"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ūkinių nuotekų</w:t>
                    </w:r>
                  </w:p>
                </w:tc>
                <w:tc>
                  <w:tcPr>
                    <w:tcW w:w="162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0,5(1,5)</w:t>
                    </w:r>
                  </w:p>
                </w:tc>
                <w:tc>
                  <w:tcPr>
                    <w:tcW w:w="126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w:t>
                    </w:r>
                  </w:p>
                </w:tc>
                <w:tc>
                  <w:tcPr>
                    <w:tcW w:w="11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w:t>
                    </w:r>
                  </w:p>
                </w:tc>
                <w:tc>
                  <w:tcPr>
                    <w:tcW w:w="1085"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w:t>
                    </w:r>
                  </w:p>
                </w:tc>
              </w:tr>
              <w:tr>
                <w:trPr>
                  <w:cantSplit/>
                </w:trPr>
                <w:tc>
                  <w:tcPr>
                    <w:tcW w:w="63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2.2</w:t>
                    </w:r>
                  </w:p>
                </w:tc>
                <w:tc>
                  <w:tcPr>
                    <w:tcW w:w="4154"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lietaus vandens</w:t>
                    </w:r>
                  </w:p>
                </w:tc>
                <w:tc>
                  <w:tcPr>
                    <w:tcW w:w="162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126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w:t>
                    </w:r>
                  </w:p>
                </w:tc>
                <w:tc>
                  <w:tcPr>
                    <w:tcW w:w="11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w:t>
                    </w:r>
                  </w:p>
                </w:tc>
                <w:tc>
                  <w:tcPr>
                    <w:tcW w:w="1085"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w:t>
                    </w:r>
                  </w:p>
                </w:tc>
              </w:tr>
              <w:tr>
                <w:trPr>
                  <w:cantSplit/>
                </w:trPr>
                <w:tc>
                  <w:tcPr>
                    <w:tcW w:w="63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2.3</w:t>
                    </w:r>
                  </w:p>
                </w:tc>
                <w:tc>
                  <w:tcPr>
                    <w:tcW w:w="4154"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lauko drenažo</w:t>
                    </w:r>
                  </w:p>
                </w:tc>
                <w:tc>
                  <w:tcPr>
                    <w:tcW w:w="162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126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w:t>
                    </w:r>
                  </w:p>
                </w:tc>
                <w:tc>
                  <w:tcPr>
                    <w:tcW w:w="11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w:t>
                    </w:r>
                  </w:p>
                </w:tc>
                <w:tc>
                  <w:tcPr>
                    <w:tcW w:w="1085"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w:t>
                    </w:r>
                  </w:p>
                </w:tc>
              </w:tr>
              <w:tr>
                <w:trPr>
                  <w:cantSplit/>
                </w:trPr>
                <w:tc>
                  <w:tcPr>
                    <w:tcW w:w="63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w:t>
                    </w:r>
                  </w:p>
                </w:tc>
                <w:tc>
                  <w:tcPr>
                    <w:tcW w:w="4154"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Dujotiekis, kai slėgis:</w:t>
                    </w:r>
                  </w:p>
                </w:tc>
                <w:tc>
                  <w:tcPr>
                    <w:tcW w:w="162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26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1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085"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r>
              <w:tr>
                <w:trPr>
                  <w:cantSplit/>
                </w:trPr>
                <w:tc>
                  <w:tcPr>
                    <w:tcW w:w="63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3.1</w:t>
                    </w:r>
                  </w:p>
                </w:tc>
                <w:tc>
                  <w:tcPr>
                    <w:tcW w:w="4154"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iki 0,1 bar</w:t>
                    </w:r>
                  </w:p>
                </w:tc>
                <w:tc>
                  <w:tcPr>
                    <w:tcW w:w="162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0,5(1)</w:t>
                    </w:r>
                  </w:p>
                </w:tc>
                <w:tc>
                  <w:tcPr>
                    <w:tcW w:w="126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1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085"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r>
              <w:tr>
                <w:trPr>
                  <w:cantSplit/>
                </w:trPr>
                <w:tc>
                  <w:tcPr>
                    <w:tcW w:w="63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3.2</w:t>
                    </w:r>
                  </w:p>
                </w:tc>
                <w:tc>
                  <w:tcPr>
                    <w:tcW w:w="4154"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daugiau kaip 0,1 iki 5 bar</w:t>
                    </w:r>
                  </w:p>
                </w:tc>
                <w:tc>
                  <w:tcPr>
                    <w:tcW w:w="162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0,5(1)</w:t>
                    </w:r>
                  </w:p>
                </w:tc>
                <w:tc>
                  <w:tcPr>
                    <w:tcW w:w="126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1(1,5)</w:t>
                    </w:r>
                  </w:p>
                </w:tc>
                <w:tc>
                  <w:tcPr>
                    <w:tcW w:w="11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1(1,5)</w:t>
                    </w:r>
                  </w:p>
                </w:tc>
                <w:tc>
                  <w:tcPr>
                    <w:tcW w:w="1085"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1(1,5)</w:t>
                    </w:r>
                  </w:p>
                </w:tc>
              </w:tr>
              <w:tr>
                <w:trPr>
                  <w:cantSplit/>
                </w:trPr>
                <w:tc>
                  <w:tcPr>
                    <w:tcW w:w="63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3.3</w:t>
                    </w:r>
                  </w:p>
                </w:tc>
                <w:tc>
                  <w:tcPr>
                    <w:tcW w:w="4154"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 xml:space="preserve">daugiau kaip 5 iki 16 bar </w:t>
                    </w:r>
                  </w:p>
                </w:tc>
                <w:tc>
                  <w:tcPr>
                    <w:tcW w:w="162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1,5(2)</w:t>
                    </w:r>
                  </w:p>
                </w:tc>
                <w:tc>
                  <w:tcPr>
                    <w:tcW w:w="126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w:t>
                    </w:r>
                  </w:p>
                </w:tc>
                <w:tc>
                  <w:tcPr>
                    <w:tcW w:w="11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w:t>
                    </w:r>
                  </w:p>
                </w:tc>
                <w:tc>
                  <w:tcPr>
                    <w:tcW w:w="1085"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w:t>
                    </w:r>
                  </w:p>
                </w:tc>
              </w:tr>
              <w:tr>
                <w:trPr>
                  <w:cantSplit/>
                </w:trPr>
                <w:tc>
                  <w:tcPr>
                    <w:tcW w:w="63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w:t>
                    </w:r>
                  </w:p>
                </w:tc>
                <w:tc>
                  <w:tcPr>
                    <w:tcW w:w="4154"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Šilumotiekis:</w:t>
                    </w:r>
                  </w:p>
                </w:tc>
                <w:tc>
                  <w:tcPr>
                    <w:tcW w:w="162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26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1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085"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r>
              <w:tr>
                <w:trPr>
                  <w:cantSplit/>
                </w:trPr>
                <w:tc>
                  <w:tcPr>
                    <w:tcW w:w="63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4.1</w:t>
                    </w:r>
                  </w:p>
                </w:tc>
                <w:tc>
                  <w:tcPr>
                    <w:tcW w:w="4154"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bekanalinis</w:t>
                    </w:r>
                  </w:p>
                </w:tc>
                <w:tc>
                  <w:tcPr>
                    <w:tcW w:w="162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126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11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1085"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r>
              <w:tr>
                <w:trPr>
                  <w:cantSplit/>
                </w:trPr>
                <w:tc>
                  <w:tcPr>
                    <w:tcW w:w="63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4.2</w:t>
                    </w:r>
                  </w:p>
                </w:tc>
                <w:tc>
                  <w:tcPr>
                    <w:tcW w:w="4154"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kanaluose (nuo kanalo krašto)</w:t>
                    </w:r>
                  </w:p>
                </w:tc>
                <w:tc>
                  <w:tcPr>
                    <w:tcW w:w="162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w:t>
                    </w:r>
                  </w:p>
                </w:tc>
                <w:tc>
                  <w:tcPr>
                    <w:tcW w:w="126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w:t>
                    </w:r>
                  </w:p>
                </w:tc>
                <w:tc>
                  <w:tcPr>
                    <w:tcW w:w="11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w:t>
                    </w:r>
                  </w:p>
                </w:tc>
                <w:tc>
                  <w:tcPr>
                    <w:tcW w:w="1085"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w:t>
                    </w:r>
                  </w:p>
                </w:tc>
              </w:tr>
              <w:tr>
                <w:trPr>
                  <w:cantSplit/>
                </w:trPr>
                <w:tc>
                  <w:tcPr>
                    <w:tcW w:w="63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w:t>
                    </w:r>
                  </w:p>
                </w:tc>
                <w:tc>
                  <w:tcPr>
                    <w:tcW w:w="4154"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Elektros kabeliai:</w:t>
                    </w:r>
                  </w:p>
                </w:tc>
                <w:tc>
                  <w:tcPr>
                    <w:tcW w:w="162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26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1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085"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r>
              <w:tr>
                <w:trPr>
                  <w:cantSplit/>
                </w:trPr>
                <w:tc>
                  <w:tcPr>
                    <w:tcW w:w="63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5.1</w:t>
                    </w:r>
                  </w:p>
                </w:tc>
                <w:tc>
                  <w:tcPr>
                    <w:tcW w:w="4154"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iki 10 kV</w:t>
                    </w:r>
                  </w:p>
                </w:tc>
                <w:tc>
                  <w:tcPr>
                    <w:tcW w:w="162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0,6(1)</w:t>
                    </w:r>
                  </w:p>
                </w:tc>
                <w:tc>
                  <w:tcPr>
                    <w:tcW w:w="126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0,6(1)</w:t>
                    </w:r>
                  </w:p>
                </w:tc>
                <w:tc>
                  <w:tcPr>
                    <w:tcW w:w="11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0,6(1)</w:t>
                    </w:r>
                  </w:p>
                </w:tc>
                <w:tc>
                  <w:tcPr>
                    <w:tcW w:w="1085"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0,6(1)</w:t>
                    </w:r>
                  </w:p>
                </w:tc>
              </w:tr>
              <w:tr>
                <w:trPr>
                  <w:cantSplit/>
                </w:trPr>
                <w:tc>
                  <w:tcPr>
                    <w:tcW w:w="63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5.2</w:t>
                    </w:r>
                  </w:p>
                </w:tc>
                <w:tc>
                  <w:tcPr>
                    <w:tcW w:w="4154"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daugiau kaip 10 iki 110 kV</w:t>
                    </w:r>
                  </w:p>
                </w:tc>
                <w:tc>
                  <w:tcPr>
                    <w:tcW w:w="162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26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1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085"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r>
              <w:tr>
                <w:trPr>
                  <w:cantSplit/>
                </w:trPr>
                <w:tc>
                  <w:tcPr>
                    <w:tcW w:w="63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6</w:t>
                    </w:r>
                  </w:p>
                </w:tc>
                <w:tc>
                  <w:tcPr>
                    <w:tcW w:w="4154"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Ryšių kabeliai ir jų kanalizacija</w:t>
                    </w:r>
                  </w:p>
                </w:tc>
                <w:tc>
                  <w:tcPr>
                    <w:tcW w:w="162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0,6(1)</w:t>
                    </w:r>
                  </w:p>
                </w:tc>
                <w:tc>
                  <w:tcPr>
                    <w:tcW w:w="126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0,6(1)</w:t>
                    </w:r>
                  </w:p>
                </w:tc>
                <w:tc>
                  <w:tcPr>
                    <w:tcW w:w="11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0,6(1)</w:t>
                    </w:r>
                  </w:p>
                </w:tc>
                <w:tc>
                  <w:tcPr>
                    <w:tcW w:w="1085"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0,6</w:t>
                    </w:r>
                  </w:p>
                </w:tc>
              </w:tr>
              <w:tr>
                <w:trPr>
                  <w:cantSplit/>
                </w:trPr>
                <w:tc>
                  <w:tcPr>
                    <w:tcW w:w="63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7</w:t>
                    </w:r>
                  </w:p>
                </w:tc>
                <w:tc>
                  <w:tcPr>
                    <w:tcW w:w="4154"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Atliekų pneumovamzdynai</w:t>
                    </w:r>
                  </w:p>
                </w:tc>
                <w:tc>
                  <w:tcPr>
                    <w:tcW w:w="162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0,6(1)</w:t>
                    </w:r>
                  </w:p>
                </w:tc>
                <w:tc>
                  <w:tcPr>
                    <w:tcW w:w="126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11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1085"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w:t>
                    </w:r>
                  </w:p>
                </w:tc>
              </w:tr>
              <w:tr>
                <w:trPr>
                  <w:cantSplit/>
                </w:trPr>
                <w:tc>
                  <w:tcPr>
                    <w:tcW w:w="639"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8</w:t>
                    </w:r>
                  </w:p>
                </w:tc>
                <w:tc>
                  <w:tcPr>
                    <w:tcW w:w="4154"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Komunikacijų kolektoriai</w:t>
                    </w:r>
                  </w:p>
                </w:tc>
                <w:tc>
                  <w:tcPr>
                    <w:tcW w:w="162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126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11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1085"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w:t>
                    </w:r>
                  </w:p>
                </w:tc>
              </w:tr>
            </w:tbl>
            <w:p>
              <w:pPr>
                <w:suppressAutoHyphens/>
                <w:ind w:firstLine="709"/>
                <w:jc w:val="both"/>
                <w:rPr>
                  <w:szCs w:val="24"/>
                  <w:lang w:eastAsia="ar-SA"/>
                </w:rPr>
              </w:pPr>
            </w:p>
          </w:sdtContent>
        </w:sdt>
        <w:sdt>
          <w:sdtPr>
            <w:alias w:val="lentele"/>
            <w:tag w:val="part_9545d03812a945d3b4578cbcccb230f8"/>
            <w:lock w:val="sdtLocked"/>
            <w:richText/>
          </w:sdtPr>
          <w:sdtContent>
            <w:p>
              <w:pPr>
                <w:suppressAutoHyphens/>
                <w:ind w:firstLine="709"/>
                <w:jc w:val="right"/>
                <w:rPr>
                  <w:szCs w:val="24"/>
                  <w:lang w:eastAsia="ar-SA"/>
                </w:rPr>
              </w:pPr>
              <w:sdt>
                <w:sdtPr>
                  <w:alias w:val="Numeris"/>
                  <w:tag w:val="nr_9545d03812a945d3b4578cbcccb230f8"/>
                  <w:lock w:val="sdtLocked"/>
                  <w:richText/>
                </w:sdtPr>
                <w:sdtContent>
                  <w:r>
                    <w:rPr>
                      <w:szCs w:val="24"/>
                      <w:lang w:eastAsia="ar-SA"/>
                    </w:rPr>
                    <w:t>2</w:t>
                  </w:r>
                </w:sdtContent>
              </w:sdt>
              <w:r>
                <w:rPr>
                  <w:szCs w:val="24"/>
                  <w:lang w:eastAsia="ar-SA"/>
                </w:rPr>
                <w:t xml:space="preserve"> lentelė</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27"/>
                <w:gridCol w:w="4024"/>
                <w:gridCol w:w="1400"/>
                <w:gridCol w:w="1836"/>
                <w:gridCol w:w="1750"/>
              </w:tblGrid>
              <w:tr>
                <w:trPr>
                  <w:cantSplit/>
                  <w:trHeight w:hRule="exact" w:val="276"/>
                </w:trPr>
                <w:tc>
                  <w:tcPr>
                    <w:tcW w:w="640" w:type="dxa"/>
                    <w:vMerge w:val="restart"/>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Eil.</w:t>
                    </w:r>
                  </w:p>
                  <w:p>
                    <w:pPr>
                      <w:suppressAutoHyphens/>
                      <w:jc w:val="center"/>
                      <w:rPr>
                        <w:sz w:val="20"/>
                        <w:szCs w:val="24"/>
                        <w:lang w:eastAsia="ar-SA"/>
                      </w:rPr>
                    </w:pPr>
                    <w:r>
                      <w:rPr>
                        <w:sz w:val="20"/>
                        <w:szCs w:val="24"/>
                        <w:lang w:eastAsia="ar-SA"/>
                      </w:rPr>
                      <w:t>Nr.</w:t>
                    </w:r>
                  </w:p>
                </w:tc>
                <w:tc>
                  <w:tcPr>
                    <w:tcW w:w="4153" w:type="dxa"/>
                    <w:vMerge w:val="restart"/>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Tinklo paskirtis</w:t>
                    </w:r>
                  </w:p>
                </w:tc>
                <w:tc>
                  <w:tcPr>
                    <w:tcW w:w="5132" w:type="dxa"/>
                    <w:gridSpan w:val="3"/>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bCs/>
                        <w:sz w:val="20"/>
                        <w:szCs w:val="24"/>
                        <w:lang w:eastAsia="ar-SA"/>
                      </w:rPr>
                      <w:t>Horizontalūs atstumai (prošvaisoje)</w:t>
                    </w:r>
                    <w:r>
                      <w:rPr>
                        <w:b/>
                        <w:sz w:val="20"/>
                        <w:szCs w:val="24"/>
                        <w:lang w:eastAsia="ar-SA"/>
                      </w:rPr>
                      <w:t xml:space="preserve"> </w:t>
                    </w:r>
                    <w:r>
                      <w:rPr>
                        <w:sz w:val="20"/>
                        <w:szCs w:val="24"/>
                        <w:lang w:eastAsia="ar-SA"/>
                      </w:rPr>
                      <w:t>tarp tinklų, m</w:t>
                    </w:r>
                  </w:p>
                </w:tc>
              </w:tr>
              <w:tr>
                <w:trPr>
                  <w:cantSplit/>
                  <w:trHeight w:val="275"/>
                </w:trPr>
                <w:tc>
                  <w:tcPr>
                    <w:tcW w:w="631" w:type="dxa"/>
                    <w:vMerge/>
                    <w:tcBorders>
                      <w:top w:val="single" w:sz="4" w:space="0" w:color="auto"/>
                      <w:left w:val="single" w:sz="4" w:space="0" w:color="auto"/>
                      <w:bottom w:val="single" w:sz="4" w:space="0" w:color="auto"/>
                      <w:right w:val="single" w:sz="4" w:space="0" w:color="auto"/>
                    </w:tcBorders>
                    <w:vAlign w:val="center"/>
                  </w:tcPr>
                  <w:p>
                    <w:pPr>
                      <w:rPr>
                        <w:sz w:val="20"/>
                        <w:szCs w:val="24"/>
                        <w:lang w:eastAsia="ar-SA"/>
                      </w:rPr>
                    </w:pPr>
                  </w:p>
                </w:tc>
                <w:tc>
                  <w:tcPr>
                    <w:tcW w:w="4007" w:type="dxa"/>
                    <w:vMerge/>
                    <w:tcBorders>
                      <w:top w:val="single" w:sz="4" w:space="0" w:color="auto"/>
                      <w:left w:val="single" w:sz="4" w:space="0" w:color="auto"/>
                      <w:bottom w:val="single" w:sz="4" w:space="0" w:color="auto"/>
                      <w:right w:val="single" w:sz="4" w:space="0" w:color="auto"/>
                    </w:tcBorders>
                    <w:vAlign w:val="center"/>
                  </w:tcPr>
                  <w:p>
                    <w:pPr>
                      <w:rPr>
                        <w:sz w:val="20"/>
                        <w:szCs w:val="24"/>
                        <w:lang w:eastAsia="ar-SA"/>
                      </w:rPr>
                    </w:pPr>
                  </w:p>
                </w:tc>
                <w:tc>
                  <w:tcPr>
                    <w:tcW w:w="5132" w:type="dxa"/>
                    <w:gridSpan w:val="3"/>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dujotiekis, kai jame slėgis</w:t>
                    </w:r>
                  </w:p>
                </w:tc>
              </w:tr>
              <w:tr>
                <w:trPr>
                  <w:cantSplit/>
                </w:trPr>
                <w:tc>
                  <w:tcPr>
                    <w:tcW w:w="631" w:type="dxa"/>
                    <w:vMerge/>
                    <w:tcBorders>
                      <w:top w:val="single" w:sz="4" w:space="0" w:color="auto"/>
                      <w:left w:val="single" w:sz="4" w:space="0" w:color="auto"/>
                      <w:bottom w:val="single" w:sz="4" w:space="0" w:color="auto"/>
                      <w:right w:val="single" w:sz="4" w:space="0" w:color="auto"/>
                    </w:tcBorders>
                    <w:vAlign w:val="center"/>
                  </w:tcPr>
                  <w:p>
                    <w:pPr>
                      <w:rPr>
                        <w:sz w:val="20"/>
                        <w:szCs w:val="24"/>
                        <w:lang w:eastAsia="ar-SA"/>
                      </w:rPr>
                    </w:pPr>
                  </w:p>
                </w:tc>
                <w:tc>
                  <w:tcPr>
                    <w:tcW w:w="4007" w:type="dxa"/>
                    <w:vMerge/>
                    <w:tcBorders>
                      <w:top w:val="single" w:sz="4" w:space="0" w:color="auto"/>
                      <w:left w:val="single" w:sz="4" w:space="0" w:color="auto"/>
                      <w:bottom w:val="single" w:sz="4" w:space="0" w:color="auto"/>
                      <w:right w:val="single" w:sz="4" w:space="0" w:color="auto"/>
                    </w:tcBorders>
                    <w:vAlign w:val="center"/>
                  </w:tcPr>
                  <w:p>
                    <w:pPr>
                      <w:rPr>
                        <w:sz w:val="20"/>
                        <w:szCs w:val="24"/>
                        <w:lang w:eastAsia="ar-SA"/>
                      </w:rPr>
                    </w:pPr>
                  </w:p>
                </w:tc>
                <w:tc>
                  <w:tcPr>
                    <w:tcW w:w="14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iki 0,1 bar</w:t>
                    </w:r>
                  </w:p>
                </w:tc>
                <w:tc>
                  <w:tcPr>
                    <w:tcW w:w="189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daugiau kaip 0,1 iki 5 bar</w:t>
                    </w:r>
                  </w:p>
                </w:tc>
                <w:tc>
                  <w:tcPr>
                    <w:tcW w:w="180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daugiau kaip 5 iki 16 bar</w:t>
                    </w:r>
                  </w:p>
                </w:tc>
              </w:tr>
              <w:tr>
                <w:trPr>
                  <w:cantSplit/>
                </w:trPr>
                <w:tc>
                  <w:tcPr>
                    <w:tcW w:w="640" w:type="dxa"/>
                    <w:tcBorders>
                      <w:top w:val="single" w:sz="4" w:space="0" w:color="auto"/>
                      <w:left w:val="single" w:sz="4" w:space="0" w:color="auto"/>
                      <w:bottom w:val="single" w:sz="4" w:space="0" w:color="auto"/>
                      <w:right w:val="single" w:sz="4" w:space="0" w:color="auto"/>
                    </w:tcBorders>
                  </w:tcPr>
                  <w:p>
                    <w:pPr>
                      <w:suppressAutoHyphens/>
                      <w:jc w:val="center"/>
                      <w:rPr>
                        <w:bCs/>
                        <w:sz w:val="20"/>
                        <w:szCs w:val="24"/>
                        <w:lang w:eastAsia="ar-SA"/>
                      </w:rPr>
                    </w:pPr>
                    <w:r>
                      <w:rPr>
                        <w:bCs/>
                        <w:sz w:val="20"/>
                        <w:szCs w:val="24"/>
                        <w:lang w:eastAsia="ar-SA"/>
                      </w:rPr>
                      <w:t>1</w:t>
                    </w:r>
                  </w:p>
                </w:tc>
                <w:tc>
                  <w:tcPr>
                    <w:tcW w:w="4153"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Vandentiekis ir slėginė nuotekų linija</w:t>
                    </w:r>
                  </w:p>
                </w:tc>
                <w:tc>
                  <w:tcPr>
                    <w:tcW w:w="14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0,5(1)</w:t>
                    </w:r>
                  </w:p>
                </w:tc>
                <w:tc>
                  <w:tcPr>
                    <w:tcW w:w="189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0,5(1)</w:t>
                    </w:r>
                  </w:p>
                </w:tc>
                <w:tc>
                  <w:tcPr>
                    <w:tcW w:w="180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r>
              <w:tr>
                <w:trPr>
                  <w:cantSplit/>
                </w:trPr>
                <w:tc>
                  <w:tcPr>
                    <w:tcW w:w="6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4153"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Savitakiniai tinklai:</w:t>
                    </w:r>
                  </w:p>
                </w:tc>
                <w:tc>
                  <w:tcPr>
                    <w:tcW w:w="14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89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80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r>
              <w:tr>
                <w:trPr>
                  <w:cantSplit/>
                </w:trPr>
                <w:tc>
                  <w:tcPr>
                    <w:tcW w:w="6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2.1</w:t>
                    </w:r>
                  </w:p>
                </w:tc>
                <w:tc>
                  <w:tcPr>
                    <w:tcW w:w="4153"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ūkinių nuotekų</w:t>
                    </w:r>
                  </w:p>
                </w:tc>
                <w:tc>
                  <w:tcPr>
                    <w:tcW w:w="14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89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1(1,5)</w:t>
                    </w:r>
                  </w:p>
                </w:tc>
                <w:tc>
                  <w:tcPr>
                    <w:tcW w:w="180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w:t>
                    </w:r>
                  </w:p>
                </w:tc>
              </w:tr>
              <w:tr>
                <w:trPr>
                  <w:cantSplit/>
                </w:trPr>
                <w:tc>
                  <w:tcPr>
                    <w:tcW w:w="6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2.2</w:t>
                    </w:r>
                  </w:p>
                </w:tc>
                <w:tc>
                  <w:tcPr>
                    <w:tcW w:w="4153"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lietaus vandens</w:t>
                    </w:r>
                  </w:p>
                </w:tc>
                <w:tc>
                  <w:tcPr>
                    <w:tcW w:w="14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89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1(1,5)</w:t>
                    </w:r>
                  </w:p>
                </w:tc>
                <w:tc>
                  <w:tcPr>
                    <w:tcW w:w="180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w:t>
                    </w:r>
                  </w:p>
                </w:tc>
              </w:tr>
              <w:tr>
                <w:trPr>
                  <w:cantSplit/>
                </w:trPr>
                <w:tc>
                  <w:tcPr>
                    <w:tcW w:w="6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2.3</w:t>
                    </w:r>
                  </w:p>
                </w:tc>
                <w:tc>
                  <w:tcPr>
                    <w:tcW w:w="4153"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lauko drenažo</w:t>
                    </w:r>
                  </w:p>
                </w:tc>
                <w:tc>
                  <w:tcPr>
                    <w:tcW w:w="14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89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80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w:t>
                    </w:r>
                  </w:p>
                </w:tc>
              </w:tr>
              <w:tr>
                <w:trPr>
                  <w:cantSplit/>
                </w:trPr>
                <w:tc>
                  <w:tcPr>
                    <w:tcW w:w="6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w:t>
                    </w:r>
                  </w:p>
                </w:tc>
                <w:tc>
                  <w:tcPr>
                    <w:tcW w:w="4153"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Dujotiekis, kai slėgis:</w:t>
                    </w:r>
                  </w:p>
                </w:tc>
                <w:tc>
                  <w:tcPr>
                    <w:tcW w:w="14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89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80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r>
              <w:tr>
                <w:trPr>
                  <w:cantSplit/>
                </w:trPr>
                <w:tc>
                  <w:tcPr>
                    <w:tcW w:w="6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3.1</w:t>
                    </w:r>
                  </w:p>
                </w:tc>
                <w:tc>
                  <w:tcPr>
                    <w:tcW w:w="4153"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iki 0,1 bar</w:t>
                    </w:r>
                  </w:p>
                </w:tc>
                <w:tc>
                  <w:tcPr>
                    <w:tcW w:w="14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0,3(0,5)</w:t>
                    </w:r>
                  </w:p>
                </w:tc>
                <w:tc>
                  <w:tcPr>
                    <w:tcW w:w="189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0,3(0,5)</w:t>
                    </w:r>
                  </w:p>
                </w:tc>
                <w:tc>
                  <w:tcPr>
                    <w:tcW w:w="180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w:t>
                    </w:r>
                  </w:p>
                </w:tc>
              </w:tr>
              <w:tr>
                <w:trPr>
                  <w:cantSplit/>
                </w:trPr>
                <w:tc>
                  <w:tcPr>
                    <w:tcW w:w="6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3.2</w:t>
                    </w:r>
                  </w:p>
                </w:tc>
                <w:tc>
                  <w:tcPr>
                    <w:tcW w:w="4153"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daugiau kaip 0,1 iki 5 bar</w:t>
                    </w:r>
                  </w:p>
                </w:tc>
                <w:tc>
                  <w:tcPr>
                    <w:tcW w:w="14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0,3(0,5)</w:t>
                    </w:r>
                  </w:p>
                </w:tc>
                <w:tc>
                  <w:tcPr>
                    <w:tcW w:w="189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0,3(0,5)</w:t>
                    </w:r>
                  </w:p>
                </w:tc>
                <w:tc>
                  <w:tcPr>
                    <w:tcW w:w="180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w:t>
                    </w:r>
                  </w:p>
                </w:tc>
              </w:tr>
              <w:tr>
                <w:trPr>
                  <w:cantSplit/>
                </w:trPr>
                <w:tc>
                  <w:tcPr>
                    <w:tcW w:w="6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3.3</w:t>
                    </w:r>
                  </w:p>
                </w:tc>
                <w:tc>
                  <w:tcPr>
                    <w:tcW w:w="4153"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 xml:space="preserve">daugiau kaip 5 iki 16 bar </w:t>
                    </w:r>
                  </w:p>
                </w:tc>
                <w:tc>
                  <w:tcPr>
                    <w:tcW w:w="14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w:t>
                    </w:r>
                  </w:p>
                </w:tc>
                <w:tc>
                  <w:tcPr>
                    <w:tcW w:w="189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w:t>
                    </w:r>
                  </w:p>
                </w:tc>
                <w:tc>
                  <w:tcPr>
                    <w:tcW w:w="180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w:t>
                    </w:r>
                  </w:p>
                </w:tc>
              </w:tr>
              <w:tr>
                <w:trPr>
                  <w:cantSplit/>
                </w:trPr>
                <w:tc>
                  <w:tcPr>
                    <w:tcW w:w="6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w:t>
                    </w:r>
                  </w:p>
                </w:tc>
                <w:tc>
                  <w:tcPr>
                    <w:tcW w:w="4153"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Šilumotiekis:</w:t>
                    </w:r>
                  </w:p>
                </w:tc>
                <w:tc>
                  <w:tcPr>
                    <w:tcW w:w="14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89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80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r>
              <w:tr>
                <w:trPr>
                  <w:cantSplit/>
                </w:trPr>
                <w:tc>
                  <w:tcPr>
                    <w:tcW w:w="6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4.1</w:t>
                    </w:r>
                  </w:p>
                </w:tc>
                <w:tc>
                  <w:tcPr>
                    <w:tcW w:w="4153"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bekanalinis</w:t>
                    </w:r>
                  </w:p>
                </w:tc>
                <w:tc>
                  <w:tcPr>
                    <w:tcW w:w="14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89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80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r>
              <w:tr>
                <w:trPr>
                  <w:cantSplit/>
                </w:trPr>
                <w:tc>
                  <w:tcPr>
                    <w:tcW w:w="6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4.2</w:t>
                    </w:r>
                  </w:p>
                </w:tc>
                <w:tc>
                  <w:tcPr>
                    <w:tcW w:w="4153"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kanaluose (nuo kanalo krašto)</w:t>
                    </w:r>
                  </w:p>
                </w:tc>
                <w:tc>
                  <w:tcPr>
                    <w:tcW w:w="14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1(2)</w:t>
                    </w:r>
                  </w:p>
                </w:tc>
                <w:tc>
                  <w:tcPr>
                    <w:tcW w:w="189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1(2)</w:t>
                    </w:r>
                  </w:p>
                </w:tc>
                <w:tc>
                  <w:tcPr>
                    <w:tcW w:w="180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w:t>
                    </w:r>
                  </w:p>
                </w:tc>
              </w:tr>
              <w:tr>
                <w:trPr>
                  <w:cantSplit/>
                </w:trPr>
                <w:tc>
                  <w:tcPr>
                    <w:tcW w:w="640" w:type="dxa"/>
                    <w:tcBorders>
                      <w:top w:val="single" w:sz="4" w:space="0" w:color="auto"/>
                      <w:left w:val="single" w:sz="4" w:space="0" w:color="auto"/>
                      <w:bottom w:val="single" w:sz="4" w:space="0" w:color="auto"/>
                      <w:right w:val="single" w:sz="4" w:space="0" w:color="auto"/>
                    </w:tcBorders>
                  </w:tcPr>
                  <w:p>
                    <w:pPr>
                      <w:suppressAutoHyphens/>
                      <w:jc w:val="center"/>
                      <w:rPr>
                        <w:bCs/>
                        <w:sz w:val="20"/>
                        <w:szCs w:val="24"/>
                        <w:lang w:eastAsia="ar-SA"/>
                      </w:rPr>
                    </w:pPr>
                    <w:r>
                      <w:rPr>
                        <w:bCs/>
                        <w:sz w:val="20"/>
                        <w:szCs w:val="24"/>
                        <w:lang w:eastAsia="ar-SA"/>
                      </w:rPr>
                      <w:t>5</w:t>
                    </w:r>
                  </w:p>
                </w:tc>
                <w:tc>
                  <w:tcPr>
                    <w:tcW w:w="4153"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Elektros kabeliai:</w:t>
                    </w:r>
                  </w:p>
                </w:tc>
                <w:tc>
                  <w:tcPr>
                    <w:tcW w:w="1440" w:type="dxa"/>
                    <w:tcBorders>
                      <w:top w:val="single" w:sz="4" w:space="0" w:color="auto"/>
                      <w:left w:val="single" w:sz="4" w:space="0" w:color="auto"/>
                      <w:bottom w:val="single" w:sz="4" w:space="0" w:color="auto"/>
                      <w:right w:val="single" w:sz="4" w:space="0" w:color="auto"/>
                    </w:tcBorders>
                  </w:tcPr>
                  <w:p>
                    <w:pPr>
                      <w:suppressAutoHyphens/>
                      <w:jc w:val="center"/>
                      <w:rPr>
                        <w:b/>
                        <w:bCs/>
                        <w:sz w:val="20"/>
                        <w:szCs w:val="24"/>
                        <w:lang w:eastAsia="ar-SA"/>
                      </w:rPr>
                    </w:pPr>
                  </w:p>
                </w:tc>
                <w:tc>
                  <w:tcPr>
                    <w:tcW w:w="1890" w:type="dxa"/>
                    <w:tcBorders>
                      <w:top w:val="single" w:sz="4" w:space="0" w:color="auto"/>
                      <w:left w:val="single" w:sz="4" w:space="0" w:color="auto"/>
                      <w:bottom w:val="single" w:sz="4" w:space="0" w:color="auto"/>
                      <w:right w:val="single" w:sz="4" w:space="0" w:color="auto"/>
                    </w:tcBorders>
                  </w:tcPr>
                  <w:p>
                    <w:pPr>
                      <w:suppressAutoHyphens/>
                      <w:jc w:val="center"/>
                      <w:rPr>
                        <w:b/>
                        <w:bCs/>
                        <w:sz w:val="20"/>
                        <w:szCs w:val="24"/>
                        <w:lang w:eastAsia="ar-SA"/>
                      </w:rPr>
                    </w:pPr>
                  </w:p>
                </w:tc>
                <w:tc>
                  <w:tcPr>
                    <w:tcW w:w="1802" w:type="dxa"/>
                    <w:tcBorders>
                      <w:top w:val="single" w:sz="4" w:space="0" w:color="auto"/>
                      <w:left w:val="single" w:sz="4" w:space="0" w:color="auto"/>
                      <w:bottom w:val="single" w:sz="4" w:space="0" w:color="auto"/>
                      <w:right w:val="single" w:sz="4" w:space="0" w:color="auto"/>
                    </w:tcBorders>
                  </w:tcPr>
                  <w:p>
                    <w:pPr>
                      <w:suppressAutoHyphens/>
                      <w:jc w:val="center"/>
                      <w:rPr>
                        <w:b/>
                        <w:bCs/>
                        <w:sz w:val="20"/>
                        <w:szCs w:val="24"/>
                        <w:lang w:eastAsia="ar-SA"/>
                      </w:rPr>
                    </w:pPr>
                  </w:p>
                </w:tc>
              </w:tr>
              <w:tr>
                <w:trPr>
                  <w:cantSplit/>
                </w:trPr>
                <w:tc>
                  <w:tcPr>
                    <w:tcW w:w="6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5.1</w:t>
                    </w:r>
                  </w:p>
                </w:tc>
                <w:tc>
                  <w:tcPr>
                    <w:tcW w:w="4153"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iki 10 kV</w:t>
                    </w:r>
                  </w:p>
                </w:tc>
                <w:tc>
                  <w:tcPr>
                    <w:tcW w:w="14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0,3(1)</w:t>
                    </w:r>
                  </w:p>
                </w:tc>
                <w:tc>
                  <w:tcPr>
                    <w:tcW w:w="189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0,3(1)</w:t>
                    </w:r>
                  </w:p>
                </w:tc>
                <w:tc>
                  <w:tcPr>
                    <w:tcW w:w="180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r>
              <w:tr>
                <w:trPr>
                  <w:cantSplit/>
                </w:trPr>
                <w:tc>
                  <w:tcPr>
                    <w:tcW w:w="6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5.2</w:t>
                    </w:r>
                  </w:p>
                </w:tc>
                <w:tc>
                  <w:tcPr>
                    <w:tcW w:w="4153"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daugiau kaip 10 iki 110 kV</w:t>
                    </w:r>
                  </w:p>
                </w:tc>
                <w:tc>
                  <w:tcPr>
                    <w:tcW w:w="14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89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80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r>
              <w:tr>
                <w:trPr>
                  <w:cantSplit/>
                </w:trPr>
                <w:tc>
                  <w:tcPr>
                    <w:tcW w:w="640" w:type="dxa"/>
                    <w:tcBorders>
                      <w:top w:val="single" w:sz="4" w:space="0" w:color="auto"/>
                      <w:left w:val="single" w:sz="4" w:space="0" w:color="auto"/>
                      <w:bottom w:val="single" w:sz="4" w:space="0" w:color="auto"/>
                      <w:right w:val="single" w:sz="4" w:space="0" w:color="auto"/>
                    </w:tcBorders>
                  </w:tcPr>
                  <w:p>
                    <w:pPr>
                      <w:suppressAutoHyphens/>
                      <w:jc w:val="center"/>
                      <w:rPr>
                        <w:bCs/>
                        <w:sz w:val="20"/>
                        <w:szCs w:val="24"/>
                        <w:lang w:eastAsia="ar-SA"/>
                      </w:rPr>
                    </w:pPr>
                    <w:r>
                      <w:rPr>
                        <w:bCs/>
                        <w:sz w:val="20"/>
                        <w:szCs w:val="24"/>
                        <w:lang w:eastAsia="ar-SA"/>
                      </w:rPr>
                      <w:t>6</w:t>
                    </w:r>
                  </w:p>
                </w:tc>
                <w:tc>
                  <w:tcPr>
                    <w:tcW w:w="4153"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Ryšių kabeliai ir jų kanalizacija</w:t>
                    </w:r>
                  </w:p>
                </w:tc>
                <w:tc>
                  <w:tcPr>
                    <w:tcW w:w="14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0,3(1)</w:t>
                    </w:r>
                  </w:p>
                </w:tc>
                <w:tc>
                  <w:tcPr>
                    <w:tcW w:w="189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0,3(1)</w:t>
                    </w:r>
                  </w:p>
                </w:tc>
                <w:tc>
                  <w:tcPr>
                    <w:tcW w:w="180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r>
              <w:tr>
                <w:trPr>
                  <w:cantSplit/>
                </w:trPr>
                <w:tc>
                  <w:tcPr>
                    <w:tcW w:w="640" w:type="dxa"/>
                    <w:tcBorders>
                      <w:top w:val="single" w:sz="4" w:space="0" w:color="auto"/>
                      <w:left w:val="single" w:sz="4" w:space="0" w:color="auto"/>
                      <w:bottom w:val="single" w:sz="4" w:space="0" w:color="auto"/>
                      <w:right w:val="single" w:sz="4" w:space="0" w:color="auto"/>
                    </w:tcBorders>
                  </w:tcPr>
                  <w:p>
                    <w:pPr>
                      <w:suppressAutoHyphens/>
                      <w:jc w:val="center"/>
                      <w:rPr>
                        <w:bCs/>
                        <w:sz w:val="20"/>
                        <w:szCs w:val="24"/>
                        <w:lang w:eastAsia="ar-SA"/>
                      </w:rPr>
                    </w:pPr>
                    <w:r>
                      <w:rPr>
                        <w:bCs/>
                        <w:sz w:val="20"/>
                        <w:szCs w:val="24"/>
                        <w:lang w:eastAsia="ar-SA"/>
                      </w:rPr>
                      <w:t>7</w:t>
                    </w:r>
                  </w:p>
                </w:tc>
                <w:tc>
                  <w:tcPr>
                    <w:tcW w:w="4153"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Atliekų pneumo vamzdynai</w:t>
                    </w:r>
                  </w:p>
                </w:tc>
                <w:tc>
                  <w:tcPr>
                    <w:tcW w:w="14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89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1,5</w:t>
                    </w:r>
                  </w:p>
                </w:tc>
                <w:tc>
                  <w:tcPr>
                    <w:tcW w:w="180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r>
              <w:tr>
                <w:trPr>
                  <w:cantSplit/>
                </w:trPr>
                <w:tc>
                  <w:tcPr>
                    <w:tcW w:w="640" w:type="dxa"/>
                    <w:tcBorders>
                      <w:top w:val="single" w:sz="4" w:space="0" w:color="auto"/>
                      <w:left w:val="single" w:sz="4" w:space="0" w:color="auto"/>
                      <w:bottom w:val="single" w:sz="4" w:space="0" w:color="auto"/>
                      <w:right w:val="single" w:sz="4" w:space="0" w:color="auto"/>
                    </w:tcBorders>
                  </w:tcPr>
                  <w:p>
                    <w:pPr>
                      <w:suppressAutoHyphens/>
                      <w:jc w:val="center"/>
                      <w:rPr>
                        <w:bCs/>
                        <w:sz w:val="20"/>
                        <w:szCs w:val="24"/>
                        <w:lang w:eastAsia="ar-SA"/>
                      </w:rPr>
                    </w:pPr>
                    <w:r>
                      <w:rPr>
                        <w:bCs/>
                        <w:sz w:val="20"/>
                        <w:szCs w:val="24"/>
                        <w:lang w:eastAsia="ar-SA"/>
                      </w:rPr>
                      <w:t>8</w:t>
                    </w:r>
                  </w:p>
                </w:tc>
                <w:tc>
                  <w:tcPr>
                    <w:tcW w:w="4153"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Komunikacijų kolektoriai</w:t>
                    </w:r>
                  </w:p>
                </w:tc>
                <w:tc>
                  <w:tcPr>
                    <w:tcW w:w="144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1(2)</w:t>
                    </w:r>
                  </w:p>
                </w:tc>
                <w:tc>
                  <w:tcPr>
                    <w:tcW w:w="189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1(2)</w:t>
                    </w:r>
                  </w:p>
                </w:tc>
                <w:tc>
                  <w:tcPr>
                    <w:tcW w:w="180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w:t>
                    </w:r>
                  </w:p>
                </w:tc>
              </w:tr>
            </w:tbl>
            <w:p>
              <w:pPr>
                <w:suppressAutoHyphens/>
                <w:ind w:firstLine="709"/>
                <w:jc w:val="right"/>
                <w:rPr>
                  <w:szCs w:val="24"/>
                  <w:lang w:eastAsia="ar-SA"/>
                </w:rPr>
              </w:pPr>
            </w:p>
          </w:sdtContent>
        </w:sdt>
        <w:sdt>
          <w:sdtPr>
            <w:alias w:val="lentele"/>
            <w:tag w:val="part_1642d83b8d2c4671814ac0ad5abe535e"/>
            <w:lock w:val="sdtLocked"/>
            <w:richText/>
          </w:sdtPr>
          <w:sdtContent>
            <w:p>
              <w:pPr>
                <w:suppressAutoHyphens/>
                <w:ind w:firstLine="709"/>
                <w:jc w:val="right"/>
                <w:rPr>
                  <w:szCs w:val="24"/>
                  <w:lang w:eastAsia="ar-SA"/>
                </w:rPr>
              </w:pPr>
              <w:sdt>
                <w:sdtPr>
                  <w:alias w:val="Numeris"/>
                  <w:tag w:val="nr_1642d83b8d2c4671814ac0ad5abe535e"/>
                  <w:lock w:val="sdtLocked"/>
                  <w:richText/>
                </w:sdtPr>
                <w:sdtContent>
                  <w:r>
                    <w:rPr>
                      <w:szCs w:val="24"/>
                      <w:lang w:eastAsia="ar-SA"/>
                    </w:rPr>
                    <w:t>3</w:t>
                  </w:r>
                </w:sdtContent>
              </w:sdt>
              <w:r>
                <w:rPr>
                  <w:szCs w:val="24"/>
                  <w:lang w:eastAsia="ar-SA"/>
                </w:rPr>
                <w:t xml:space="preserve"> lentelė</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2448"/>
                <w:gridCol w:w="1490"/>
                <w:gridCol w:w="1490"/>
                <w:gridCol w:w="2013"/>
                <w:gridCol w:w="1579"/>
              </w:tblGrid>
              <w:tr>
                <w:trPr>
                  <w:cantSplit/>
                  <w:trHeight w:val="20"/>
                </w:trPr>
                <w:tc>
                  <w:tcPr>
                    <w:tcW w:w="630" w:type="dxa"/>
                    <w:vMerge w:val="restart"/>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Eil. Nr.</w:t>
                    </w:r>
                  </w:p>
                </w:tc>
                <w:tc>
                  <w:tcPr>
                    <w:tcW w:w="2520" w:type="dxa"/>
                    <w:vMerge w:val="restart"/>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Tinklo paskirtis</w:t>
                    </w:r>
                  </w:p>
                </w:tc>
                <w:tc>
                  <w:tcPr>
                    <w:tcW w:w="6752" w:type="dxa"/>
                    <w:gridSpan w:val="4"/>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bCs/>
                        <w:sz w:val="20"/>
                        <w:szCs w:val="24"/>
                        <w:lang w:eastAsia="ar-SA"/>
                      </w:rPr>
                      <w:t>Horizontalūs atstumai (prošvaisoje)</w:t>
                    </w:r>
                    <w:r>
                      <w:rPr>
                        <w:b/>
                        <w:sz w:val="20"/>
                        <w:szCs w:val="24"/>
                        <w:lang w:eastAsia="ar-SA"/>
                      </w:rPr>
                      <w:t xml:space="preserve"> </w:t>
                    </w:r>
                    <w:r>
                      <w:rPr>
                        <w:sz w:val="20"/>
                        <w:szCs w:val="24"/>
                        <w:lang w:eastAsia="ar-SA"/>
                      </w:rPr>
                      <w:t>tarp tinklų, m</w:t>
                    </w:r>
                  </w:p>
                </w:tc>
              </w:tr>
              <w:tr>
                <w:trPr>
                  <w:cantSplit/>
                  <w:trHeight w:val="20"/>
                </w:trPr>
                <w:tc>
                  <w:tcPr>
                    <w:tcW w:w="609" w:type="dxa"/>
                    <w:vMerge/>
                    <w:tcBorders>
                      <w:top w:val="single" w:sz="4" w:space="0" w:color="auto"/>
                      <w:left w:val="single" w:sz="4" w:space="0" w:color="auto"/>
                      <w:bottom w:val="single" w:sz="4" w:space="0" w:color="auto"/>
                      <w:right w:val="single" w:sz="4" w:space="0" w:color="auto"/>
                    </w:tcBorders>
                    <w:vAlign w:val="center"/>
                  </w:tcPr>
                  <w:p>
                    <w:pPr>
                      <w:rPr>
                        <w:sz w:val="20"/>
                        <w:szCs w:val="24"/>
                        <w:lang w:eastAsia="ar-SA"/>
                      </w:rPr>
                    </w:pPr>
                  </w:p>
                </w:tc>
                <w:tc>
                  <w:tcPr>
                    <w:tcW w:w="2428" w:type="dxa"/>
                    <w:vMerge/>
                    <w:tcBorders>
                      <w:top w:val="single" w:sz="4" w:space="0" w:color="auto"/>
                      <w:left w:val="single" w:sz="4" w:space="0" w:color="auto"/>
                      <w:bottom w:val="single" w:sz="4" w:space="0" w:color="auto"/>
                      <w:right w:val="single" w:sz="4" w:space="0" w:color="auto"/>
                    </w:tcBorders>
                    <w:vAlign w:val="center"/>
                  </w:tcPr>
                  <w:p>
                    <w:pPr>
                      <w:rPr>
                        <w:sz w:val="20"/>
                        <w:szCs w:val="24"/>
                        <w:lang w:eastAsia="ar-SA"/>
                      </w:rPr>
                    </w:pP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Bekanalinis šilumotiekis</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Šilumotiekis kanaluose</w:t>
                    </w: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Atliekų pneumovamzdynai</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Komunikacijų kolektoriai</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bCs/>
                        <w:sz w:val="20"/>
                        <w:szCs w:val="24"/>
                        <w:lang w:eastAsia="ar-SA"/>
                      </w:rPr>
                    </w:pPr>
                    <w:r>
                      <w:rPr>
                        <w:bCs/>
                        <w:sz w:val="20"/>
                        <w:szCs w:val="24"/>
                        <w:lang w:eastAsia="ar-SA"/>
                      </w:rPr>
                      <w:t>1</w:t>
                    </w:r>
                  </w:p>
                </w:tc>
                <w:tc>
                  <w:tcPr>
                    <w:tcW w:w="2520"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Vandentiekis ir slėginė nuotekų linija</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2520"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Savitakiniai tinklai:</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2.1</w:t>
                    </w:r>
                  </w:p>
                </w:tc>
                <w:tc>
                  <w:tcPr>
                    <w:tcW w:w="2520"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ūkinių nuotekų</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2.2</w:t>
                    </w:r>
                  </w:p>
                </w:tc>
                <w:tc>
                  <w:tcPr>
                    <w:tcW w:w="2520"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lietaus vandens</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2.3</w:t>
                    </w:r>
                  </w:p>
                </w:tc>
                <w:tc>
                  <w:tcPr>
                    <w:tcW w:w="2520"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lauko drenažo</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w:t>
                    </w: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w:t>
                    </w:r>
                  </w:p>
                </w:tc>
                <w:tc>
                  <w:tcPr>
                    <w:tcW w:w="2520"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Dujotiekis, kai slėgis:</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3.1</w:t>
                    </w:r>
                  </w:p>
                </w:tc>
                <w:tc>
                  <w:tcPr>
                    <w:tcW w:w="2520"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iki 0,1 bar</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1(2)</w:t>
                    </w: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1(2)</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3.2</w:t>
                    </w:r>
                  </w:p>
                </w:tc>
                <w:tc>
                  <w:tcPr>
                    <w:tcW w:w="2520" w:type="dxa"/>
                    <w:tcBorders>
                      <w:top w:val="single" w:sz="4" w:space="0" w:color="auto"/>
                      <w:left w:val="single" w:sz="4" w:space="0" w:color="auto"/>
                      <w:bottom w:val="single" w:sz="4" w:space="0" w:color="auto"/>
                      <w:right w:val="single" w:sz="4" w:space="0" w:color="auto"/>
                    </w:tcBorders>
                  </w:tcPr>
                  <w:p>
                    <w:pPr>
                      <w:suppressAutoHyphens/>
                      <w:rPr>
                        <w:spacing w:val="-6"/>
                        <w:sz w:val="20"/>
                        <w:szCs w:val="24"/>
                        <w:lang w:eastAsia="ar-SA"/>
                      </w:rPr>
                    </w:pPr>
                    <w:r>
                      <w:rPr>
                        <w:spacing w:val="-6"/>
                        <w:sz w:val="20"/>
                        <w:szCs w:val="24"/>
                        <w:lang w:eastAsia="ar-SA"/>
                      </w:rPr>
                      <w:t>daugiau kaip 0,1 iki 5 bar</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1(2)</w:t>
                    </w: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1,5</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1(2)</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3.3</w:t>
                    </w:r>
                  </w:p>
                </w:tc>
                <w:tc>
                  <w:tcPr>
                    <w:tcW w:w="2520" w:type="dxa"/>
                    <w:tcBorders>
                      <w:top w:val="single" w:sz="4" w:space="0" w:color="auto"/>
                      <w:left w:val="single" w:sz="4" w:space="0" w:color="auto"/>
                      <w:bottom w:val="single" w:sz="4" w:space="0" w:color="auto"/>
                      <w:right w:val="single" w:sz="4" w:space="0" w:color="auto"/>
                    </w:tcBorders>
                  </w:tcPr>
                  <w:p>
                    <w:pPr>
                      <w:suppressAutoHyphens/>
                      <w:rPr>
                        <w:spacing w:val="-6"/>
                        <w:sz w:val="20"/>
                        <w:szCs w:val="24"/>
                        <w:lang w:eastAsia="ar-SA"/>
                      </w:rPr>
                    </w:pPr>
                    <w:r>
                      <w:rPr>
                        <w:spacing w:val="-6"/>
                        <w:sz w:val="20"/>
                        <w:szCs w:val="24"/>
                        <w:lang w:eastAsia="ar-SA"/>
                      </w:rPr>
                      <w:t xml:space="preserve">daugiau kaip 5 iki 16 bar </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w:t>
                    </w: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w:t>
                    </w:r>
                  </w:p>
                </w:tc>
                <w:tc>
                  <w:tcPr>
                    <w:tcW w:w="2520"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Šilumotiekis:</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4.1</w:t>
                    </w:r>
                  </w:p>
                </w:tc>
                <w:tc>
                  <w:tcPr>
                    <w:tcW w:w="2520"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bekanalinis</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0,2</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w:t>
                    </w: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4.2</w:t>
                    </w:r>
                  </w:p>
                </w:tc>
                <w:tc>
                  <w:tcPr>
                    <w:tcW w:w="2520"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kanaluose (nuo kanalo krašto)</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0,2</w:t>
                    </w: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w:t>
                    </w:r>
                  </w:p>
                </w:tc>
                <w:tc>
                  <w:tcPr>
                    <w:tcW w:w="2520"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Elektros kabeliai:</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5.1</w:t>
                    </w:r>
                  </w:p>
                </w:tc>
                <w:tc>
                  <w:tcPr>
                    <w:tcW w:w="2520"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iki 10 kV</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5.2</w:t>
                    </w:r>
                  </w:p>
                </w:tc>
                <w:tc>
                  <w:tcPr>
                    <w:tcW w:w="2520"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daugiau kaip 10 iki 110 kV</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bCs/>
                        <w:sz w:val="20"/>
                        <w:szCs w:val="24"/>
                        <w:lang w:eastAsia="ar-SA"/>
                      </w:rPr>
                    </w:pPr>
                    <w:r>
                      <w:rPr>
                        <w:bCs/>
                        <w:sz w:val="20"/>
                        <w:szCs w:val="24"/>
                        <w:lang w:eastAsia="ar-SA"/>
                      </w:rPr>
                      <w:t>6</w:t>
                    </w:r>
                  </w:p>
                </w:tc>
                <w:tc>
                  <w:tcPr>
                    <w:tcW w:w="2520"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Ryšių kabeliai ir jų kanalizacija</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bCs/>
                        <w:sz w:val="20"/>
                        <w:szCs w:val="24"/>
                        <w:lang w:eastAsia="ar-SA"/>
                      </w:rPr>
                    </w:pPr>
                    <w:r>
                      <w:rPr>
                        <w:bCs/>
                        <w:sz w:val="20"/>
                        <w:szCs w:val="24"/>
                        <w:lang w:eastAsia="ar-SA"/>
                      </w:rPr>
                      <w:t>7</w:t>
                    </w:r>
                  </w:p>
                </w:tc>
                <w:tc>
                  <w:tcPr>
                    <w:tcW w:w="2520"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Atliekų pneumovamzdynai</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bCs/>
                        <w:sz w:val="20"/>
                        <w:szCs w:val="24"/>
                        <w:lang w:eastAsia="ar-SA"/>
                      </w:rPr>
                    </w:pPr>
                    <w:r>
                      <w:rPr>
                        <w:bCs/>
                        <w:sz w:val="20"/>
                        <w:szCs w:val="24"/>
                        <w:lang w:eastAsia="ar-SA"/>
                      </w:rPr>
                      <w:t>8</w:t>
                    </w:r>
                  </w:p>
                </w:tc>
                <w:tc>
                  <w:tcPr>
                    <w:tcW w:w="2520"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Komunikacijų kolektoriai</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15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207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0,4(1)</w:t>
                    </w:r>
                  </w:p>
                </w:tc>
              </w:tr>
            </w:tbl>
            <w:p>
              <w:pPr>
                <w:suppressAutoHyphens/>
                <w:ind w:firstLine="709"/>
                <w:jc w:val="right"/>
                <w:rPr>
                  <w:szCs w:val="24"/>
                  <w:lang w:eastAsia="ar-SA"/>
                </w:rPr>
              </w:pPr>
            </w:p>
          </w:sdtContent>
        </w:sdt>
        <w:sdt>
          <w:sdtPr>
            <w:alias w:val="lentele"/>
            <w:tag w:val="part_31c74edfc71a48bcb63d820184d64563"/>
            <w:lock w:val="sdtLocked"/>
            <w:richText/>
          </w:sdtPr>
          <w:sdtContent>
            <w:p>
              <w:pPr>
                <w:suppressAutoHyphens/>
                <w:ind w:firstLine="709"/>
                <w:jc w:val="right"/>
                <w:rPr>
                  <w:szCs w:val="24"/>
                  <w:lang w:eastAsia="ar-SA"/>
                </w:rPr>
              </w:pPr>
              <w:sdt>
                <w:sdtPr>
                  <w:alias w:val="Numeris"/>
                  <w:tag w:val="nr_31c74edfc71a48bcb63d820184d64563"/>
                  <w:lock w:val="sdtLocked"/>
                  <w:richText/>
                </w:sdtPr>
                <w:sdtContent>
                  <w:r>
                    <w:rPr>
                      <w:szCs w:val="24"/>
                      <w:lang w:eastAsia="ar-SA"/>
                    </w:rPr>
                    <w:t>4</w:t>
                  </w:r>
                </w:sdtContent>
              </w:sdt>
              <w:r>
                <w:rPr>
                  <w:szCs w:val="24"/>
                  <w:lang w:eastAsia="ar-SA"/>
                </w:rPr>
                <w:t xml:space="preserve"> lentelė</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9"/>
                <w:gridCol w:w="3934"/>
                <w:gridCol w:w="1752"/>
                <w:gridCol w:w="1752"/>
                <w:gridCol w:w="1580"/>
              </w:tblGrid>
              <w:tr>
                <w:trPr>
                  <w:cantSplit/>
                  <w:trHeight w:val="20"/>
                </w:trPr>
                <w:tc>
                  <w:tcPr>
                    <w:tcW w:w="630" w:type="dxa"/>
                    <w:vMerge w:val="restart"/>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Eil. Nr.</w:t>
                    </w:r>
                  </w:p>
                </w:tc>
                <w:tc>
                  <w:tcPr>
                    <w:tcW w:w="4050" w:type="dxa"/>
                    <w:vMerge w:val="restart"/>
                    <w:tcBorders>
                      <w:top w:val="single" w:sz="4" w:space="0" w:color="auto"/>
                      <w:left w:val="single" w:sz="4" w:space="0" w:color="auto"/>
                      <w:bottom w:val="single" w:sz="4" w:space="0" w:color="auto"/>
                      <w:right w:val="single" w:sz="4" w:space="0" w:color="auto"/>
                    </w:tcBorders>
                    <w:vAlign w:val="center"/>
                  </w:tcPr>
                  <w:p>
                    <w:pPr>
                      <w:suppressAutoHyphens/>
                      <w:jc w:val="center"/>
                      <w:rPr>
                        <w:sz w:val="20"/>
                        <w:szCs w:val="24"/>
                        <w:lang w:eastAsia="ar-SA"/>
                      </w:rPr>
                    </w:pPr>
                    <w:r>
                      <w:rPr>
                        <w:sz w:val="20"/>
                        <w:szCs w:val="24"/>
                        <w:lang w:eastAsia="ar-SA"/>
                      </w:rPr>
                      <w:t>Tinklo paskirtis</w:t>
                    </w:r>
                  </w:p>
                </w:tc>
                <w:tc>
                  <w:tcPr>
                    <w:tcW w:w="5222" w:type="dxa"/>
                    <w:gridSpan w:val="3"/>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bCs/>
                        <w:sz w:val="20"/>
                        <w:szCs w:val="24"/>
                        <w:lang w:eastAsia="ar-SA"/>
                      </w:rPr>
                      <w:t>Horizontalūs atstumai (prošvaisoje)</w:t>
                    </w:r>
                    <w:r>
                      <w:rPr>
                        <w:b/>
                        <w:sz w:val="20"/>
                        <w:szCs w:val="24"/>
                        <w:lang w:eastAsia="ar-SA"/>
                      </w:rPr>
                      <w:t xml:space="preserve"> </w:t>
                    </w:r>
                    <w:r>
                      <w:rPr>
                        <w:sz w:val="20"/>
                        <w:szCs w:val="24"/>
                        <w:lang w:eastAsia="ar-SA"/>
                      </w:rPr>
                      <w:t>tarp tinklų, m</w:t>
                    </w:r>
                  </w:p>
                </w:tc>
              </w:tr>
              <w:tr>
                <w:trPr>
                  <w:cantSplit/>
                  <w:trHeight w:val="20"/>
                </w:trPr>
                <w:tc>
                  <w:tcPr>
                    <w:tcW w:w="621" w:type="dxa"/>
                    <w:vMerge/>
                    <w:tcBorders>
                      <w:top w:val="single" w:sz="4" w:space="0" w:color="auto"/>
                      <w:left w:val="single" w:sz="4" w:space="0" w:color="auto"/>
                      <w:bottom w:val="single" w:sz="4" w:space="0" w:color="auto"/>
                      <w:right w:val="single" w:sz="4" w:space="0" w:color="auto"/>
                    </w:tcBorders>
                    <w:vAlign w:val="center"/>
                  </w:tcPr>
                  <w:p>
                    <w:pPr>
                      <w:rPr>
                        <w:sz w:val="20"/>
                        <w:szCs w:val="24"/>
                        <w:lang w:eastAsia="ar-SA"/>
                      </w:rPr>
                    </w:pPr>
                  </w:p>
                </w:tc>
                <w:tc>
                  <w:tcPr>
                    <w:tcW w:w="3923" w:type="dxa"/>
                    <w:vMerge/>
                    <w:tcBorders>
                      <w:top w:val="single" w:sz="4" w:space="0" w:color="auto"/>
                      <w:left w:val="single" w:sz="4" w:space="0" w:color="auto"/>
                      <w:bottom w:val="single" w:sz="4" w:space="0" w:color="auto"/>
                      <w:right w:val="single" w:sz="4" w:space="0" w:color="auto"/>
                    </w:tcBorders>
                    <w:vAlign w:val="center"/>
                  </w:tcPr>
                  <w:p>
                    <w:pPr>
                      <w:rPr>
                        <w:sz w:val="20"/>
                        <w:szCs w:val="24"/>
                        <w:lang w:eastAsia="ar-SA"/>
                      </w:rPr>
                    </w:pP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 xml:space="preserve">Elektros iki </w:t>
                    </w:r>
                  </w:p>
                  <w:p>
                    <w:pPr>
                      <w:suppressAutoHyphens/>
                      <w:jc w:val="center"/>
                      <w:rPr>
                        <w:sz w:val="20"/>
                        <w:szCs w:val="24"/>
                        <w:lang w:eastAsia="ar-SA"/>
                      </w:rPr>
                    </w:pPr>
                    <w:r>
                      <w:rPr>
                        <w:sz w:val="20"/>
                        <w:szCs w:val="24"/>
                        <w:lang w:eastAsia="ar-SA"/>
                      </w:rPr>
                      <w:t xml:space="preserve">10 kV </w:t>
                    </w:r>
                  </w:p>
                  <w:p>
                    <w:pPr>
                      <w:suppressAutoHyphens/>
                      <w:jc w:val="center"/>
                      <w:rPr>
                        <w:sz w:val="20"/>
                        <w:szCs w:val="24"/>
                        <w:lang w:eastAsia="ar-SA"/>
                      </w:rPr>
                    </w:pPr>
                    <w:r>
                      <w:rPr>
                        <w:sz w:val="20"/>
                        <w:szCs w:val="24"/>
                        <w:lang w:eastAsia="ar-SA"/>
                      </w:rPr>
                      <w:t>kabeliai</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 xml:space="preserve">Elektros iki </w:t>
                    </w:r>
                  </w:p>
                  <w:p>
                    <w:pPr>
                      <w:suppressAutoHyphens/>
                      <w:jc w:val="center"/>
                      <w:rPr>
                        <w:sz w:val="20"/>
                        <w:szCs w:val="24"/>
                        <w:lang w:eastAsia="ar-SA"/>
                      </w:rPr>
                    </w:pPr>
                    <w:r>
                      <w:rPr>
                        <w:sz w:val="20"/>
                        <w:szCs w:val="24"/>
                        <w:lang w:eastAsia="ar-SA"/>
                      </w:rPr>
                      <w:t xml:space="preserve">110 kV </w:t>
                    </w:r>
                  </w:p>
                  <w:p>
                    <w:pPr>
                      <w:suppressAutoHyphens/>
                      <w:jc w:val="center"/>
                      <w:rPr>
                        <w:sz w:val="20"/>
                        <w:szCs w:val="24"/>
                        <w:lang w:eastAsia="ar-SA"/>
                      </w:rPr>
                    </w:pPr>
                    <w:r>
                      <w:rPr>
                        <w:sz w:val="20"/>
                        <w:szCs w:val="24"/>
                        <w:lang w:eastAsia="ar-SA"/>
                      </w:rPr>
                      <w:t>kabeliai</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 xml:space="preserve">Ryšių </w:t>
                    </w:r>
                  </w:p>
                  <w:p>
                    <w:pPr>
                      <w:suppressAutoHyphens/>
                      <w:jc w:val="center"/>
                      <w:rPr>
                        <w:sz w:val="20"/>
                        <w:szCs w:val="24"/>
                        <w:lang w:eastAsia="ar-SA"/>
                      </w:rPr>
                    </w:pPr>
                    <w:r>
                      <w:rPr>
                        <w:sz w:val="20"/>
                        <w:szCs w:val="24"/>
                        <w:lang w:eastAsia="ar-SA"/>
                      </w:rPr>
                      <w:t xml:space="preserve">kabeliai ir </w:t>
                    </w:r>
                  </w:p>
                  <w:p>
                    <w:pPr>
                      <w:suppressAutoHyphens/>
                      <w:jc w:val="center"/>
                      <w:rPr>
                        <w:sz w:val="20"/>
                        <w:szCs w:val="24"/>
                        <w:lang w:eastAsia="ar-SA"/>
                      </w:rPr>
                    </w:pPr>
                    <w:r>
                      <w:rPr>
                        <w:sz w:val="20"/>
                        <w:szCs w:val="24"/>
                        <w:lang w:eastAsia="ar-SA"/>
                      </w:rPr>
                      <w:t>kanalizacija</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bCs/>
                        <w:sz w:val="20"/>
                        <w:szCs w:val="24"/>
                        <w:lang w:eastAsia="ar-SA"/>
                      </w:rPr>
                    </w:pPr>
                    <w:r>
                      <w:rPr>
                        <w:bCs/>
                        <w:sz w:val="20"/>
                        <w:szCs w:val="24"/>
                        <w:lang w:eastAsia="ar-SA"/>
                      </w:rPr>
                      <w:t>1</w:t>
                    </w:r>
                  </w:p>
                </w:tc>
                <w:tc>
                  <w:tcPr>
                    <w:tcW w:w="4050"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Vandentiekis ir slėginė nuotekų linija</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0,6(1)</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0,6(1)</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4050"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Savitakiniai tinklai:</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2.1</w:t>
                    </w:r>
                  </w:p>
                </w:tc>
                <w:tc>
                  <w:tcPr>
                    <w:tcW w:w="4050"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ūkinių nuotekų</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0,6(1)</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0,6(1)</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2.2</w:t>
                    </w:r>
                  </w:p>
                </w:tc>
                <w:tc>
                  <w:tcPr>
                    <w:tcW w:w="4050"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lietaus vandens</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0,6(1)</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0,6(1)</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2.3</w:t>
                    </w:r>
                  </w:p>
                </w:tc>
                <w:tc>
                  <w:tcPr>
                    <w:tcW w:w="4050"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lauko drenažo</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0,6(1)</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0,6(1)</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w:t>
                    </w:r>
                  </w:p>
                </w:tc>
                <w:tc>
                  <w:tcPr>
                    <w:tcW w:w="4050"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Dujotiekis, kai slėgis:</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3.1</w:t>
                    </w:r>
                  </w:p>
                </w:tc>
                <w:tc>
                  <w:tcPr>
                    <w:tcW w:w="4050"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iki 0,1 bar</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0,3(1)</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0,3(1)</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3.2</w:t>
                    </w:r>
                  </w:p>
                </w:tc>
                <w:tc>
                  <w:tcPr>
                    <w:tcW w:w="4050"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daugiau kaip 0,1 iki 5 bar</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0,3(1)</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0,3(1)</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3.3</w:t>
                    </w:r>
                  </w:p>
                </w:tc>
                <w:tc>
                  <w:tcPr>
                    <w:tcW w:w="4050"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 xml:space="preserve">daugiau kaip 5 iki 16 bar </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w:t>
                    </w:r>
                  </w:p>
                </w:tc>
                <w:tc>
                  <w:tcPr>
                    <w:tcW w:w="4050"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Šilumotiekis:</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4.1</w:t>
                    </w:r>
                  </w:p>
                </w:tc>
                <w:tc>
                  <w:tcPr>
                    <w:tcW w:w="4050"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bekanalinis</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4.2</w:t>
                    </w:r>
                  </w:p>
                </w:tc>
                <w:tc>
                  <w:tcPr>
                    <w:tcW w:w="4050"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kanaluose (nuo krašto)</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bCs/>
                        <w:sz w:val="20"/>
                        <w:szCs w:val="24"/>
                        <w:lang w:eastAsia="ar-SA"/>
                      </w:rPr>
                    </w:pPr>
                    <w:r>
                      <w:rPr>
                        <w:bCs/>
                        <w:sz w:val="20"/>
                        <w:szCs w:val="24"/>
                        <w:lang w:eastAsia="ar-SA"/>
                      </w:rPr>
                      <w:t>5</w:t>
                    </w:r>
                  </w:p>
                </w:tc>
                <w:tc>
                  <w:tcPr>
                    <w:tcW w:w="4050"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Elektros kabeliai:</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b/>
                        <w:bCs/>
                        <w:sz w:val="20"/>
                        <w:szCs w:val="24"/>
                        <w:lang w:eastAsia="ar-SA"/>
                      </w:rPr>
                    </w:pP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b/>
                        <w:bCs/>
                        <w:sz w:val="20"/>
                        <w:szCs w:val="24"/>
                        <w:lang w:eastAsia="ar-SA"/>
                      </w:rPr>
                    </w:pP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b/>
                        <w:bCs/>
                        <w:sz w:val="20"/>
                        <w:szCs w:val="24"/>
                        <w:lang w:eastAsia="ar-SA"/>
                      </w:rPr>
                    </w:pP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5.1</w:t>
                    </w:r>
                  </w:p>
                </w:tc>
                <w:tc>
                  <w:tcPr>
                    <w:tcW w:w="4050"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iki 10 kV</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0,1</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5.2</w:t>
                    </w:r>
                  </w:p>
                </w:tc>
                <w:tc>
                  <w:tcPr>
                    <w:tcW w:w="4050"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r>
                      <w:rPr>
                        <w:sz w:val="20"/>
                        <w:szCs w:val="24"/>
                        <w:lang w:eastAsia="ar-SA"/>
                      </w:rPr>
                      <w:t>daugiau kaip 10 iki 110 kV</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bCs/>
                        <w:sz w:val="20"/>
                        <w:szCs w:val="24"/>
                        <w:lang w:eastAsia="ar-SA"/>
                      </w:rPr>
                    </w:pPr>
                    <w:r>
                      <w:rPr>
                        <w:bCs/>
                        <w:sz w:val="20"/>
                        <w:szCs w:val="24"/>
                        <w:lang w:eastAsia="ar-SA"/>
                      </w:rPr>
                      <w:t>6</w:t>
                    </w:r>
                  </w:p>
                </w:tc>
                <w:tc>
                  <w:tcPr>
                    <w:tcW w:w="4050"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Ryšių kabeliai ir jų kanalizacija</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0,5(1)</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0,1</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bCs/>
                        <w:sz w:val="20"/>
                        <w:szCs w:val="24"/>
                        <w:lang w:eastAsia="ar-SA"/>
                      </w:rPr>
                    </w:pPr>
                    <w:r>
                      <w:rPr>
                        <w:bCs/>
                        <w:sz w:val="20"/>
                        <w:szCs w:val="24"/>
                        <w:lang w:eastAsia="ar-SA"/>
                      </w:rPr>
                      <w:t>7</w:t>
                    </w:r>
                  </w:p>
                </w:tc>
                <w:tc>
                  <w:tcPr>
                    <w:tcW w:w="4050"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Atliekų pneumovamzdynai</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1,5</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r>
              <w:tr>
                <w:trPr>
                  <w:cantSplit/>
                  <w:trHeight w:val="20"/>
                </w:trPr>
                <w:tc>
                  <w:tcPr>
                    <w:tcW w:w="630" w:type="dxa"/>
                    <w:tcBorders>
                      <w:top w:val="single" w:sz="4" w:space="0" w:color="auto"/>
                      <w:left w:val="single" w:sz="4" w:space="0" w:color="auto"/>
                      <w:bottom w:val="single" w:sz="4" w:space="0" w:color="auto"/>
                      <w:right w:val="single" w:sz="4" w:space="0" w:color="auto"/>
                    </w:tcBorders>
                  </w:tcPr>
                  <w:p>
                    <w:pPr>
                      <w:suppressAutoHyphens/>
                      <w:jc w:val="center"/>
                      <w:rPr>
                        <w:bCs/>
                        <w:sz w:val="20"/>
                        <w:szCs w:val="24"/>
                        <w:lang w:eastAsia="ar-SA"/>
                      </w:rPr>
                    </w:pPr>
                    <w:r>
                      <w:rPr>
                        <w:bCs/>
                        <w:sz w:val="20"/>
                        <w:szCs w:val="24"/>
                        <w:lang w:eastAsia="ar-SA"/>
                      </w:rPr>
                      <w:t>8</w:t>
                    </w:r>
                  </w:p>
                </w:tc>
                <w:tc>
                  <w:tcPr>
                    <w:tcW w:w="4050" w:type="dxa"/>
                    <w:tcBorders>
                      <w:top w:val="single" w:sz="4" w:space="0" w:color="auto"/>
                      <w:left w:val="single" w:sz="4" w:space="0" w:color="auto"/>
                      <w:bottom w:val="single" w:sz="4" w:space="0" w:color="auto"/>
                      <w:right w:val="single" w:sz="4" w:space="0" w:color="auto"/>
                    </w:tcBorders>
                  </w:tcPr>
                  <w:p>
                    <w:pPr>
                      <w:suppressAutoHyphens/>
                      <w:rPr>
                        <w:bCs/>
                        <w:sz w:val="20"/>
                        <w:szCs w:val="24"/>
                        <w:lang w:eastAsia="ar-SA"/>
                      </w:rPr>
                    </w:pPr>
                    <w:r>
                      <w:rPr>
                        <w:bCs/>
                        <w:sz w:val="20"/>
                        <w:szCs w:val="24"/>
                        <w:lang w:eastAsia="ar-SA"/>
                      </w:rPr>
                      <w:t>Komunikacijų kolektoriai</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1800"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2</w:t>
                    </w:r>
                  </w:p>
                </w:tc>
                <w:tc>
                  <w:tcPr>
                    <w:tcW w:w="1622" w:type="dxa"/>
                    <w:tcBorders>
                      <w:top w:val="single" w:sz="4" w:space="0" w:color="auto"/>
                      <w:left w:val="single" w:sz="4" w:space="0" w:color="auto"/>
                      <w:bottom w:val="single" w:sz="4" w:space="0" w:color="auto"/>
                      <w:right w:val="single" w:sz="4" w:space="0" w:color="auto"/>
                    </w:tcBorders>
                  </w:tcPr>
                  <w:p>
                    <w:pPr>
                      <w:suppressAutoHyphens/>
                      <w:jc w:val="center"/>
                      <w:rPr>
                        <w:sz w:val="20"/>
                        <w:szCs w:val="24"/>
                        <w:lang w:eastAsia="ar-SA"/>
                      </w:rPr>
                    </w:pPr>
                    <w:r>
                      <w:rPr>
                        <w:sz w:val="20"/>
                        <w:szCs w:val="24"/>
                        <w:lang w:eastAsia="ar-SA"/>
                      </w:rPr>
                      <w:t>1</w:t>
                    </w:r>
                  </w:p>
                </w:tc>
              </w:tr>
            </w:tbl>
            <w:p>
              <w:pPr>
                <w:keepNext/>
                <w:tabs>
                  <w:tab w:val="num" w:pos="0"/>
                </w:tabs>
                <w:suppressAutoHyphens/>
                <w:ind w:firstLine="709"/>
                <w:outlineLvl w:val="7"/>
                <w:rPr>
                  <w:b/>
                  <w:bCs/>
                  <w:szCs w:val="24"/>
                  <w:lang w:eastAsia="ar-SA"/>
                </w:rPr>
              </w:pPr>
            </w:p>
          </w:sdtContent>
        </w:sdt>
        <w:sdt>
          <w:sdtPr>
            <w:alias w:val="pastaba"/>
            <w:tag w:val="part_c98c65b2aa984a3698c2bee388e936e9"/>
            <w:lock w:val="sdtLocked"/>
            <w:richText/>
          </w:sdtPr>
          <w:sdtContent>
            <w:p>
              <w:pPr>
                <w:keepNext/>
                <w:tabs>
                  <w:tab w:val="num" w:pos="0"/>
                </w:tabs>
                <w:suppressAutoHyphens/>
                <w:ind w:firstLine="709"/>
                <w:outlineLvl w:val="7"/>
                <w:rPr>
                  <w:i/>
                  <w:iCs/>
                  <w:szCs w:val="24"/>
                  <w:lang w:eastAsia="ar-SA"/>
                </w:rPr>
              </w:pPr>
              <w:r>
                <w:rPr>
                  <w:i/>
                  <w:iCs/>
                  <w:szCs w:val="24"/>
                  <w:lang w:eastAsia="ar-SA"/>
                </w:rPr>
                <w:t>Pastabos:</w:t>
              </w:r>
            </w:p>
            <w:sdt>
              <w:sdtPr>
                <w:alias w:val="1 pr. 1 p."/>
                <w:tag w:val="part_a585d12424ff4391a6e4e698c9f5257d"/>
                <w:lock w:val="sdtLocked"/>
                <w:richText/>
              </w:sdtPr>
              <w:sdtContent>
                <w:p>
                  <w:pPr>
                    <w:keepNext/>
                    <w:tabs>
                      <w:tab w:val="num" w:pos="0"/>
                    </w:tabs>
                    <w:suppressAutoHyphens/>
                    <w:ind w:firstLine="709"/>
                    <w:jc w:val="both"/>
                    <w:outlineLvl w:val="7"/>
                    <w:rPr>
                      <w:szCs w:val="24"/>
                      <w:lang w:eastAsia="ar-SA"/>
                    </w:rPr>
                  </w:pPr>
                  <w:sdt>
                    <w:sdtPr>
                      <w:alias w:val="Numeris"/>
                      <w:tag w:val="nr_a585d12424ff4391a6e4e698c9f5257d"/>
                      <w:lock w:val="sdtLocked"/>
                      <w:richText/>
                    </w:sdtPr>
                    <w:sdtContent>
                      <w:r>
                        <w:rPr>
                          <w:szCs w:val="24"/>
                          <w:lang w:eastAsia="ar-SA"/>
                        </w:rPr>
                        <w:t>1</w:t>
                      </w:r>
                    </w:sdtContent>
                  </w:sdt>
                  <w:r>
                    <w:rPr>
                      <w:szCs w:val="24"/>
                      <w:lang w:eastAsia="ar-SA"/>
                    </w:rPr>
                    <w:t>. Atstumai nuo inžinerinių tinklų išorinės sienelės krašto iki kitų statinių (pastatų, inžinerinių statinių ir pan.) nurodyti mažiausi. Norint šiuos atstumus sumažinti (atsižvelgiant į statybos produktų, iš kurių tiesiami inžineriniai tinklai, savybes), kiekvieną konkretų projekto sprendinį privaloma derinti su atitinkamomis statinio saugos ir paskirties reikalavimų valstybinės priežiūros institucijomis, kurios apibrėžtos Statybos įstatyme [4.1.1].</w:t>
                  </w:r>
                </w:p>
              </w:sdtContent>
            </w:sdt>
            <w:sdt>
              <w:sdtPr>
                <w:alias w:val="1 pr. 2 p."/>
                <w:tag w:val="part_695057b9e9ef432b934ae8a560eebba7"/>
                <w:lock w:val="sdtLocked"/>
                <w:richText/>
              </w:sdtPr>
              <w:sdtContent>
                <w:p>
                  <w:pPr>
                    <w:suppressAutoHyphens/>
                    <w:ind w:firstLine="709"/>
                    <w:jc w:val="both"/>
                    <w:rPr>
                      <w:szCs w:val="24"/>
                      <w:lang w:eastAsia="ar-SA"/>
                    </w:rPr>
                  </w:pPr>
                  <w:sdt>
                    <w:sdtPr>
                      <w:alias w:val="Numeris"/>
                      <w:tag w:val="nr_695057b9e9ef432b934ae8a560eebba7"/>
                      <w:lock w:val="sdtLocked"/>
                      <w:richText/>
                    </w:sdtPr>
                    <w:sdtContent>
                      <w:r>
                        <w:rPr>
                          <w:szCs w:val="24"/>
                          <w:lang w:eastAsia="ar-SA"/>
                        </w:rPr>
                        <w:t>2</w:t>
                      </w:r>
                    </w:sdtContent>
                  </w:sdt>
                  <w:r>
                    <w:rPr>
                      <w:szCs w:val="24"/>
                      <w:lang w:eastAsia="ar-SA"/>
                    </w:rPr>
                    <w:t>. Lentelėse skliaustuose nurodyti mažiausi atstumai tais atvejais, kai tiesiami nauji inžineriniai tinklai šalia esamų, pastatytų iš tuo metu statyboje naudotų statybos produktų, ir nėra galimybės išlaikyti naujiems inžineriniams tinklams tiesti nustatytų atstumų.</w:t>
                  </w:r>
                </w:p>
                <w:p>
                  <w:pPr>
                    <w:suppressAutoHyphens/>
                    <w:jc w:val="center"/>
                    <w:rPr>
                      <w:szCs w:val="24"/>
                      <w:lang w:eastAsia="ar-SA"/>
                    </w:rPr>
                  </w:pPr>
                  <w:r>
                    <w:rPr>
                      <w:szCs w:val="24"/>
                      <w:lang w:eastAsia="ar-SA"/>
                    </w:rPr>
                    <w:t>______________</w:t>
                  </w:r>
                </w:p>
              </w:sdtContent>
            </w:sdt>
          </w:sdtContent>
        </w:sdt>
      </w:sdtContent>
    </w:sdt>
    <w:sdt>
      <w:sdtPr>
        <w:alias w:val="8 pr."/>
        <w:tag w:val="part_f72656c71c2b4323b07a88c480da657d"/>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25DC74875D7">
            <w:r w:rsidRPr="00532B9F">
              <w:rPr>
                <w:rFonts w:ascii="Times New Roman" w:eastAsia="MS Mincho" w:hAnsi="Times New Roman"/>
                <w:sz w:val="20"/>
                <w:iCs/>
                <w:color w:val="0000FF" w:themeColor="hyperlink"/>
                <w:u w:val="single"/>
              </w:rPr>
              <w:t>D1-851</w:t>
            </w:r>
          </w:fldSimple>
          <w:r>
            <w:rPr>
              <w:rFonts w:ascii="Times New Roman" w:eastAsia="MS Mincho" w:hAnsi="Times New Roman"/>
              <w:sz w:val="20"/>
              <w:iCs/>
            </w:rPr>
            <w:t>,
2011-11-05,
Žin., 2011, Nr.
134-6384 (2011-11-10), i. k. 111301MISAK00D1-851                </w:t>
          </w:r>
        </w:p>
        <w:p>
          <w:pPr>
            <w:jc w:val="both"/>
            <w:rPr>
              <w:rFonts w:ascii="Times New Roman" w:hAnsi="Times New Roman"/>
            </w:rPr>
          </w:pPr>
          <w:r>
            <w:rPr>
              <w:rFonts w:ascii="Times New Roman" w:hAnsi="Times New Roman"/>
              <w:sz w:val="20"/>
            </w:rPr>
            <w:t>Dėl Lietuvos Respublikos aplinkos ministro 2005 m. birželio 17 d. įsakymo Nr. D1-309 "Dėl statybos techninio reglamento 2.03.02:2005 "Gamybos, pramonės ir sandėliavimo statinių sklypų tvarkymas"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28B71CB0468">
            <w:r w:rsidRPr="00532B9F">
              <w:rPr>
                <w:rFonts w:ascii="Times New Roman" w:eastAsia="MS Mincho" w:hAnsi="Times New Roman"/>
                <w:sz w:val="20"/>
                <w:iCs/>
                <w:color w:val="0000FF" w:themeColor="hyperlink"/>
                <w:u w:val="single"/>
              </w:rPr>
              <w:t>D1-411</w:t>
            </w:r>
          </w:fldSimple>
          <w:r>
            <w:rPr>
              <w:rFonts w:ascii="Times New Roman" w:eastAsia="MS Mincho" w:hAnsi="Times New Roman"/>
              <w:sz w:val="20"/>
              <w:iCs/>
            </w:rPr>
            <w:t>,
2012-05-16,
Žin., 2012, Nr.
58-2917 (2012-05-22), i. k. 112301MISAK00D1-411                </w:t>
          </w:r>
        </w:p>
        <w:p>
          <w:pPr>
            <w:jc w:val="both"/>
            <w:rPr>
              <w:rFonts w:ascii="Times New Roman" w:hAnsi="Times New Roman"/>
            </w:rPr>
          </w:pPr>
          <w:r>
            <w:rPr>
              <w:rFonts w:ascii="Times New Roman" w:hAnsi="Times New Roman"/>
              <w:sz w:val="20"/>
            </w:rPr>
            <w:t>Dėl Lietuvos Respublikos aplinkos ministro 2005 m. birželio 17 d. įsakymo Nr. D1-309 "Dėl statybos techninio reglamento STR 2.03.02:2005 "Gamybos, pramonės ir sandėliavimo statinių sklypų tvarkymas"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60f168087d811e7a3c4a5eb10f04386">
            <w:r w:rsidRPr="00532B9F">
              <w:rPr>
                <w:rFonts w:ascii="Times New Roman" w:eastAsia="MS Mincho" w:hAnsi="Times New Roman"/>
                <w:sz w:val="20"/>
                <w:iCs/>
                <w:color w:val="0000FF" w:themeColor="hyperlink"/>
                <w:u w:val="single"/>
              </w:rPr>
              <w:t>D1-621</w:t>
            </w:r>
          </w:fldSimple>
          <w:r>
            <w:rPr>
              <w:rFonts w:ascii="Times New Roman" w:eastAsia="MS Mincho" w:hAnsi="Times New Roman"/>
              <w:sz w:val="20"/>
              <w:iCs/>
            </w:rPr>
            <w:t>,
2017-07-24,
paskelbta TAR 2017-08-24, i. k. 2017-13587                </w:t>
          </w:r>
        </w:p>
        <w:p>
          <w:pPr>
            <w:jc w:val="both"/>
            <w:rPr>
              <w:rFonts w:ascii="Times New Roman" w:hAnsi="Times New Roman"/>
            </w:rPr>
          </w:pPr>
          <w:r>
            <w:rPr>
              <w:rFonts w:ascii="Times New Roman" w:hAnsi="Times New Roman"/>
              <w:sz w:val="20"/>
            </w:rPr>
            <w:t>Dėl Lietuvos Respublikos aplinkos ministro 2005 m. birželio 17 d. įsakymo Nr. D1-309 „Dėl Statybos techninio reglamento STR 2.03.02:2005 „Gamybos, pramonės ir sandėliavimo statinių sklypų tvarkymas“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5AB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D3EAF0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632861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notes" Target="footnotes.xml"/>
  <Relationship Id="rId11" Type="http://schemas.openxmlformats.org/officeDocument/2006/relationships/hyperlink" TargetMode="External" Target="https://www.e-tar.lt/portal/lt/legalAct/TAR.91A151CE19E9"/>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4.wmf"/>
  <Relationship Id="rId18" Type="http://schemas.openxmlformats.org/officeDocument/2006/relationships/control" Target="activeX/activeX4.xml"/>
  <Relationship Id="rId19" Type="http://schemas.openxmlformats.org/officeDocument/2006/relationships/hyperlink" TargetMode="External" Target="https://www.e-tar.lt/portal/lt/legalAct/TAR.F31E79DEC55D"/>
  <Relationship Id="rId2" Type="http://schemas.openxmlformats.org/officeDocument/2006/relationships/header" Target="header11.xml"/>
  <Relationship Id="rId20" Type="http://schemas.openxmlformats.org/officeDocument/2006/relationships/hyperlink" TargetMode="External" Target="https://www.e-tar.lt/portal/lt/legalAct/TAR.80A638E6C263"/>
  <Relationship Id="rId21" Type="http://schemas.openxmlformats.org/officeDocument/2006/relationships/hyperlink" TargetMode="External" Target="https://www.e-tar.lt/portal/lt/legalAct/TAR.F0F5AD6471BE"/>
  <Relationship Id="rId22" Type="http://schemas.openxmlformats.org/officeDocument/2006/relationships/hyperlink" TargetMode="External" Target="https://www.e-tar.lt/portal/lt/legalAct/TAR.765E76579776"/>
  <Relationship Id="rId23" Type="http://schemas.openxmlformats.org/officeDocument/2006/relationships/hyperlink" TargetMode="External" Target="https://www.e-tar.lt/portal/lt/legalAct/TAR.F31E79DEC55D"/>
  <Relationship Id="rId24" Type="http://schemas.openxmlformats.org/officeDocument/2006/relationships/hyperlink" TargetMode="External" Target="https://www.e-tar.lt/portal/lt/legalAct/TAR.80A638E6C263"/>
  <Relationship Id="rId25" Type="http://schemas.openxmlformats.org/officeDocument/2006/relationships/hyperlink" TargetMode="External" Target="https://www.e-tar.lt/portal/lt/legalAct/TAR.5C63BB64A956"/>
  <Relationship Id="rId26" Type="http://schemas.openxmlformats.org/officeDocument/2006/relationships/hyperlink" TargetMode="External" Target="https://www.e-tar.lt/portal/lt/legalAct/TAR.C2A54BC39579"/>
  <Relationship Id="rId27" Type="http://schemas.openxmlformats.org/officeDocument/2006/relationships/hyperlink" TargetMode="External" Target="https://www.e-tar.lt/portal/lt/legalAct/TAR.E434668FE952"/>
  <Relationship Id="rId28" Type="http://schemas.openxmlformats.org/officeDocument/2006/relationships/hyperlink" TargetMode="External" Target="https://www.e-tar.lt/portal/lt/legalAct/TAR.2BC82ED1190B"/>
  <Relationship Id="rId29" Type="http://schemas.openxmlformats.org/officeDocument/2006/relationships/hyperlink" TargetMode="External" Target="https://www.e-tar.lt/portal/lt/legalAct/TAR.B49EEDC9171B"/>
  <Relationship Id="rId3" Type="http://schemas.openxmlformats.org/officeDocument/2006/relationships/footer" Target="footer10.xml"/>
  <Relationship Id="rId30" Type="http://schemas.openxmlformats.org/officeDocument/2006/relationships/hyperlink" TargetMode="External" Target="https://www.e-tar.lt/portal/lt/legalAct/TAR.F81C6C9CBD7C"/>
  <Relationship Id="rId31" Type="http://schemas.openxmlformats.org/officeDocument/2006/relationships/hyperlink" TargetMode="External" Target="https://www.e-tar.lt/portal/lt/legalAct/TAR.3C24C4CAE7B1"/>
  <Relationship Id="rId32" Type="http://schemas.openxmlformats.org/officeDocument/2006/relationships/hyperlink" TargetMode="External" Target="https://www.e-tar.lt/portal/lt/legalAct/TAR.358675FB0A82"/>
  <Relationship Id="rId33" Type="http://schemas.openxmlformats.org/officeDocument/2006/relationships/hyperlink" TargetMode="External" Target="https://www.e-tar.lt/portal/lt/legalAct/TAR.EFD8078E42A8"/>
  <Relationship Id="rId34" Type="http://schemas.openxmlformats.org/officeDocument/2006/relationships/hyperlink" TargetMode="External" Target="https://www.e-tar.lt/portal/lt/legalAct/TAR.1F3FB56815CB"/>
  <Relationship Id="rId35" Type="http://schemas.openxmlformats.org/officeDocument/2006/relationships/hyperlink" TargetMode="External" Target="https://www.e-tar.lt/portal/lt/legalAct/TAR.55F2655B811E"/>
  <Relationship Id="rId36" Type="http://schemas.openxmlformats.org/officeDocument/2006/relationships/hyperlink" TargetMode="External" Target="https://www.e-tar.lt/portal/lt/legalAct/TAR.8979106304B9"/>
  <Relationship Id="rId37" Type="http://schemas.openxmlformats.org/officeDocument/2006/relationships/hyperlink" TargetMode="External" Target="https://www.e-tar.lt/portal/lt/legalAct/TAR.45D9797974FE"/>
  <Relationship Id="rId38" Type="http://schemas.openxmlformats.org/officeDocument/2006/relationships/hyperlink" TargetMode="External" Target="https://www.e-tar.lt/portal/lt/legalAct/TAR.14D754BE447D"/>
  <Relationship Id="rId39" Type="http://schemas.openxmlformats.org/officeDocument/2006/relationships/hyperlink" TargetMode="External" Target="https://www.e-tar.lt/portal/lt/legalAct/TAR.8B79388EACD2"/>
  <Relationship Id="rId4" Type="http://schemas.openxmlformats.org/officeDocument/2006/relationships/footer" Target="footer11.xml"/>
  <Relationship Id="rId40" Type="http://schemas.openxmlformats.org/officeDocument/2006/relationships/hyperlink" TargetMode="External" Target="https://www.e-tar.lt/portal/lt/legalAct/TAR.858BE3CF2762"/>
  <Relationship Id="rId41" Type="http://schemas.openxmlformats.org/officeDocument/2006/relationships/hyperlink" TargetMode="External" Target="https://www.e-tar.lt/portal/lt/legalAct/TAR.F290716964D8"/>
  <Relationship Id="rId42" Type="http://schemas.openxmlformats.org/officeDocument/2006/relationships/hyperlink" TargetMode="External" Target="https://www.e-tar.lt/portal/lt/legalAct/TAR.650275E135FA"/>
  <Relationship Id="rId43" Type="http://schemas.openxmlformats.org/officeDocument/2006/relationships/hyperlink" TargetMode="External" Target="https://www.e-tar.lt/portal/lt/legalAct/TAR.D8B754E03B50"/>
  <Relationship Id="rId44" Type="http://schemas.openxmlformats.org/officeDocument/2006/relationships/hyperlink" TargetMode="External" Target="https://www.e-tar.lt/portal/lt/legalAct/TAR.61BD22D4FB5B"/>
  <Relationship Id="rId45" Type="http://schemas.openxmlformats.org/officeDocument/2006/relationships/hyperlink" TargetMode="External" Target="https://www.e-tar.lt/portal/lt/legalAct/TAR.E4F23B006B83"/>
  <Relationship Id="rId46" Type="http://schemas.openxmlformats.org/officeDocument/2006/relationships/hyperlink" TargetMode="External" Target="https://www.e-tar.lt/portal/lt/legalAct/TAR.F467B46501DE"/>
  <Relationship Id="rId47" Type="http://schemas.openxmlformats.org/officeDocument/2006/relationships/customXml" Target="../customXml/item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ba7f3102da747a7ba0a479ffadedefb" PartId="d96b286c606c49a986804a6d835a1c2e">
    <Part Type="preambule" DocPartId="b14769da6f2d4b13a198359281f81a3f" PartId="15124e865a8c4bba942f9c75456ed9d3"/>
    <Part Type="punktas" Nr="1" Abbr="1 p." DocPartId="6d54b9420e3f4a23bffab9602bd29dd5" PartId="04ffc57e600f4b10bbae7e9b5b17794e"/>
    <Part Type="punktas" Nr="2" Abbr="2 p." DocPartId="6fd2d5986ea74477a44ec6579aac5ff1" PartId="26821177f388482fb8d18120a1bb99df"/>
    <Part Type="signatura" DocPartId="8906988cb3a54b698a91d603640cbc79" PartId="7504299906a44a6480356f8b837a2eae"/>
  </Part>
  <Part Type="patvirtinta" Title="STATYBOS TECHNINIS REGLAMENTAS STR 2.03.02:2005" DocPartId="1816032a289a4d74b9b5069ad7059a5c" PartId="6d64bd7e8f3c454ab26cbeb05b2501ed">
    <Part Type="skyrius" Nr="1" Title="BENDROSIOS NUOSTATOS" DocPartId="3258f6892b804ce69b5b72ce04be33d7" PartId="25bbd91699b148d1b8add4b34a047438">
      <Part Type="punktas" Nr="1" Abbr="1 p." DocPartId="c7e5b3b630474d2797cd55bdd9fb1216" PartId="62066cfc878d4b4aa24230bc1e3c728b"/>
      <Part Type="punktas" Nr="2" Abbr="2 p." DocPartId="4990f3537aab4634b7e65c31283449cc" PartId="04f00e67be19405e83a63a8b9eb3f661"/>
      <Part Type="punktas" Nr="3" Abbr="3 p." DocPartId="d570fcbf29be4075a35cce8e7d51d588" PartId="5713dc8898a244df9e21002891c06c85"/>
    </Part>
    <Part Type="skyrius" Nr="2" Title="NUORODOS" DocPartId="4045c79eb8194468975e2f273d5f0479" PartId="9d81b88feb6a46049d6f7d102dbb53ba">
      <Part Type="punktas" Nr="4" Abbr="4 p." DocPartId="f1d39ab2143040489d0c864df07f3eff" PartId="3ba99b64915d433b8c31be56927f097e">
        <Part Type="punktas" Nr="4.1" Abbr="4.1 p." DocPartId="6d5579fea67d40cfab3b5728fbb00260" PartId="1f4d455756f947f8b66a83fa212c7013"/>
        <Part Type="punktas" Nr="4.2" Abbr="4.2 p." DocPartId="eb1f51e3ece144c4988f4243e0324e28" PartId="91d0cf28c4b14c3dbe12b3630b45f1b8">
          <Part Type="punktas" Nr="4.2.1" Abbr="4.2.1 p." DocPartId="ddc535601bf9497a92113695be921aaa" PartId="3bb24a7185b444edbaef736aa86cc88d"/>
          <Part Type="punktas" Nr="4.2.2" Abbr="4.2.2 p." DocPartId="7900a3f45b0e4a8f853b27683368a26d" PartId="031e20127d2341b68c3599272738d484"/>
        </Part>
        <Part Type="punktas" Nr="4.3" Abbr="4.3 p." DocPartId="b56adaa28d7949f79178f39427adc93c" PartId="57003f3ffa7e4d0da374c865ffe59a07">
          <Part Type="punktas" Nr="4.3.2" Abbr="4.3.2 p." DocPartId="7574b9df46094f03aacf7484189b472f" PartId="754d276778c64d86a719d2ca0ab3f319"/>
          <Part Type="punktas" Nr="4.3.3" Abbr="4.3.3 p." DocPartId="0a4916db65d04c0f92337983f260ca5d" PartId="c814f7b89dd94e11a7d97c123c57ecd9"/>
          <Part Type="punktas" Nr="4.3.4" Abbr="4.3.4 p." DocPartId="88b5a1f17430409781e645a0e0c8aa86" PartId="117c4eec95664211a8d70cc9109464db"/>
          <Part Type="punktas" Nr="4.3.5" Abbr="4.3.5 p." DocPartId="69d4225c1aee45e9a8a2528cab9c750f" PartId="e3fb98ed154b430686738a562dbbaf21"/>
          <Part Type="punktas" Nr="4.3.6" Abbr="4.3.6 p." DocPartId="a25b7875709d4ae4af811d07f6745384" PartId="7dde159082ca432faa27080dc02d6b1c"/>
          <Part Type="punktas" Nr="4.3.8" Abbr="4.3.8 p." DocPartId="57521136189348b8b654ee4c9c67d334" PartId="e44d765d3f3746da9f0210deb4490351"/>
          <Part Type="punktas" Nr="4.3.9" Abbr="4.3.9 p." DocPartId="aea0efd8183647b6b2087fa403ba06f9" PartId="44683dda12684494ad4bb6aa6d96048a"/>
          <Part Type="punktas" Nr="4.3.10" Abbr="4.3.10 p." DocPartId="92a8c629de654ec584db701a6de15a7c" PartId="fa75395e981f46eea4a9c3098dbc2e42"/>
        </Part>
        <Part Type="punktas" Nr="4.4" Abbr="4.4 p." DocPartId="419582c6cf7d41da9a427a38d7c47ba6" PartId="21fadb12774d4f1287f9a0d739e4dba1">
          <Part Type="punktas" Nr="4.4.1" Abbr="4.4.1 p." DocPartId="f6bb023e625c444caaa1d3b944491c7f" PartId="4266bd3bd7a44f6cbdfd7dee48e81a89"/>
          <Part Type="punktas" Nr="4.4.2" Abbr="4.4.2 p." DocPartId="e94907ee0a6c4efe82d3a0df6bf804ae" PartId="e91f069f82f842dfb7e74d671e213fd0"/>
          <Part Type="punktas" Nr="4.4.3" Abbr="4.4.3 p." DocPartId="8b880e10d0c144628af3d97efbc3a7a0" PartId="e6e2541fafec4c3087117c1d13ad7bc5"/>
          <Part Type="punktas" Nr="4.4.4" Abbr="4.4.4 p." DocPartId="8ee171f9e8dc4ef5b35cdc0ee9f1aabe" PartId="69f237da909043e3aba55f53e043675e"/>
          <Part Type="punktas" Nr="4.4.5" Abbr="4.4.5 p." DocPartId="6036844d07af4c1ab234ba46d6c05289" PartId="8d16658d9bbd4f94978e192ce17556be"/>
          <Part Type="punktas" Nr="4.4.6" Abbr="4.4.6 p." DocPartId="3fc21c657539408dbf10e9544fbce660" PartId="41d30e79ff5a45cf93a504237ccbf852"/>
          <Part Type="punktas" Nr="4.4.7" Abbr="4.4.7 p." DocPartId="c574f832438e4d049af7b125adf76298" PartId="f96984c3ca9348178c760758bfff866a"/>
          <Part Type="punktas" Nr="4.4.9" Abbr="4.4.9 p." DocPartId="7991a2f682d74f09bc6a17cb81cd65f2" PartId="fe250fbdb2624f049f1fb98abe1f85f6"/>
          <Part Type="punktas" Nr="4.4.10" Abbr="4.4.10 p." DocPartId="713f727856e84511a8450c1dd26d6b4e" PartId="dd39b21a9f5548519f89aeb1705d6ef2"/>
          <Part Type="punktas" Nr="4.4.11" Abbr="4.4.11 p." DocPartId="7aab760be82e4e0ca778c4c1894ee48a" PartId="63d2bb5a4c7240b09d187720af7d0d75"/>
          <Part Type="punktas" Nr="4.4.12" Abbr="4.4.12 p." DocPartId="fb63e8c5b2fb4a26b4dd856a18d36a83" PartId="95435fc95ac7472da21bfaf9575f8b48"/>
          <Part Type="punktas" Nr="4.4.13" Abbr="4.4.13 p." DocPartId="47f0a80c1a784290b3b3d9b1a8bb955e" PartId="1c10443d0b77459bb71238cd24d07184"/>
          <Part Type="punktas" Nr="4.4.14" Abbr="4.4.14 p." DocPartId="792084ded544414ebb2ac545562f850e" PartId="e5f8bed3923e4cfdb4b54e5d90b842fd"/>
        </Part>
      </Part>
    </Part>
    <Part Type="skyrius" Nr="3" Title="PAGRINDINĖS SĄVOKOS" DocPartId="07101c82c0fe471b80ecc919b109cd3e" PartId="bcfdea02be514657b07e45ec53db85a9">
      <Part Type="punktas" Nr="5" Abbr="5 p." DocPartId="844e4f16af104ed39c1f10e4fd7ab966" PartId="ddf617b2c6b44d468e5299d6a1441f20">
        <Part Type="papunktis" Nr="5.1" Abbr="5.1 pp." DocPartId="3594c21941394cc28437e3ee536ec3fc" PartId="73450c03917949a698a9c6bab2c1b44e"/>
        <Part Type="papunktis" Nr="5.2" Abbr="5.2 pp." DocPartId="84ccb4890e9b486ebf98d55a4160e329" PartId="ef49a319fcb64b5ca5a703ecdd219b5f"/>
        <Part Type="papunktis" Nr="5.3" Abbr="5.3 pp." DocPartId="7f54448b907a4ff9a079064d253393fc" PartId="6db4f8ad12df46dc8765abf6ed5c04d2"/>
        <Part Type="papunktis" Nr="5.4" Abbr="5.4 pp." DocPartId="86056d4559af4cda826081d01c37a27e" PartId="c01c91c78bb044738c7d012f3dac1215"/>
        <Part Type="papunktis" Nr="5.5" Abbr="5.5 pp." DocPartId="4b3a5ea50a4e46ce9ea583219e7274f2" PartId="195efbd4ce674f97813fb938224fcc67"/>
        <Part Type="papunktis" Nr="5.6" Abbr="5.6 pp." DocPartId="40b783d4598d48eba697c39b39e1eb93" PartId="b4f256c817284c2598306eb68d305a76"/>
        <Part Type="papunktis" Nr="5.7" Abbr="5.7 pp." DocPartId="38c36209863d4515820f20e44db389bd" PartId="18a3cf502c8645ddbd88b4286eb9ba81"/>
        <Part Type="papunktis" Nr="5.8" Abbr="5.8 pp." DocPartId="0862c54535f04cf9b277a1b6a88023e7" PartId="d28711de9a9848b98bb9e806196002ab"/>
        <Part Type="papunktis" Nr="5.9" Abbr="5.9 pp." DocPartId="987f8823156d4f849559da9d248baaf9" PartId="549ce85cb51c4f3087c9ad5c7e3d1551"/>
      </Part>
    </Part>
    <Part Type="skyrius" Nr="3" Title="SKLYPO TVARKYMO PAGRINDINIAI REIKALAVIMAI" DocPartId="0ad239b31c9246d1b9d4066eb3d4d470" PartId="0dd1d7094850469fac51891fbbc62c24">
      <Part Type="punktas" Nr="6" Abbr="6 p." DocPartId="f2dd769fdd574c6da3f574b33de151e5" PartId="6223d38dab1e4bcdb4525982ec629697">
        <Part Type="papunktis" Nr="6.1" Abbr="6.1 pp." DocPartId="26f29d061f7447db99e1c2ea2a338f88" PartId="e0ca98f0ba2c4e2c916998679cce272d"/>
        <Part Type="papunktis" Nr="6.2" Abbr="6.2 pp." DocPartId="42658034325b442c8f6042ec930057d4" PartId="8e1e192c5d98410696f6457a91965234"/>
        <Part Type="papunktis" Nr="6.3" Abbr="6.3 pp." DocPartId="ee1387a922bf4e7eadf252cb302aa8d2" PartId="38b627ed57a34f798e93ee0fac26dc67"/>
        <Part Type="papunktis" Nr="6.4" Abbr="6.4 pp." DocPartId="04d96262df0a4c57a18ae2d47661dffe" PartId="824675c68dda40319bc9dff7d03f96bf"/>
        <Part Type="papunktis" Nr="6.5" Abbr="6.5 pp." DocPartId="bbf3f8096a8f497b8e7c5a942b87a59b" PartId="9eb8b100cda74257b2fb6a0f486bb964"/>
        <Part Type="papunktis" Nr="6.6" Abbr="6.6 pp." DocPartId="eaf6575ae6ed4fa5a7d97015726bc32d" PartId="25991973bc8140b7ab8a0732e3a76bce"/>
        <Part Type="papunktis" Nr="6.7" Abbr="6.7 pp." DocPartId="0931730a9b964903b5a35873751f4ff3" PartId="d2c493fd91f542c8981d8f1292da804b"/>
        <Part Type="papunktis" Nr="6.8" Abbr="6.8 pp." DocPartId="d3fca2dd8ec345b289e3b5e885d72c89" PartId="0d64290d2ecc4fd2bdf3fefa03f7865b"/>
      </Part>
      <Part Type="punktas" Nr="7" Abbr="7 p." DocPartId="e712ee84a18248ee8f9cfe02304471cd" PartId="1a4af5d3f84c4678ad54e9a9906853f8">
        <Part Type="papunktis" Nr="7.1" Abbr="7.1 pp." DocPartId="46f068b9a84d456da263a710206b16f5" PartId="0e78a5f5b1c3453fb45c1017d50a45df"/>
        <Part Type="papunktis" Nr="7.2" Abbr="7.2 pp." DocPartId="a26dc53f05fc4cf7a1d1d06b2032e0cb" PartId="2003e86dabc1439da13a92998979007f"/>
      </Part>
      <Part Type="punktas" Nr="8" Abbr="8 p." DocPartId="2bc756d9d6fd4bb9826818637978dfd2" PartId="2fa15762cb2849f38f12e62e1ca3fd04"/>
      <Part Type="punktas" Nr="9" Abbr="9 p." DocPartId="0f0d21ba65494fbd8c061dcfc8aee954" PartId="3a6d90c9a7cf4adc85348c7314a81712"/>
      <Part Type="punktas" Nr="10" Abbr="10 p." DocPartId="083115555328443aa707c8c71f291566" PartId="c1e50007d0f1418f853c1a5fb1b36ab5">
        <Part Type="papunktis" Nr="10.1" Abbr="10.1 pp." DocPartId="2a5cc45338a649a587d841ddf91015c0" PartId="d8f4e971e727431b9c145d89778ab273"/>
        <Part Type="papunktis" Nr="10.2" Abbr="10.2 pp." DocPartId="8c8715b7544c4dc5948f0f1b3732166b" PartId="a0a7c94b7fff410ebdb01f1dee34f1b1"/>
        <Part Type="papunktis" Nr="10.3" Abbr="10.3 pp." DocPartId="71367b53993743e48aa9a058e68312ec" PartId="a060b2c7a3f546cd81c6f98eecb7a1b5"/>
        <Part Type="papunktis" Nr="10.4" Abbr="10.4 pp." DocPartId="7050dff242f84d4caaa6a456e42fef41" PartId="999453bef0824a758cda760387ded35d"/>
      </Part>
    </Part>
    <Part Type="skyrius" Nr="4" Title="SKLYPO DALIJIMAS Į PASKIRTIES ZONAS" DocPartId="8e8757440b514e1483759cf067fe4867" PartId="3b21efc5162440dc8da9450c514a32d4">
      <Part Type="punktas" Nr="11" Abbr="11 p." DocPartId="37bc5a22db2a49cd894bc84b37a3b5b4" PartId="c426f7c024cf4210a1513c1fdb8e9e84">
        <Part Type="papunktis" Nr="11.1" Abbr="11.1 pp." DocPartId="56d31e915c4c49d390a4305d856e8ce2" PartId="89a47fd3d8a04ad1b3b48f3cb16c63ba"/>
        <Part Type="papunktis" Nr="11.2" Abbr="11.2 pp." DocPartId="0eb7c06dcb584dd1a6657fb6fc7879cf" PartId="bdd63ee8e97741e79dce35157b9c453c"/>
        <Part Type="papunktis" Nr="11.3" Abbr="11.3 pp." DocPartId="2cb49db00e8f4ae0817f00c1594a951b" PartId="214ec27e3b5440cca8adbb949b97ae8c"/>
        <Part Type="papunktis" Nr="11.4" Abbr="11.4 pp." DocPartId="c843578432f34002ac3173043d84511b" PartId="318d91b4edce4b10b95dc1b8679377cc"/>
      </Part>
      <Part Type="punktas" Nr="12" Abbr="12 p." DocPartId="36e554edba9e4f929bae9f36be1fc53a" PartId="8ceea787ae2e4dd090d698dd33e56ac4">
        <Part Type="papunktis" Nr="12.1" Abbr="12.1 pp." DocPartId="dfaadd7002b54edaa7180d46a2a000ae" PartId="19e9b39765a14ba69ffced60feeb9df5"/>
        <Part Type="papunktis" Nr="12.2" Abbr="12.2 pp." DocPartId="13d2289817d14631885dd5f3c85785d2" PartId="49858f19f3fa4ffaac3d2ae22d1ceb6b"/>
        <Part Type="papunktis" Nr="12.3" Abbr="12.3 pp." DocPartId="03c3a3d6a237448a9a3675beb776c905" PartId="6fcbaa515018451690569f44d1c56821"/>
        <Part Type="papunktis" Nr="12.4" Abbr="12.4 pp." DocPartId="ee2b297ffd15453cb67b79012b28abe2" PartId="4e5f5d6311024bd78a67d39ca52b2be4"/>
        <Part Type="papunktis" Nr="12.5" Abbr="12.5 pp." DocPartId="dd5bdfd6cc5b4a8ea65c924a34d98b1a" PartId="453adb074e8240949b0bd89770271755"/>
        <Part Type="papunktis" Nr="12.6" Abbr="12.6 pp." DocPartId="ab374e216d9142758255958b71f61fb0" PartId="dc843b07f52d4102806df56fcd8e7c8f"/>
        <Part Type="papunktis" Nr="12.7" Abbr="12.7 pp." DocPartId="7d2c8b6e54a14ef6ae24b3a4c1a411f6" PartId="4fd9a9a2721647ed8dc24e050b14af73"/>
      </Part>
      <Part Type="punktas" Nr="13" Abbr="13 p." DocPartId="351fd086cbfc4557873b29708e3481ac" PartId="5ca2d56bacaa4f338be63a81ddc909f5"/>
      <Part Type="punktas" Nr="14" Abbr="14 p." DocPartId="5b01042a27744b109c9370ba0f06e8ec" PartId="fb052467e7cb4dd589427a6c5b0a0bed"/>
      <Part Type="punktas" Nr="15" Abbr="15 p." DocPartId="74bb26b50c3c43908cd36c1a2ac2fae6" PartId="b1ac303c8c644fe799858fb17f9a400f"/>
      <Part Type="punktas" Nr="16" Abbr="16 p." DocPartId="78deffa946574ad0baf89eb5b97e7bec" PartId="2730eeadd65141ed9f5cc719a0f1147a"/>
    </Part>
    <Part Type="skyrius" Nr="5" Title="GAMYBOS STATINIŲ IŠDĖSTYMAS SKLYPE" DocPartId="3a52090fafab491cb77c7fc616dc87bf" PartId="1bd35258a1f74c77a7acc46b23402ed3">
      <Part Type="punktas" Nr="17" Abbr="17 p." DocPartId="61c1dfe8fa7d4efa84b7a6506cb19a43" PartId="79199a0fcb5441a9aa1a462d6da62594"/>
      <Part Type="punktas" Nr="18" Abbr="18 p." DocPartId="dae912d6beb149acae062c5b50a6ab37" PartId="ae65d40cd1a6429297ee80e94b9fdd54"/>
      <Part Type="punktas" Nr="19" Abbr="19 p." DocPartId="3fda4e012beb441e947dcb14c7ade440" PartId="024c3304f7ce4de0b69c421cbe627311"/>
      <Part Type="punktas" Nr="20" Abbr="20 p." DocPartId="2e0127316182476cb3870eaf9f164418" PartId="1470beb6ba304c258004b381f73c5e17"/>
      <Part Type="punktas" Nr="21" Abbr="21 p." DocPartId="0f540d6372b348fcb5cfe87b860b6fba" PartId="6634cf01a3124468a6cf083f17ca766e"/>
      <Part Type="punktas" Nr="22" Abbr="22 p." DocPartId="a75c22846825462ab323b48562e97642" PartId="b3d64e7200b742b98280d39c4ad18356"/>
      <Part Type="punktas" Nr="23" Abbr="23 p." DocPartId="371a06d098b84eedabed6ac2e30e08e0" PartId="7edefd1263624ac08731589ab57db6b3">
        <Part Type="papunktis" Nr="23.1" Abbr="23.1 pp." DocPartId="c61f8f2a2eab4d32b62a93f05c78b20d" PartId="81c0b6c6cefa4b01910ddcba6e58fe11"/>
        <Part Type="papunktis" Nr="23.2" Abbr="23.2 pp." DocPartId="15905bfae19445ceadf8649f45512e5c" PartId="e866e37c46f24e8199fa9a7857bb5617"/>
      </Part>
      <Part Type="punktas" Nr="24" Abbr="24 p." DocPartId="60f872dc52f9408b8de8c036704b387c" PartId="3c067c1579484f1d96fa7df5188df71e"/>
      <Part Type="punktas" Nr="25" Abbr="25 p." DocPartId="46b3cad8b33543048c4167d53f66482d" PartId="17db3b2d236f454aa95523ca5238eee4"/>
      <Part Type="punktas" Nr="26" Abbr="26 p." DocPartId="c5261a14071f46618b1dd5dc577943aa" PartId="53dbd5fce7564003b5cb2340f0c31066"/>
      <Part Type="punktas" Nr="27" Abbr="27 p." DocPartId="20f713e041d14e3094b93f5e90607c06" PartId="12347d7364f94aacb87d543e6f5ebe83"/>
      <Part Type="punktas" Nr="28" Abbr="28 p." DocPartId="5463822648a04dea82ea09c87a33cbba" PartId="8d1a696a6147475c80fa66cb01e793ff">
        <Part Type="papunktis" Nr="28.1" Abbr="28.1 pp." DocPartId="de3a0ff41da7446e9f9b5e873b408cb9" PartId="8afca38497564e6cbf04bde2d836a0f0"/>
        <Part Type="papunktis" Nr="28.2" Abbr="28.2 pp." DocPartId="b3bb037a786e49feaf8fba6f16966f1e" PartId="d10ef6a3b2854ecfb43e32411fc4bf91"/>
      </Part>
      <Part Type="punktas" Nr="29" Abbr="29 p." DocPartId="6cf23e3a7db74063983cf294a8174d67" PartId="351d8e53df0f449bbc38dbb6dac01aa9"/>
      <Part Type="punktas" Nr="30" Abbr="30 p." DocPartId="01f17d1997184cdeb09fe4fb075ec5dc" PartId="255ac1580aee4c1890dc252e55674c98"/>
      <Part Type="punktas" Nr="31" Abbr="31 p." DocPartId="1229a438a760407e80a7350457de0f33" PartId="131801d01d684ea784be7efa61b13cda"/>
      <Part Type="punktas" Nr="32" Abbr="32 p." DocPartId="3efaf98e5a7943dda77fd7ac4dc57a09" PartId="65565d99aef448c88b0d4bb4646388a1"/>
      <Part Type="punktas" Nr="33" Abbr="33 p." DocPartId="6e32bac4bd0248d5a89f31c947c5a4d9" PartId="2f58e1738cbf45e29c5ae2ae2aa36cd7"/>
      <Part Type="punktas" Nr="34" Abbr="34 p." DocPartId="a464aafd19a348768db10084795f0b8b" PartId="c78f1ca8184d419596e86914682b3b10"/>
      <Part Type="punktas" Nr="35" Abbr="35 p." DocPartId="901ae6765e3d41acba92d1da97814b76" PartId="8038a10bffc74245af6f3bb4b0ccaec6"/>
      <Part Type="punktas" Nr="36" Abbr="36 p." DocPartId="543d1ac983ab4c40b0fe2158c321a832" PartId="ddfc513b77744f89b9d2fc80621c4c32"/>
      <Part Type="punktas" Nr="37" Abbr="37 p." DocPartId="b7e08767345042689e2e78bc96bc317b" PartId="f8662386a0ee4760806d90792f1e14de"/>
      <Part Type="punktas" Nr="38" Abbr="38 p." DocPartId="f6115ab583ea4a8fa3cdae09bb74d748" PartId="200467dc94fd4f47b20e9f6426e5172a"/>
      <Part Type="punktas" Nr="39" Abbr="39 p." DocPartId="26fb3bdda68948469f87596ecbcad5d1" PartId="43d5d0faf319484cb1d0a876debd8652"/>
      <Part Type="punktas" Nr="40" Abbr="40 p." DocPartId="68106b14f9234394a5add54de8267e5a" PartId="0325eebde9844c1baff3a0b077647d80"/>
      <Part Type="punktas" Nr="41" Abbr="41 p." DocPartId="b0187dab2ae540e8bf46c55fd1c888ae" PartId="4693390ca82a40e7a655947f5bb71102"/>
    </Part>
    <Part Type="skyrius" Nr="6" Title="SKLYPO UŽSTATYMO TANKIS" DocPartId="374aac68b7d04423aebdea803cc78f17" PartId="3f815e93afd34242ad9f26f356ae9109">
      <Part Type="punktas" Nr="42" Abbr="42 p." DocPartId="789e5b7e849c40b785cb3383a7b3a475" PartId="7acf38cd6c014ca8ae0f0cdc163272d7"/>
      <Part Type="punktas" Nr="43" Abbr="43 p." DocPartId="9eeb30e35c084b4fa916f6fa77548d10" PartId="d74babf648e3495596e4b11124ba6536"/>
    </Part>
    <Part Type="skyrius" Nr="7" Title="SKLYPO RELJEFO FORMAVIMAS" DocPartId="80ac474dd8f24024a77a8d49e180ab24" PartId="6d91060d419f4fd0bc636a96306f5625">
      <Part Type="punktas" Nr="44" Abbr="44 p." DocPartId="c7724b938c7d48bb9809856201b03721" PartId="b39f536653474bfe897f13c94f8f2f0b"/>
      <Part Type="punktas" Nr="45" Abbr="45 p." DocPartId="d6d415761b1e49aaa0d66783e020efa6" PartId="4b78a04c530f4d5a9bc9b3151e8dd90e"/>
      <Part Type="punktas" Nr="46" Abbr="46 p." DocPartId="63ae9896c1b04fc9afe1a013ffd83c40" PartId="bdbbb668b4044c6097e3922794f2c71d">
        <Part Type="papunktis" Nr="46.1" Abbr="46.1 pp." DocPartId="23c3bae559ee446ab633c43e95fa9a64" PartId="4fb54f723182470a86746337bfe4117e"/>
        <Part Type="papunktis" Nr="46.2" Abbr="46.2 pp." DocPartId="2fa5d7b82e814ac6acfc149f89f72dc6" PartId="868c1f84727e44f2875d3a6c26a9a681"/>
        <Part Type="papunktis" Nr="46.3" Abbr="46.3 pp." DocPartId="251ed86acb7947bfb527b425299da205" PartId="e0c186743f5c44028b910d2bf87932f4"/>
        <Part Type="papunktis" Nr="46.4" Abbr="46.4 pp." DocPartId="1f19213ada0f44e1927c12a6f55964f7" PartId="682a643d23aa4fd8a11275f71eef315c"/>
      </Part>
      <Part Type="punktas" Nr="47" Abbr="47 p." DocPartId="18afd1018c934929ae36dd9cc1ba3bbb" PartId="02cb78feace04cb2afb8014da9b5e88d"/>
      <Part Type="punktas" Nr="48" Abbr="48 p." DocPartId="ac22a15b03d54fd782ef97619ef190cf" PartId="fc5143659e0a4bbe82032ca0618cade5"/>
      <Part Type="punktas" Nr="49" Abbr="49 p." DocPartId="0e22f17c956d4a2284b607f1887eb20f" PartId="5864b9b24825452ea63dc6dd7577e29b"/>
      <Part Type="punktas" Nr="50" Abbr="50 p." DocPartId="e8cb7e7100654aad92e7360448365f4c" PartId="44c67e78cecf4f9296325243397dc1cc"/>
      <Part Type="punktas" Nr="51" Abbr="51 p." DocPartId="82bb8c3d9bfa4888a05d6f4adaf16847" PartId="4d81c3af484449339e35190a0a506cd2"/>
      <Part Type="punktas" Nr="52" Abbr="52 p." DocPartId="4dac538596ff48c793f106c4362b66d0" PartId="6b63c8f9bdd94766847297ee2602c39c"/>
      <Part Type="punktas" Nr="53" Abbr="53 p." DocPartId="146b9407f5f64fc3a62f04aa8ef68cb6" PartId="5e37709469774bdeb5d6b2636688a631"/>
    </Part>
    <Part Type="skyrius" Nr="8" Title="SKLYPO SUSISIEKIMO KOMUNIKACIJOS" DocPartId="359a0d6bbe45486fb98b459e87e8b67d" PartId="2a1cb1b2aca14e3292f512fbc467ecc9">
      <Part Type="punktas" Nr="54" Abbr="54 p." DocPartId="e0465d4f327142c090a689c3e7b7ba2a" PartId="858e1e9aee4c4cbeb4cc5c832ec1f04c"/>
      <Part Type="punktas" Nr="55" Abbr="55 p." DocPartId="cd3ca1abe3fa4ee8b30dbd82afc412d2" PartId="3c104a0d99364a3082e548220823f821"/>
      <Part Type="punktas" Nr="56" Abbr="56 p." DocPartId="8aa2cfe3a9e8426088bba4e25974a491" PartId="633c7439192e49299b5d374b7184f1ea"/>
      <Part Type="punktas" Nr="57" Abbr="57 p." DocPartId="79f9c56e78324ddc83a1fbf9b38c1548" PartId="bc79a5d7cef6440f9e60cd681e11e7e7"/>
      <Part Type="punktas" Nr="58" Abbr="58 p." DocPartId="ea8995934e4049248a6af955252d9984" PartId="9a86db10959c434497f5cf900af5d2b2"/>
      <Part Type="punktas" Nr="59" Abbr="59 p." DocPartId="35e10bc6846549eeafdb7d3340b5b8f1" PartId="7535c9a9b187447fb5cf96011d9c4aad">
        <Part Type="papunktis" Nr="59.1" Abbr="59.1 pp." DocPartId="4b2aa403ef544eb2be72762cf86a727d" PartId="cc43482107d2460f9060b853f16c5c3f"/>
        <Part Type="papunktis" Nr="59.2" Abbr="59.2 pp." DocPartId="0bd98f483ac040dbb609180de5c795a3" PartId="c83a2b3bf08a4de1a415ce8579c0920e"/>
        <Part Type="papunktis" Nr="59.3" Abbr="59.3 pp." DocPartId="d8f4dd946df04a34aad86e1f407a35ac" PartId="7fa103c941144265933e0100e4912e7d"/>
        <Part Type="papunktis" Nr="59.4" Abbr="59.4 pp." DocPartId="ced415abe61648e0921400e857471a61" PartId="bdf582dc79654644972f433d76fef78e"/>
        <Part Type="papunktis" Nr="59.5" Abbr="59.5 pp." DocPartId="9bcf002d18e0492991b69fa09e0788e7" PartId="4072d07a53d24c479b14ae123f56db59"/>
        <Part Type="papunktis" Nr="59.6" Abbr="59.6 pp." DocPartId="8d845f4e81024cdf841398b74fd47e4d" PartId="258b96cf6b4a4ff884543cf95935ee10"/>
        <Part Type="papunktis" Nr="59.7" Abbr="59.7 pp." DocPartId="dcf61e551ab94e1f936bcc050a494e4b" PartId="1696e70aa73048b1b4327200fac1d32b"/>
        <Part Type="papunktis" Nr="59.8" Abbr="59.8 pp." DocPartId="e803dbb586c045c399269b36179db983" PartId="35397384b9514482accc5a816a57c72e"/>
      </Part>
      <Part Type="punktas" Nr="60" Abbr="60 p." DocPartId="98319745d72d4962808bb098b8a249e8" PartId="149619774fe44ed7b53d1fbcc214d5ec">
        <Part Type="papunktis" Nr="60.1" Abbr="60.1 pp." DocPartId="16f284ee6c254fc5ab6a12c47cbe9e9d" PartId="2c1509c51ed14f3799adfe0cb3ffa28a"/>
        <Part Type="papunktis" Nr="60.2" Abbr="60.2 pp." DocPartId="6f6b64a401fe4a56a6ec088bd8751ce7" PartId="79dbc213f66140fcbdee0d9afbb703ee"/>
      </Part>
      <Part Type="punktas" Nr="61" Abbr="61 p." DocPartId="5464b227d4c84cdcb5623cace3259dbe" PartId="84c8aa59d6154790a8936cafd7e3af27"/>
    </Part>
    <Part Type="skyrius" Nr="9" Title="SKLYPO INŽINERINIAI TINKLAI" DocPartId="f7e0a05b885a4b0d933f5b6e16b201e7" PartId="5b4c2a2a7f7c4326a31193480e1ea2e7">
      <Part Type="punktas" Nr="62" Abbr="62 p." DocPartId="b7cee0e1da5945b39f363897c34bf4c2" PartId="cec4ee258f864cd0be6412fd9cb1acfb">
        <Part Type="papunktis" Nr="62.1" Abbr="62.1 pp." DocPartId="6d0c1beedbaf42eebe89c66505550dbb" PartId="e7630d4ea23945c18819e2bd7adab2a4"/>
        <Part Type="papunktis" Nr="62.2" Abbr="62.2 pp." DocPartId="51c5d549c03b43678ae541ea6b22d6a0" PartId="ae605a9e8ba24c16aa3171c10c43d25d"/>
        <Part Type="papunktis" Nr="62.3" Abbr="62.3 pp." DocPartId="6f09d848195242f3b776dd3dfad21682" PartId="1f0150ac83c74d7ebad1cc320e85d40a"/>
        <Part Type="papunktis" Nr="62.4" Abbr="62.4 pp." DocPartId="b7d1f36975ff4d2aa34b002aedea2546" PartId="a4d0e7820ff64105bc20876807d345df"/>
        <Part Type="papunktis" Nr="62.5" Abbr="62.5 pp." DocPartId="7c08c01395bc46b8800df85d82b31d31" PartId="ed06bb6ed63a43e29251d63c9c66b106"/>
        <Part Type="papunktis" Nr="62.6" Abbr="62.6 pp." DocPartId="135e28ecc59145bab769afb94371e8dc" PartId="238baf99bdb443fea270ac08d6bd0bc4"/>
      </Part>
      <Part Type="punktas" Nr="63" Abbr="63 p." DocPartId="a8f5263159b343148b632003824c41ad" PartId="e31c1bba42cf48c391cacdf3018fce65"/>
      <Part Type="punktas" Nr="64" Abbr="64 p." DocPartId="5381f83af28c4adc84d01408e26fa8ce" PartId="79d98d0d6ac54bbe8e438756290bb05d"/>
      <Part Type="punktas" Nr="65" Abbr="65 p." DocPartId="284779875ee94c39b792eb445cd54f9f" PartId="224dee38bb4649849f8f4926768b2592"/>
      <Part Type="punktas" Nr="66" Abbr="66 p." DocPartId="162959a3d889469394b86651811d8f5f" PartId="cb84b714e0d84e8bb6244b6812636608"/>
      <Part Type="punktas" Nr="67" Abbr="67 p." DocPartId="726b7641bfc649a98cc35735cbdf62aa" PartId="ae27ffed7b20414589f06f7ab90c29d3"/>
      <Part Type="punktas" Nr="68" Abbr="68 p." DocPartId="3a726427959148b9ad9fe75183cd544d" PartId="3519068a300a4b62bd5fd5c8558beaaf"/>
      <Part Type="skirsnis" Nr="1" Title="POŽEMINIAI INŽINERINIAI TINKLAI" DocPartId="1fde73eab8f645a8aa4ef71633bc8f8d" PartId="d5abfd52b9854cec8da2e12f63bec70a">
        <Part Type="punktas" Nr="69" Abbr="69 p." DocPartId="f95a695cda7f49e891ead033f41639e2" PartId="1691f11bc5fc41b5abbca657629fb0f8"/>
        <Part Type="punktas" Nr="70" Abbr="70 p." DocPartId="760a57a79b1e42eb8a7b83e5c6a30ea7" PartId="7e731b0007e043e2a074bb769942384b"/>
        <Part Type="punktas" Nr="71" Abbr="71 p." DocPartId="13856107e1eb4eec972eca119e1cf3a1" PartId="b8e9f99cf3a84226b2b5fc3f602104c8">
          <Part Type="papunktis" Nr="71.1" Abbr="71.1 pp." DocPartId="54c8cf09e20647b094be10652210d292" PartId="0aa0a81001854a919278a705f64ad4da"/>
          <Part Type="papunktis" Nr="71.2" Abbr="71.2 pp." DocPartId="fcbce92ab38a4c29b120e7f639514c76" PartId="2126486a6e30465281290e1ae4905806"/>
          <Part Type="papunktis" Nr="71.3" Abbr="71.3 pp." DocPartId="ff3d7dc82e7e4d68b2a4f8e92c63cd23" PartId="896bc3fc9fed468793148518d5479097"/>
          <Part Type="papunktis" Nr="71.4" Abbr="71.4 pp." DocPartId="40c14cb1a3904ca892134bc4d5d3c5b3" PartId="97f1ea627c9c44808083aff9d5b1ebe8"/>
          <Part Type="papunktis" Nr="71.5" Abbr="71.5 pp." DocPartId="d88f9c994efa4823aaacce911db1080b" PartId="43d10f466f09436790817915f71325bb"/>
        </Part>
        <Part Type="punktas" Nr="72" Abbr="72 p." DocPartId="2adff9adb675468f91398616c4ee695e" PartId="90c5281dee1a43d887e68710a007ffd4"/>
        <Part Type="punktas" Nr="73" Abbr="73 p." DocPartId="a2101b26e17b47c28dcd21130a11ae91" PartId="d83b6d225ed4468eb273d69609c975b7"/>
        <Part Type="punktas" Nr="74" Abbr="74 p." DocPartId="419e32f4f6f8466e8fb909010e0041f3" PartId="2b159aef463043b687b23b35c8d27d4d"/>
        <Part Type="punktas" Nr="75" Abbr="75 p." DocPartId="05d1de7893134ca193c24f4b416717f2" PartId="e67248c3f3ce403a9e4cdd5de8e17907"/>
        <Part Type="punktas" Nr="76" Abbr="76 p." DocPartId="437d5197127e4ce5bba6a5930994bacc" PartId="b6ad6fe283114a6a8dccd6850904b2ed"/>
        <Part Type="punktas" Nr="77" Abbr="77 p." DocPartId="097147e455c84dd4af4edeba14394e8c" PartId="d70f3d788fd84da3aa6b576b630d6c7b">
          <Part Type="papunktis" Nr="77.1" Abbr="77.1 pp." DocPartId="606060d37bde47c2902b2b800063625c" PartId="5ae35a06cbf1401fa397248379391da2"/>
          <Part Type="papunktis" Nr="77.2" Abbr="77.2 pp." DocPartId="f3eb0ba93ab54f59abc944cba6b138e6" PartId="aacb95f5d24e480d8ebd02d077ee4dfb"/>
          <Part Type="papunktis" Nr="77.3" Abbr="77.3 pp." DocPartId="476781794e6b4a5f8c997465deb82a65" PartId="704eb73740e74263b4ca51d4a010d132"/>
          <Part Type="papunktis" Nr="77.4" Abbr="77.4 pp." DocPartId="62508876c9dc4362b636f05f7b5153f2" PartId="af7ffcf20b394baa94fd08344822eec1"/>
          <Part Type="papunktis" Nr="77.5" Abbr="77.5 pp." DocPartId="1171438b42964ce9b025d8cea7089ea5" PartId="ed9b7ed388f3429f8daaa49c44e4ef98"/>
        </Part>
        <Part Type="punktas" Nr="78" Abbr="78 p." DocPartId="d5be3dc4af0e4639b508398ba7496b81" PartId="172a8c24bfa841d5a356405a4c3d1372"/>
        <Part Type="punktas" Nr="79" Abbr="79 p." DocPartId="1e25e62cb3f744658bec3aa58d702573" PartId="33cc2081911748d69db30182baf0e779"/>
        <Part Type="punktas" Nr="80" Abbr="80 p." DocPartId="b3f92bc1b2e54422ae3da8c467009158" PartId="efc273a347434656a4de19ef58792e02"/>
        <Part Type="punktas" Nr="81" Abbr="81 p." DocPartId="848083d7ee684f738bc33dca876b0b04" PartId="037b72c1a9694e11b15ff0bad005a05d"/>
        <Part Type="punktas" Nr="82" Abbr="82 p." DocPartId="d09dc7fa7d04427d90658529adb8630d" PartId="f3508b4236fd45f58a5b3dded11f7005"/>
        <Part Type="punktas" Nr="83" Abbr="83 p." DocPartId="af03754d76da4404bdc74b8a360e085b" PartId="27a0f96e9006415c9a07196ffcae05ca"/>
        <Part Type="punktas" Nr="84" Abbr="84 p." DocPartId="c5200c7d1b8f4508a8835a4a9729ad58" PartId="5618dd6e629f4cdc98c913d05711bfe5"/>
        <Part Type="punktas" Nr="85" Abbr="85 p." DocPartId="57ee50ff2a334bc6853e73f1b7216da2" PartId="f52ec61c03a9448c8a77dcd2cb367810"/>
        <Part Type="punktas" Nr="86" Abbr="86 p." DocPartId="66391ca09423420a8dec71e29ae69ed3" PartId="d16005266bdf44d5a5dc8764c5a44df0"/>
        <Part Type="punktas" Nr="87" Abbr="87 p." DocPartId="80696262bebd4718af85369591def2a4" PartId="38d2433f1d2343749fda2c9530e333dc"/>
      </Part>
      <Part Type="skirsnis" Nr="2" Title="ANTŽEMINIAI INŽINERINIAI TINKLAI" DocPartId="14c8b14eff4a4ee48b447a803d6afdef" PartId="a73ae99f9d5b44b494c213847d00a326">
        <Part Type="punktas" Nr="88" Abbr="88 p." DocPartId="4a8ed867d07745ba8d177ffcbd8c816f" PartId="e7a8a970b35847a18b784e0a75dad692"/>
        <Part Type="punktas" Nr="89" Abbr="89 p." DocPartId="4766fd8733d94d2d9db26c5c0c0f49a5" PartId="fb2974f3f3bf45d7a075b6fe07356fdf"/>
        <Part Type="punktas" Nr="90" Abbr="90 p." DocPartId="0f762929d4124a56ba6982e3c53ddb08" PartId="5f14990de6964214a8d6f144b8432b59"/>
        <Part Type="punktas" Nr="91" Abbr="91 p." DocPartId="64feb30f22144d6080d9424a87c75c4c" PartId="2dfc5677fea446be9329d38ea683bdd8"/>
      </Part>
      <Part Type="skirsnis" Nr="3" Title="PAKELTIEJI INŽINERINIAI TINKLAI" DocPartId="334e17de1bea40039de640fc5c34b6ee" PartId="cc3125cc9b51450383da5a5e45fb1de3">
        <Part Type="punktas" Nr="92" Abbr="92 p." DocPartId="179405bf4df046828d6839781ea672d9" PartId="f973f39619be410ca17fa6075bd4a6ab"/>
        <Part Type="punktas" Nr="93" Abbr="93 p." DocPartId="08bbb099f2454934a9f0e27729591d72" PartId="70fcd7d19a2d435ba89cd48c3aabb70e"/>
        <Part Type="punktas" Nr="94" Abbr="94 p." DocPartId="52ef0959379941ae94b7c84c9f839293" PartId="f9885096edaf48218b55069a52c585bd">
          <Part Type="papunktis" Nr="94.1" Abbr="94.1 pp." DocPartId="e25e7edca75445d2a6d1b9bb874d182e" PartId="2ad5864c2cb946f9b0f6d2ae3d43c258"/>
          <Part Type="papunktis" Nr="94.2" Abbr="94.2 pp." DocPartId="e052c5efcdae4bc59bba141984b26153" PartId="bfef456d0e904df6a5d529866eacef3b"/>
          <Part Type="papunktis" Nr="94.3" Abbr="94.3 pp." DocPartId="55bbaf7c6ee040b9b77ea609542a92f1" PartId="27ce4a62aa7b443e85687b476a67c5ec"/>
        </Part>
        <Part Type="punktas" Nr="95" Abbr="95 p." DocPartId="a5257f36afb2498abb704f11d8670450" PartId="e5e725fd4c2f4a319a82605b4e733766"/>
        <Part Type="punktas" Nr="96" Abbr="96 p." DocPartId="99de386a40034a8c90ed219b7f7eaab0" PartId="fc760b6f96b84591bf3f2fff0a40b36e">
          <Part Type="papunktis" Nr="96.1" Abbr="96.1 pp." DocPartId="6b8247701c9341088acf514560671921" PartId="06116cce3eb34810908b0daada8955f7"/>
          <Part Type="papunktis" Nr="96.2" Abbr="96.2 pp." DocPartId="ec30c2ea0946470caec4401d091b08f4" PartId="7f2a97c1fdf7449195d96635abef6ece"/>
        </Part>
        <Part Type="punktas" Nr="97" Abbr="97 p." DocPartId="8a3c532572374598a0389799f3510008" PartId="82f750ec43a54e45bba5bd9c5be62353">
          <Part Type="papunktis" Nr="97.1" Abbr="97.1 pp." DocPartId="3f5fe8b7175143cfad0bed01e62d4e5f" PartId="5819c681c26f457297465562f5f27c42"/>
          <Part Type="papunktis" Nr="97.2" Abbr="97.2 pp." DocPartId="3508959a14d643c1b11ca0017c06bcab" PartId="02e05a159149463d9922872477f13464"/>
        </Part>
        <Part Type="punktas" Nr="98" Abbr="98 p." DocPartId="d19914f7c5dc4ba5a4489d1a411394f6" PartId="99adb126574d46b98b33ead61cbb4a25"/>
        <Part Type="punktas" Nr="99" Abbr="99 p." DocPartId="3f1450ef46004530a24cfcd41d0db33c" PartId="09e944790a704e7e9995e56ddb32d457">
          <Part Type="papunktis" Nr="99.1" Abbr="99.1 pp." DocPartId="45524fa202b84b91a994560b58b4ed53" PartId="db930ad2437849c1ace5bdff50989be1"/>
          <Part Type="papunktis" Nr="99.2" Abbr="99.2 pp." DocPartId="ee4ef2798799455c8b7ec0df591b83c1" PartId="1f9dc911486f4e7291840d3f74ef4399"/>
          <Part Type="papunktis" Nr="99.3" Abbr="99.3 pp." DocPartId="121349169b654a60b258619e8f53e175" PartId="8287962cd07441b1801327839023a35f"/>
          <Part Type="papunktis" Nr="99.4" Abbr="99.4 pp." DocPartId="b09cbdfcf4e548f78cdae24addcfce78" PartId="5d1976982730469c9667476afa930862"/>
        </Part>
      </Part>
    </Part>
    <Part Type="skyrius" Nr="10" Title="SKLYPO TVARKYMAS" DocPartId="ea0a67e0c8634302a72ba5378d1df73e" PartId="177917674a0e4c519237f8c05be4a34e">
      <Part Type="punktas" Nr="100" Abbr="100 p." DocPartId="6f0729cd9d434944a2c1b71ce02b62dc" PartId="65f65b045e514cda926d59580419d5db"/>
      <Part Type="punktas" Nr="101" Abbr="101 p." DocPartId="c8c87eea96684bfbb168565a0987a1b6" PartId="3a4496b899b247209ed9c121bcbc1891"/>
      <Part Type="punktas" Nr="102" Abbr="102 p." DocPartId="95bacd6bec9842da9f1f5cf9134f232c" PartId="8a778bbdb6794a4a95a9ac7dc6893422"/>
      <Part Type="punktas" Nr="103" Abbr="103 p." DocPartId="7d2003b3147846ed977c6c8625263c7b" PartId="5d2c20065c884c46a65a6bd481a870f4"/>
      <Part Type="punktas" Nr="104" Abbr="104 p." DocPartId="01ebeb6bbf36417d9b6a1c3b6f06f06a" PartId="f9d273a176fb4cdc8a328fbd3ac2a18c"/>
      <Part Type="punktas" Nr="105" Abbr="105 p." DocPartId="6aecb8c2c2a140b596ae01acaf661b36" PartId="eab727d4a4514bfa84f5f7fb6b90a3a9"/>
      <Part Type="punktas" Nr="106" Abbr="106 p." DocPartId="1b9751c76c7045e8804ce6fbc8340d36" PartId="4c7224c258b54147910802c1e1591e7c"/>
      <Part Type="punktas" Nr="107" Abbr="107 p." DocPartId="da43bad013c6404185543ae24b6e359b" PartId="2d74ab3ab53b4deabb5b6ca25c5d6ca6"/>
      <Part Type="punktas" Nr="108" Abbr="108 p." DocPartId="c404841d44954f8789b4472f36ee28c1" PartId="528957862aaa45b9bc60169332cfa9fe"/>
      <Part Type="punktas" Nr="109" Abbr="109 p." DocPartId="1c716b2c26694c8683fecd8f43a6ced4" PartId="b5020505388e44559eac970f017dd68a"/>
      <Part Type="punktas" Nr="110" Abbr="110 p." DocPartId="2b517e785c3c496bb140c6cbc996880d" PartId="9e8c97ade99e4287a793251460a379d8">
        <Part Type="papunktis" Nr="110.1" Abbr="110.1 pp." DocPartId="767cc8627d2b4d78889a891846f5f35a" PartId="aebd4f73e9cc4819a75b5e4b55d83f6a"/>
        <Part Type="papunktis" Nr="110.2" Abbr="110.2 pp." DocPartId="1a48dad6d17b486791fb7400b7513bb2" PartId="e6b74258645341338e5ea3a6c04cd3bb"/>
      </Part>
      <Part Type="punktas" Nr="111" Abbr="111 p." DocPartId="a8c6d3c91ae742f49cf963725af2116f" PartId="3806407e2d89483a87940e72d3f1580d"/>
      <Part Type="punktas" Nr="112" Abbr="112 p." DocPartId="3be339485b984b5ca7bbb4f26e8497ad" PartId="bc36417e719242bfb70e4bb880718b8a"/>
      <Part Type="punktas" Nr="113" Abbr="113 p." DocPartId="f3c31f76cebb4537a6b091c4740460c0" PartId="b17092a4427d4c99b6df3a32a433e2c2"/>
      <Part Type="punktas" Nr="114" Abbr="114 p." DocPartId="404b27c2d6ef44a9890bc91c37441a3b" PartId="a48af28d4f604c80a2e19c598e8b6535"/>
      <Part Type="punktas" Nr="115" Abbr="115 p." DocPartId="d7f144abc91e47a0a680c3a94e6b0f9e" PartId="c01c0d82de434f18be2a242e757d8250"/>
      <Part Type="punktas" Nr="116" Abbr="116 p." DocPartId="426018751d5146a5b6460616234b3b33" PartId="45970ecc9c5244a9a92770b96b78a226"/>
      <Part Type="punktas" Nr="117" Abbr="117 p." DocPartId="99f998b99d46436e88ba4a7b35e54eac" PartId="9785b19cc052440aa8cda3938994401b"/>
    </Part>
    <Part Type="skyrius" Nr="11" Title="BAIGIAMOSIOS NUOSTATOS" DocPartId="318a13832e4847a8974bf3e6085a41e6" PartId="36b33c01d0824b84b11da5a33801fd13">
      <Part Type="punktas" Nr="118" Abbr="118 p." DocPartId="f47d12939f2647d99a7efec10d99f20a" PartId="94f412e6e41f4b2db6f6915b996db4db"/>
    </Part>
    <Part Type="pabaiga" DocPartId="caf7cbff943a47929278b446fa64eca6" PartId="443698374cbf4e37b5d30c2a58f7cc48"/>
  </Part>
  <Part Type="priedas" Nr="1" Abbr="1 pr." Title="MAŽIAUSI LEIDŽIAMI PRIEŠGAISRINIAI ATSTUMAI TARP STATINIŲ" DocPartId="a0d1671d14ed4c8a8ef2ec2db29fe028" PartId="276b0321d7ff4dbd86651f2d66847ad0">
    <Part Type="punktas" Nr="1" Abbr="1 pr. 1 p." DocPartId="cf22258071414b51b9038c3a22981d8f" PartId="2f1b9a0b259944588af80739bcc501ea"/>
    <Part Type="punktas" Nr="2" Abbr="1 pr. 2 p." DocPartId="70264fe9e1644edab872cdd82c3136d9" PartId="ceafa6814ca7482fa35ae97251b98026"/>
    <Part Type="punktas" Nr="3" Abbr="1 pr. 3 p." DocPartId="3604407c578a4a27a6f0ec8d0bd537b1" PartId="b26322e76f3f4b2082a5b74c4e442c37"/>
    <Part Type="punktas" Nr="4" Abbr="1 pr. 4 p." DocPartId="be0bf7e56d974f0a87cd08d35e8e6878" PartId="af6f3ea33af042f3ad1809c99caf3597"/>
    <Part Type="punktas" Nr="5" Abbr="1 pr. 5 p." DocPartId="19d03d2ae7344d6d88249992389e7a1d" PartId="33b749416abe455fbed265b46211c0f9"/>
    <Part Type="punktas" Nr="6" Abbr="1 pr. 6 p." DocPartId="708e415f86714c03963f21278d39c89f" PartId="f598ca48e93646bf8d172250f410e06c"/>
  </Part>
  <Part Type="priedas" Nr="2" Abbr="2 pr." Title="ATSTUMAI TARP ĮVAIRAUS TIPO AUŠINTUVŲ IR TARP JŲ BEI KITOS PASKIRTIES STATINIŲ" DocPartId="e9c9bae7b9334cfeade4f810a73b0d11" PartId="44dde37bbcf944a2b1c9a4480c92742c">
    <Part Type="punktas" Nr="1" Abbr="2 pr. 1 p." DocPartId="a75e31142adc4a49a27a62d6b9170b38" PartId="7ac43ba7ac294c938d8251bc52a5526f"/>
    <Part Type="punktas" Nr="2" Abbr="2 pr. 2 p." DocPartId="b8bb033652c842149ffedc4eb20f3f56" PartId="af1918c8aa0d4dbfa59b36060df7eba4"/>
    <Part Type="punktas" Nr="3" Abbr="2 pr. 3 p." DocPartId="bfe7af3dcae6445498e74ec0737ebc6e" PartId="046617ac39344c92879d4d016044e7fd"/>
    <Part Type="punktas" Nr="4" Abbr="2 pr. 4 p." DocPartId="0918e3d88e4d4089a3b3b1f4a862849d" PartId="56423515cbf14f97afd4601a84892dc0"/>
    <Part Type="punktas" Nr="5" Abbr="2 pr. 5 p." DocPartId="12c8b601254b43deb09cd8b2e1bb5bef" PartId="03e140ce30454d098e148d8bef07a7b8"/>
    <Part Type="punktas" Nr="6" Abbr="2 pr. 6 p." DocPartId="6fb85a1026274f09895c3820e2503268" PartId="9c935d9271bd436593d3c1075ff515db"/>
    <Part Type="punktas" Nr="7" Abbr="2 pr. 7 p." DocPartId="90eb40f74b1446b7b7a4ce537f47615a" PartId="515644f450f744a2a95ea13786dcb5bd"/>
    <Part Type="punktas" Nr="8" Abbr="2 pr. 8 p." DocPartId="b71338339d9a4561adf2bab983d82803" PartId="d0c5f193e45f41d1a9344808046058d2"/>
    <Part Type="punktas" Nr="9" Abbr="2 pr. 9 p." DocPartId="197254a2ca3848fdbe7134373244609a" PartId="8d615867ed5844868d348bf0352acd03"/>
    <Part Type="punktas" Nr="10" Abbr="2 pr. 10 p." DocPartId="589c744c1f57419598584819027d420c" PartId="0f212f084bea44bcbc80e59cf5c803fa"/>
    <Part Type="punktas" Nr="11" Abbr="2 pr. 11 p." DocPartId="323fa3c00bc54d7f982c8d79d6de7c82" PartId="7ffa8cb9f0f246218016b9bdaef2212a"/>
    <Part Type="punktas" Nr="12" Abbr="2 pr. 12 p." DocPartId="b7c37cbac99e48e29ec8a5f815c18384" PartId="b56fc7fbb7ec453a946d54e979125edc"/>
    <Part Type="punktas" Nr="13" Abbr="2 pr. 13 p." DocPartId="027267b396d84dbfa8427f058f696d16" PartId="6e222953c6864a119ba178f70032e7fc"/>
  </Part>
  <Part Type="priedas" Nr="3" Abbr="3 pr." Title="ATSTUMAI TARP BORTO AR KELKRAŠČIO IKI STATINIŲ" DocPartId="2c9f4237a2924b7cb7197b92ed3bb3dc" PartId="957c441e390346259e06fb08645ebd94">
    <Part Type="punktas" Nr="1" Abbr="3 pr. 1 p." DocPartId="cb9bf92f5f19467aaa6816e81fa5dd98" PartId="321334d8b30f44a3b41116caf2b6e2fc"/>
    <Part Type="punktas" Nr="2" Abbr="3 pr. 2 p." DocPartId="de24f5f82a664d8fa4efc8e077d8a9ad" PartId="52b51800b81c4d61a3e7a1512bebcfcd"/>
    <Part Type="punktas" Nr="3" Abbr="3 pr. 3 p." DocPartId="ae41335e908d4584b0fad961383ed3dd" PartId="0091381d4edd497e9ac03ec862d23ec8"/>
    <Part Type="punktas" Nr="4" Abbr="3 pr. 4 p." DocPartId="a720e5322a5144ee80463267c3cc1c1c" PartId="a3a8483731914364bb966ace005903ff"/>
    <Part Type="punktas" Nr="5" Abbr="3 pr. 5 p." DocPartId="e6c1bb46418c487289fca606bc0be945" PartId="e1f93294bc774ab498be3fbfa5c2ee10"/>
  </Part>
  <Part Type="priedas" Nr="4" Abbr="4 pr." Title="ATSTUMAI NUO SKLYPO VIDAUS GELEŽINKELIO AŠIES IKI STATINIŲ ELEMENTŲ (išskyrus atvejus, nurodytus Reglamento 3 priede)" DocPartId="0da87ff93f7d4889aa1d80d2b756ed97" PartId="056b7a92269e4d08a920923509597d9d">
    <Part Type="punktas" Nr="1" Abbr="4 pr. 1 p." DocPartId="e4f55e98852243acac312ea800750434" PartId="4f51d10a3fae4ad3a438172ff39e2ef0"/>
    <Part Type="punktas" Nr="2" Abbr="4 pr. 2 p." DocPartId="f3519f2ad7e74124ae59a7be8dbd1965" PartId="a59be79be19444808bc14d220f65529f"/>
    <Part Type="punktas" Nr="3" Abbr="4 pr. 3 p." DocPartId="5e927256b26c494389ee6d70ed7de088" PartId="e5d338d116cc4ea5b72b590e76fce162"/>
    <Part Type="punktas" Nr="4" Abbr="4 pr. 4 p." DocPartId="5345dfe33f4a4115bfc4267dfa271c7e" PartId="0d03452c07f14d78b07e0f13088dc482"/>
    <Part Type="pabaiga" DocPartId="6aeddf19ce41452397b504e99e321a47" PartId="2176d65968ac41bd8adf629552354e0a"/>
  </Part>
  <Part Type="priedas" Nr="5" Abbr="5 pr." Title="HORIZONTALŪS ATSTUMAI (PROŠVAISOJE) TARP INŽINERINIŲ TINKLŲ IR STATINIŲ PAMATŲ, SUSISIEKIMO KOMUNIKACIJŲ, KITŲ INŽINERINIŲ STATINIŲ (1 IR 2 LENTELĖS)" DocPartId="eccec4a0ec7c47a1af21e205097ee0af" PartId="b7cf54d832b544519dbca0286c0ec6b5">
    <Part Type="lentele" Nr="1" DocPartId="1be2defd646a4e76a6764340f5228859" PartId="5c850e9729154cd282f5e5be0ecc27e2"/>
    <Part Type="lentele" Nr="2" DocPartId="4af4b807108c49dea05db106e82bb5b5" PartId="8cf6809c52f049109bf5e791d4f514f7"/>
    <Part Type="pastaba" DocPartId="ffff766d1d3e4441bcb4edabde7a6223" PartId="da8fab1f3f094161b09c18c5841c9b02">
      <Part Type="punktas" Nr="1" Abbr="1 pr. 1 p." DocPartId="f23350d635e344bcb70554412fe7e4aa" PartId="35aff604d7dd44989baa85761c5b3c82"/>
      <Part Type="punktas" Nr="2" Abbr="1 pr. 2 p." DocPartId="83c729f285af471698a160747a4f567b" PartId="c605579511f0427b8f97bfd75c3e44e3"/>
    </Part>
  </Part>
  <Part Type="priedas" Nr="6" Abbr="6 pr." Title="HORIZONTALŪS ATSTUMAI (PROŠVAISOJE) TARP INŽINERINIŲ TINKLŲ (1, 2, 3, 4 LENTELĖS)" DocPartId="651f37cca93c4de5b93a37d3bc728a19" PartId="4cfeb965f9ec4f92bf5e4a4b3933b22c">
    <Part Type="lentele" Nr="1" DocPartId="2dfa258ec0524da3b2e8734ed061ee70" PartId="f24e6b3b13bc49d786cd3db94ec2daf8"/>
    <Part Type="lentele" Nr="2" DocPartId="bbc3e52c061b4bd28eed50420bd329fa" PartId="9545d03812a945d3b4578cbcccb230f8"/>
    <Part Type="lentele" Nr="3" DocPartId="1b00c80e0ef34ad58cd2151fc90235a8" PartId="1642d83b8d2c4671814ac0ad5abe535e"/>
    <Part Type="lentele" Nr="4" DocPartId="e7d9db4726264751a556223f98c9a819" PartId="31c74edfc71a48bcb63d820184d64563"/>
    <Part Type="pastaba" DocPartId="5840d0f918f74685b98ea0a23b763ce2" PartId="c98c65b2aa984a3698c2bee388e936e9">
      <Part Type="punktas" Nr="1" Abbr="1 pr. 1 p." DocPartId="2d5b8ae9cb164dc6a1b39db5ba56ade7" PartId="a585d12424ff4391a6e4e698c9f5257d"/>
      <Part Type="punktas" Nr="2" Abbr="1 pr. 2 p." DocPartId="0747992ecb9f430dba1f1c36990fc7e9" PartId="695057b9e9ef432b934ae8a560eebba7"/>
    </Part>
  </Part>
  <Part Type="priedas" Nr="8" Abbr="8 pr." Title="ATSTUMAI TARP MEDŽIŲ IR KRŪMŲ, PASODINTŲ EILĖMIS" DocPartId="3115b1c83db544e3a06f7f892bc86f44" PartId="f72656c71c2b4323b07a88c480da657d"/>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E0EC792-B654-4C3E-805C-995F749CB3BB}">
  <ds:schemaRefs>
    <ds:schemaRef ds:uri="http://lrs.lt/TAIS/DocParts"/>
  </ds:schemaRefs>
</ds:datastoreItem>
</file>

<file path=customXml/itemProps2.xml><?xml version="1.0" encoding="utf-8"?>
<ds:datastoreItem xmlns:ds="http://schemas.openxmlformats.org/officeDocument/2006/customXml" ds:itemID="{605C3AE1-7A30-4011-BF5C-8F7D63746445}">
  <ds:schemaRefs>
    <ds:schemaRef ds:uri="http://schemas.openxmlformats.org/officeDocument/2006/bibliography"/>
  </ds:schemaRefs>
</ds:datastoreItem>
</file>

<file path=customXml/itemProps3.xml><?xml version="1.0" encoding="utf-8"?>
<ds:datastoreItem xmlns:ds="http://schemas.openxmlformats.org/officeDocument/2006/customXml" ds:itemID="{28775B20-603D-40D9-9884-5FE0ADC2C50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24</Pages>
  <Words>46719</Words>
  <Characters>26630</Characters>
  <Application>Microsoft Office Word</Application>
  <DocSecurity>0</DocSecurity>
  <Lines>221</Lines>
  <Paragraphs>146</Paragraphs>
  <ScaleCrop>false</ScaleCrop>
  <Company/>
  <LinksUpToDate>false</LinksUpToDate>
  <CharactersWithSpaces>73203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2017-08-25T06:40:00Z</dcterms:created>
  <dc:creator>User</dc:creator>
  <lastModifiedBy>Seimas</lastModifiedBy>
  <dcterms:modified xsi:type="dcterms:W3CDTF">2017-08-25T07:54:00Z</dcterms:modified>
  <revision>9</revision>
</coreProperties>
</file>