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B42DD484EF9C">
        <w:r w:rsidRPr="00532B9F">
          <w:rPr>
            <w:rFonts w:ascii="Times New Roman" w:eastAsia="MS Mincho" w:hAnsi="Times New Roman"/>
            <w:sz w:val="20"/>
            <w:i/>
            <w:iCs/>
            <w:color w:val="0000FF" w:themeColor="hyperlink"/>
            <w:u w:val="single"/>
          </w:rPr>
          <w:t>74-2688</w:t>
        </w:r>
      </w:fldSimple>
      <w:r>
        <w:rPr>
          <w:rFonts w:ascii="Times New Roman" w:eastAsia="MS Mincho" w:hAnsi="Times New Roman"/>
          <w:sz w:val="20"/>
          <w:i/>
          <w:iCs/>
        </w:rPr>
        <w:t>, i. k. 105301MISAK65/V-436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2F2F7EC848A9">
        <w:r w:rsidRPr="00532B9F">
          <w:rPr>
            <w:rFonts w:ascii="Times New Roman" w:eastAsia="MS Mincho" w:hAnsi="Times New Roman"/>
            <w:sz w:val="20"/>
            <w:i/>
            <w:iCs/>
            <w:color w:val="0000FF" w:themeColor="hyperlink"/>
            <w:u w:val="single"/>
          </w:rPr>
          <w:t>D1-803/V-1065</w:t>
        </w:r>
      </w:fldSimple>
      <w:r>
        <w:rPr>
          <w:rFonts w:ascii="Times New Roman" w:eastAsia="MS Mincho" w:hAnsi="Times New Roman"/>
          <w:sz w:val="20"/>
          <w:i/>
          <w:iCs/>
        </w:rPr>
        <w:t>,
2009-12-24,
Žin. 2009,
Nr.
157-7111 (2009-12-31), i. k. 109301MISAK3/V-1065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Aplinkos ministrAS</w:t>
      </w:r>
    </w:p>
    <w:p>
      <w:pPr>
        <w:keepLines/>
        <w:widowControl w:val="0"/>
        <w:suppressAutoHyphens/>
        <w:jc w:val="center"/>
        <w:rPr>
          <w:b/>
          <w:bCs/>
          <w:caps/>
          <w:color w:val="000000"/>
        </w:rPr>
      </w:pPr>
      <w:r>
        <w:rPr>
          <w:b/>
          <w:bCs/>
          <w:caps/>
          <w:color w:val="000000"/>
        </w:rPr>
        <w:t>LIETUVOS RESPUBLIKOS sveikatos apsaugos ministrAS</w:t>
      </w:r>
    </w:p>
    <w:p>
      <w:pPr>
        <w:keepLines/>
        <w:widowControl w:val="0"/>
        <w:suppressAutoHyphens/>
        <w:jc w:val="center"/>
        <w:rPr>
          <w:b/>
          <w:bCs/>
          <w:caps/>
          <w:color w:val="000000"/>
        </w:rPr>
      </w:pPr>
    </w:p>
    <w:p>
      <w:pPr>
        <w:keepLines/>
        <w:widowControl w:val="0"/>
        <w:suppressAutoHyphens/>
        <w:jc w:val="center"/>
        <w:rPr>
          <w:bCs/>
          <w:caps/>
          <w:color w:val="000000"/>
          <w:spacing w:val="60"/>
        </w:rPr>
      </w:pPr>
      <w:r>
        <w:rPr>
          <w:b/>
          <w:bCs/>
          <w:caps/>
          <w:color w:val="000000"/>
          <w:spacing w:val="60"/>
        </w:rPr>
        <w:t>ĮSAKYMAS</w:t>
      </w:r>
    </w:p>
    <w:p>
      <w:pPr>
        <w:keepLines/>
        <w:widowControl w:val="0"/>
        <w:suppressAutoHyphens/>
        <w:jc w:val="center"/>
        <w:rPr>
          <w:b/>
          <w:bCs/>
          <w:caps/>
          <w:color w:val="000000"/>
        </w:rPr>
      </w:pPr>
      <w:r>
        <w:rPr>
          <w:b/>
          <w:bCs/>
          <w:caps/>
          <w:color w:val="000000"/>
        </w:rPr>
        <w:t>DĖL visuomenės, suinteresuotų institucijų ir įstaigų informavimo apie aplinkos oro užterštumo lygius tvarkos aprašo patvirtinimo</w:t>
      </w:r>
    </w:p>
    <w:p>
      <w:pPr>
        <w:widowControl w:val="0"/>
        <w:suppressAutoHyphens/>
        <w:jc w:val="both"/>
        <w:rPr>
          <w:caps/>
          <w:color w:val="000000"/>
        </w:rPr>
      </w:pPr>
    </w:p>
    <w:p>
      <w:pPr>
        <w:widowControl w:val="0"/>
        <w:suppressAutoHyphens/>
        <w:jc w:val="center"/>
        <w:rPr>
          <w:caps/>
          <w:color w:val="000000"/>
        </w:rPr>
      </w:pPr>
      <w:r>
        <w:rPr>
          <w:color w:val="000000"/>
        </w:rPr>
        <w:t>2005 m. gegužės 26 d. Nr. D1-265/V-436</w:t>
      </w:r>
    </w:p>
    <w:p>
      <w:pPr>
        <w:widowControl w:val="0"/>
        <w:suppressAutoHyphens/>
        <w:jc w:val="center"/>
        <w:rPr>
          <w:caps/>
          <w:color w:val="000000"/>
        </w:rPr>
      </w:pPr>
      <w:r>
        <w:rPr>
          <w:color w:val="000000"/>
        </w:rPr>
        <w:t>Vilnius</w:t>
      </w:r>
    </w:p>
    <w:p>
      <w:pPr>
        <w:widowControl w:val="0"/>
        <w:suppressAutoHyphens/>
        <w:jc w:val="center"/>
        <w:rPr>
          <w:caps/>
          <w:color w:val="000000"/>
        </w:rPr>
      </w:pPr>
    </w:p>
    <w:p>
      <w:pPr>
        <w:widowControl w:val="0"/>
        <w:suppressAutoHyphens/>
        <w:jc w:val="both"/>
        <w:rPr>
          <w:caps/>
          <w:color w:val="000000"/>
        </w:rPr>
      </w:pPr>
    </w:p>
    <w:p>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Vadovaudamiesi Lietuvos Respublikos aplinkos oro apsaugos</w:t>
      </w:r>
      <w:r>
        <w:rPr>
          <w:rFonts w:ascii="Courier New" w:hAnsi="Courier New" w:cs="Courier New"/>
          <w:sz w:val="20"/>
          <w:lang w:eastAsia="lt-LT"/>
        </w:rPr>
        <w:t xml:space="preserve"> </w:t>
      </w:r>
      <w:r>
        <w:rPr>
          <w:szCs w:val="24"/>
          <w:lang w:eastAsia="lt-LT"/>
        </w:rPr>
        <w:t>įstatymo 4</w:t>
      </w:r>
      <w:r>
        <w:rPr>
          <w:rFonts w:ascii="Courier New" w:hAnsi="Courier New" w:cs="Courier New"/>
          <w:sz w:val="20"/>
          <w:lang w:eastAsia="lt-LT"/>
        </w:rPr>
        <w:t xml:space="preserve"> </w:t>
      </w:r>
      <w:r>
        <w:rPr>
          <w:szCs w:val="24"/>
          <w:lang w:eastAsia="lt-LT"/>
        </w:rPr>
        <w:t>straipsnio 1 dalimi ir 9 straipsniu ir siekdami užtikrinti, kad</w:t>
      </w:r>
      <w:r>
        <w:rPr>
          <w:rFonts w:ascii="Courier New" w:hAnsi="Courier New" w:cs="Courier New"/>
          <w:sz w:val="20"/>
          <w:lang w:eastAsia="lt-LT"/>
        </w:rPr>
        <w:t xml:space="preserve"> </w:t>
      </w:r>
      <w:r>
        <w:rPr>
          <w:szCs w:val="24"/>
          <w:lang w:eastAsia="lt-LT"/>
        </w:rPr>
        <w:t>pagal Informacijos apie aplinką Lietuvos Respublikoje teikimo</w:t>
      </w:r>
      <w:r>
        <w:rPr>
          <w:rFonts w:ascii="Courier New" w:hAnsi="Courier New" w:cs="Courier New"/>
          <w:sz w:val="20"/>
          <w:lang w:eastAsia="lt-LT"/>
        </w:rPr>
        <w:t xml:space="preserve"> </w:t>
      </w:r>
      <w:r>
        <w:rPr>
          <w:szCs w:val="24"/>
          <w:lang w:eastAsia="lt-LT"/>
        </w:rPr>
        <w:t>visuomenei tvarkos aprašo, patvirtinto Lietuvos Respublikos</w:t>
      </w:r>
      <w:r>
        <w:rPr>
          <w:rFonts w:ascii="Courier New" w:hAnsi="Courier New" w:cs="Courier New"/>
          <w:sz w:val="20"/>
          <w:lang w:eastAsia="lt-LT"/>
        </w:rPr>
        <w:t xml:space="preserve"> </w:t>
      </w:r>
      <w:r>
        <w:rPr>
          <w:szCs w:val="24"/>
          <w:lang w:eastAsia="lt-LT"/>
        </w:rPr>
        <w:t>Vyriausybės 1999 m. spalio 22 d. nutarimu Nr. 1175 „Dėl Informacijos apie aplinką Lietuvos Respublikoje teikimo visuomenei tvarkos aprašo patvirtinimo“, 22.4 ir 22.5 papunkčius</w:t>
      </w:r>
      <w:r>
        <w:rPr>
          <w:rFonts w:ascii="Courier New" w:hAnsi="Courier New" w:cs="Courier New"/>
          <w:sz w:val="20"/>
          <w:lang w:eastAsia="lt-LT"/>
        </w:rPr>
        <w:t xml:space="preserve"> </w:t>
      </w:r>
      <w:r>
        <w:rPr>
          <w:szCs w:val="24"/>
          <w:lang w:eastAsia="lt-LT"/>
        </w:rPr>
        <w:t>teikiama visuomenei informacija apie aplinkos oro užterštumo</w:t>
      </w:r>
      <w:r>
        <w:rPr>
          <w:rFonts w:ascii="Courier New" w:hAnsi="Courier New" w:cs="Courier New"/>
          <w:sz w:val="20"/>
          <w:lang w:eastAsia="lt-LT"/>
        </w:rPr>
        <w:t xml:space="preserve"> </w:t>
      </w:r>
      <w:r>
        <w:rPr>
          <w:szCs w:val="24"/>
          <w:lang w:eastAsia="lt-LT"/>
        </w:rPr>
        <w:t>lygius atitiktų 2008 m. gegužės 21 d. Europos Parlamento ir</w:t>
      </w:r>
      <w:r>
        <w:rPr>
          <w:rFonts w:ascii="Courier New" w:hAnsi="Courier New" w:cs="Courier New"/>
          <w:sz w:val="20"/>
          <w:lang w:eastAsia="lt-LT"/>
        </w:rPr>
        <w:t xml:space="preserve"> </w:t>
      </w:r>
      <w:r>
        <w:rPr>
          <w:szCs w:val="24"/>
          <w:lang w:eastAsia="lt-LT"/>
        </w:rPr>
        <w:t>Tarybos direktyvos 2008/50/EB dėl aplinkos oro kokybės ir</w:t>
      </w:r>
      <w:r>
        <w:rPr>
          <w:rFonts w:ascii="Courier New" w:hAnsi="Courier New" w:cs="Courier New"/>
          <w:sz w:val="20"/>
          <w:lang w:eastAsia="lt-LT"/>
        </w:rPr>
        <w:t xml:space="preserve"> </w:t>
      </w:r>
      <w:r>
        <w:rPr>
          <w:szCs w:val="24"/>
          <w:lang w:eastAsia="lt-LT"/>
        </w:rPr>
        <w:t>švaresnio oro Europoje (OL 2008 L 152, p. 1)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16B4365CB2">
        <w:r w:rsidRPr="00532B9F">
          <w:rPr>
            <w:rFonts w:ascii="Times New Roman" w:eastAsia="MS Mincho" w:hAnsi="Times New Roman"/>
            <w:sz w:val="20"/>
            <w:i/>
            <w:iCs/>
            <w:color w:val="0000FF" w:themeColor="hyperlink"/>
            <w:u w:val="single"/>
          </w:rPr>
          <w:t>D1-584/V-610</w:t>
        </w:r>
      </w:fldSimple>
      <w:r>
        <w:rPr>
          <w:rFonts w:ascii="Times New Roman" w:eastAsia="MS Mincho" w:hAnsi="Times New Roman"/>
          <w:sz w:val="20"/>
          <w:i/>
          <w:iCs/>
        </w:rPr>
        <w:t>,
2010-07-07,
Žin., 2010, Nr.
82-4363 (2010-07-13), i. k. 110301MISAK84/V-610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widowControl w:val="0"/>
        <w:suppressAutoHyphens/>
        <w:ind w:firstLine="567"/>
        <w:jc w:val="both"/>
        <w:rPr>
          <w:color w:val="000000"/>
        </w:rPr>
      </w:pPr>
      <w:r>
        <w:rPr>
          <w:color w:val="000000"/>
        </w:rPr>
        <w:t>1</w:t>
      </w:r>
      <w:r>
        <w:rPr>
          <w:color w:val="000000"/>
        </w:rPr>
        <w:t>. T v i r t i n a m e Visuomenės, suinteresuotų institucijų ir įstaigų informavimo apie aplinkos oro užterštumo lygius tvarkos aprašą</w:t>
      </w:r>
      <w:r>
        <w:rPr>
          <w:b/>
          <w:bCs/>
          <w:caps/>
          <w:color w:val="000000"/>
        </w:rPr>
        <w:t xml:space="preserve"> </w:t>
      </w:r>
      <w:r>
        <w:rPr>
          <w:color w:val="000000"/>
        </w:rPr>
        <w:t>(toliau – Tvarkos aprašas) (pridedama).</w:t>
      </w:r>
    </w:p>
    <w:p>
      <w:pPr>
        <w:widowControl w:val="0"/>
        <w:suppressAutoHyphens/>
        <w:ind w:firstLine="567"/>
        <w:jc w:val="both"/>
        <w:rPr>
          <w:color w:val="000000"/>
        </w:rPr>
      </w:pPr>
      <w:r>
        <w:rPr>
          <w:color w:val="000000"/>
        </w:rPr>
        <w:t>2</w:t>
      </w:r>
      <w:r>
        <w:rPr>
          <w:color w:val="000000"/>
        </w:rPr>
        <w:t>. N u s t a t o m e, kad Tvarkos aprašas įsigalioja nuo 2010 m. sausio 1 d.</w:t>
      </w:r>
    </w:p>
    <w:p>
      <w:pPr>
        <w:widowControl w:val="0"/>
        <w:suppressAutoHyphens/>
        <w:ind w:firstLine="567"/>
        <w:jc w:val="both"/>
      </w:pPr>
      <w:r>
        <w:rPr>
          <w:color w:val="000000"/>
        </w:rPr>
        <w:t>3</w:t>
      </w:r>
      <w:r>
        <w:rPr>
          <w:color w:val="000000"/>
        </w:rPr>
        <w:t>. P a v e d a m e įsakymo vykdymo kontrolę Aplinkos ministerijos ir Sveikatos apsaugos ministerijos viceministrams, kuruojantiems visuomenės informavimo sritį.</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rPr>
          <w:color w:val="000000"/>
          <w:szCs w:val="22"/>
        </w:rPr>
      </w:pPr>
      <w:r>
        <w:t>SVEIKATOS APSAUGOS MINISTRAS</w:t>
        <w:tab/>
        <w:t>ŽILVINAS PADAIGA</w:t>
      </w:r>
    </w:p>
    <w:p>
      <w:pPr>
        <w:keepLines/>
        <w:widowControl w:val="0"/>
        <w:suppressAutoHyphens/>
        <w:ind w:firstLine="5102"/>
      </w:pPr>
      <w: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Lietuvos Respublikos aplinkos ministro</w:t>
      </w:r>
    </w:p>
    <w:p>
      <w:pPr>
        <w:keepLines/>
        <w:widowControl w:val="0"/>
        <w:suppressAutoHyphens/>
        <w:ind w:firstLine="5102"/>
        <w:rPr>
          <w:color w:val="000000"/>
        </w:rPr>
      </w:pPr>
      <w:r>
        <w:rPr>
          <w:color w:val="000000"/>
        </w:rPr>
        <w:t xml:space="preserve">ir Lietuvos Respublikos sveikatos </w:t>
      </w:r>
    </w:p>
    <w:p>
      <w:pPr>
        <w:keepLines/>
        <w:widowControl w:val="0"/>
        <w:suppressAutoHyphens/>
        <w:ind w:firstLine="5102"/>
        <w:rPr>
          <w:color w:val="000000"/>
        </w:rPr>
      </w:pPr>
      <w:r>
        <w:rPr>
          <w:color w:val="000000"/>
        </w:rPr>
        <w:t xml:space="preserve">apsaugos ministro 2005 m. gegužės 26 d. </w:t>
      </w:r>
    </w:p>
    <w:p>
      <w:pPr>
        <w:keepLines/>
        <w:widowControl w:val="0"/>
        <w:suppressAutoHyphens/>
        <w:ind w:firstLine="5102"/>
        <w:rPr>
          <w:color w:val="000000"/>
        </w:rPr>
      </w:pPr>
      <w:r>
        <w:rPr>
          <w:color w:val="000000"/>
        </w:rPr>
        <w:t>įsakymu Nr. D1-265/V-436</w:t>
      </w:r>
    </w:p>
    <w:p>
      <w:pPr>
        <w:keepLines/>
        <w:widowControl w:val="0"/>
        <w:suppressAutoHyphens/>
        <w:ind w:firstLine="5102"/>
        <w:rPr>
          <w:color w:val="000000"/>
        </w:rPr>
      </w:pPr>
      <w:r>
        <w:rPr>
          <w:color w:val="000000"/>
        </w:rPr>
        <w:t>(Lietuvos Respublikos aplinkos ministro</w:t>
      </w:r>
    </w:p>
    <w:p>
      <w:pPr>
        <w:keepLines/>
        <w:widowControl w:val="0"/>
        <w:suppressAutoHyphens/>
        <w:ind w:firstLine="5102"/>
        <w:rPr>
          <w:color w:val="000000"/>
        </w:rPr>
      </w:pPr>
      <w:r>
        <w:rPr>
          <w:color w:val="000000"/>
        </w:rPr>
        <w:t xml:space="preserve">ir Lietuvos Respublikos sveikatos </w:t>
      </w:r>
    </w:p>
    <w:p>
      <w:pPr>
        <w:keepLines/>
        <w:widowControl w:val="0"/>
        <w:suppressAutoHyphens/>
        <w:ind w:firstLine="5102"/>
        <w:rPr>
          <w:color w:val="000000"/>
        </w:rPr>
      </w:pPr>
      <w:r>
        <w:rPr>
          <w:color w:val="000000"/>
        </w:rPr>
        <w:t xml:space="preserve">apsaugos ministro </w:t>
      </w:r>
    </w:p>
    <w:p>
      <w:pPr>
        <w:keepLines/>
        <w:widowControl w:val="0"/>
        <w:suppressAutoHyphens/>
        <w:ind w:firstLine="5102"/>
        <w:rPr>
          <w:color w:val="000000"/>
        </w:rPr>
      </w:pPr>
      <w:r>
        <w:rPr>
          <w:color w:val="000000"/>
        </w:rPr>
        <w:t xml:space="preserve">2009 m. gruodžio 24 d. </w:t>
      </w:r>
    </w:p>
    <w:p>
      <w:pPr>
        <w:keepLines/>
        <w:widowControl w:val="0"/>
        <w:suppressAutoHyphens/>
        <w:ind w:firstLine="5102"/>
        <w:rPr>
          <w:color w:val="000000"/>
        </w:rPr>
      </w:pPr>
      <w:r>
        <w:rPr>
          <w:color w:val="000000"/>
        </w:rPr>
        <w:t>įsakymo Nr. D1-803/V-1065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visuomenės, suinteresuotų institucijų ir įstaigų informavimo apie aplinkos oro užterštumo lygius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skyrius</w:t>
        <w:br/>
      </w: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widowControl w:val="0"/>
        <w:suppressAutoHyphens/>
        <w:ind w:firstLine="567"/>
        <w:jc w:val="both"/>
        <w:rPr>
          <w:color w:val="000000"/>
        </w:rPr>
      </w:pPr>
      <w:r>
        <w:rPr>
          <w:color w:val="000000"/>
        </w:rPr>
        <w:t>1</w:t>
      </w:r>
      <w:r>
        <w:rPr>
          <w:color w:val="000000"/>
        </w:rPr>
        <w:t>. Visuomenės, suinteresuotų institucijų ir įstaigų informavimo apie aplinkos oro užterštumo lygius tvarkos aprašas (toliau – Tvarkos aprašas) nustato veiksmus, kurių turi imtis šiame Tvarkos apraše nurodytos institucijos, siekdamos tinkamai informuoti apie aplinkos oro užterštumo lygį.</w:t>
      </w:r>
    </w:p>
    <w:p>
      <w:pPr>
        <w:widowControl w:val="0"/>
        <w:suppressAutoHyphens/>
        <w:ind w:firstLine="567"/>
        <w:jc w:val="both"/>
        <w:rPr>
          <w:color w:val="000000"/>
        </w:rPr>
      </w:pPr>
      <w:r>
        <w:rPr>
          <w:color w:val="000000"/>
        </w:rPr>
        <w:t>2</w:t>
      </w:r>
      <w:r>
        <w:rPr>
          <w:color w:val="000000"/>
        </w:rPr>
        <w:t>. Informacija apie aplinkos oro užterštumo lygį turi būti tiksli, išsami, reguliariai atnaujinama, nemokama.</w:t>
      </w:r>
    </w:p>
    <w:p>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w:t>
      </w:r>
      <w:r>
        <w:rPr>
          <w:szCs w:val="24"/>
          <w:lang w:eastAsia="lt-LT"/>
        </w:rPr>
        <w:t>. Tvarkos apraše vartojamos sąvokos atitinka Aplinkos oro užterštumo sieros dioksidu, azoto dioksidu, azoto oksidais, benzenu, anglies monoksidu, švinu, kietosiomis dalelėmis ir ozonu normose, patvirtintose Lietuvos Respublikos aplinkos ministro ir Lietuvos Respublikos sveikatos apsaugos ministro 2001 m. gruodžio 11 d. įsakymu Nr. 591/640 „Dėl aplinkos oro užterštumo sieros dioksidu, azoto dioksidu, azoto oksidais, benzenu, anglies monoksidu, švinu, kietosiomis dalelėmis ir ozonu normų nustatymo</w:t>
      </w:r>
      <w:r>
        <w:rPr>
          <w:szCs w:val="24"/>
        </w:rPr>
        <w:t xml:space="preserve">“ </w:t>
      </w:r>
      <w:r>
        <w:rPr>
          <w:szCs w:val="24"/>
          <w:lang w:eastAsia="lt-LT"/>
        </w:rPr>
        <w:t>(toliau – Aplinkos oro užterštumo normos),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keepLines/>
        <w:widowControl w:val="0"/>
        <w:suppressAutoHyphens/>
        <w:jc w:val="center"/>
        <w:rPr>
          <w:b/>
          <w:bCs/>
          <w:caps/>
          <w:color w:val="000000"/>
        </w:rPr>
      </w:pPr>
      <w:r>
        <w:rPr>
          <w:b/>
          <w:bCs/>
          <w:caps/>
          <w:color w:val="000000"/>
        </w:rPr>
        <w:t>II</w:t>
      </w:r>
      <w:r>
        <w:rPr>
          <w:b/>
          <w:bCs/>
          <w:caps/>
          <w:color w:val="000000"/>
        </w:rPr>
        <w:t>. skyrius</w:t>
        <w:br/>
      </w:r>
      <w:r>
        <w:rPr>
          <w:b/>
          <w:bCs/>
          <w:caps/>
          <w:color w:val="000000"/>
        </w:rPr>
        <w:t xml:space="preserve">VISUOMENĖS, SUINTERESUOTŲ INSTITUCIJŲ IR ĮSTAIGŲ INFORMAVIMAS APIE APLINKOS ORO UŽTERŠTUMO LYGĮ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ind w:firstLine="567"/>
        <w:jc w:val="both"/>
        <w:rPr>
          <w:color w:val="000000"/>
        </w:rPr>
      </w:pPr>
      <w:r>
        <w:rPr>
          <w:rFonts w:eastAsia="Calibri"/>
          <w:szCs w:val="24"/>
        </w:rPr>
        <w:t>4</w:t>
      </w:r>
      <w:r>
        <w:rPr>
          <w:rFonts w:eastAsia="Calibri"/>
          <w:szCs w:val="24"/>
        </w:rPr>
        <w:t xml:space="preserve">. </w:t>
      </w:r>
      <w:r>
        <w:rPr>
          <w:rFonts w:eastAsia="Calibri"/>
          <w:szCs w:val="22"/>
        </w:rPr>
        <w:t>Informacijos apie aplinkos oro užterštumo sieros dioksidu, azoto dioksidu, azoto oksidais, benzenu, anglies monoksidu, švinu, kietosiomis dalelėmis (KD</w:t>
      </w:r>
      <w:r>
        <w:rPr>
          <w:rFonts w:eastAsia="Calibri"/>
          <w:szCs w:val="22"/>
          <w:vertAlign w:val="subscript"/>
        </w:rPr>
        <w:t>10</w:t>
      </w:r>
      <w:r>
        <w:rPr>
          <w:rFonts w:eastAsia="Calibri"/>
          <w:szCs w:val="22"/>
        </w:rPr>
        <w:t xml:space="preserve"> ir KD</w:t>
      </w:r>
      <w:r>
        <w:rPr>
          <w:rFonts w:eastAsia="Calibri"/>
          <w:szCs w:val="22"/>
          <w:vertAlign w:val="subscript"/>
        </w:rPr>
        <w:t>2,5</w:t>
      </w:r>
      <w:r>
        <w:rPr>
          <w:rFonts w:eastAsia="Calibri"/>
          <w:szCs w:val="22"/>
        </w:rPr>
        <w:t>) ir ozonu lygį, nustatytą vadovaujantis Aplinkos oro kokybės vertinimo tvarkos aprašu, patvirtintu Lietuvos Respublikos aplinkos ministro 2001 m. gruodžio 12 d. įsakymu Nr. 596 „Dėl Aplinkos oro kokybės vertinimo tvarkos aprašo patvirtinimo“ (toliau – Aplinkos oro kokybės vertinimo taisyklės), reguliarų teikimą visuomenei, suinteresuotoms institucijoms ir įstaigoms organizuoja ir ją teikia Aplinkos apsaugos agentūra (toliau – AAA).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widowControl w:val="0"/>
        <w:suppressAutoHyphens/>
        <w:ind w:firstLine="567"/>
        <w:jc w:val="both"/>
        <w:rPr>
          <w:color w:val="000000"/>
        </w:rPr>
      </w:pPr>
      <w:r>
        <w:rPr>
          <w:color w:val="000000"/>
        </w:rPr>
        <w:t>5</w:t>
      </w:r>
      <w:r>
        <w:rPr>
          <w:color w:val="000000"/>
        </w:rPr>
        <w:t>. Apie aplinkos oro užterštumo lygį informuojama internete, per radiją ir (ar) televiziją, ir (ar) spaudą, ir (ar) leidiniuose, ir (ar) kt. viešąsias telekomunikacijų priemones.</w:t>
      </w:r>
    </w:p>
    <w:p>
      <w:pPr>
        <w:widowControl w:val="0"/>
        <w:suppressAutoHyphens/>
        <w:ind w:firstLine="567"/>
        <w:jc w:val="both"/>
        <w:rPr>
          <w:color w:val="000000"/>
        </w:rPr>
      </w:pPr>
      <w:r>
        <w:rPr>
          <w:color w:val="000000"/>
        </w:rPr>
        <w:t>6</w:t>
      </w:r>
      <w:r>
        <w:rPr>
          <w:color w:val="000000"/>
        </w:rPr>
        <w:t>. Informacija apie aplinkos oro užterštumo sieros dioksidu, azoto dioksidu, kietosiomis dalelėmis (bent KD</w:t>
      </w:r>
      <w:r>
        <w:rPr>
          <w:color w:val="000000"/>
          <w:vertAlign w:val="subscript"/>
        </w:rPr>
        <w:t>10</w:t>
      </w:r>
      <w:r>
        <w:rPr>
          <w:color w:val="000000"/>
        </w:rPr>
        <w:t>), ozonu ir anglies monoksidu lygį turi būti atnaujinama kiekvieną dieną, o kai įmanoma – kas valandą. Informacija apie aplinkos oro užterštumo švinu ir benzenu lygį, nurodant paskutinių 12 mėnesių vidutinę vertę, turi būti pateikiama kas trys mėnesiai (esant galimybei – kas mėnesį).</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Pr>
          <w:szCs w:val="24"/>
          <w:lang w:eastAsia="lt-LT"/>
        </w:rPr>
        <w:t xml:space="preserve">.  Aplinkos oro užterštumo normose nustatytų normų viršijimo atvejais informacija apie teršalų koncentraciją aplinkos ore papildomai (tiesiogiai el. paštu) teikiama:</w:t>
      </w:r>
    </w:p>
    <w:p>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7.1</w:t>
      </w:r>
      <w:r>
        <w:rPr>
          <w:szCs w:val="24"/>
          <w:lang w:eastAsia="lt-LT"/>
        </w:rPr>
        <w:t>. Aplinkos ministerijai;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7.2</w:t>
      </w:r>
      <w:r>
        <w:rPr>
          <w:szCs w:val="24"/>
          <w:lang w:eastAsia="lt-LT"/>
        </w:rPr>
        <w:t>. atitinkamos savivaldybės administracijai;</w:t>
      </w:r>
    </w:p>
    <w:p>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7.3</w:t>
      </w:r>
      <w:r>
        <w:rPr>
          <w:szCs w:val="24"/>
          <w:lang w:eastAsia="lt-LT"/>
        </w:rPr>
        <w:t>. Sveikatos apsaugos ministerijai;</w:t>
      </w:r>
    </w:p>
    <w:p>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7.4</w:t>
      </w:r>
      <w:r>
        <w:rPr>
          <w:szCs w:val="24"/>
          <w:lang w:eastAsia="lt-LT"/>
        </w:rPr>
        <w:t>. Nacionaliniam visuomenės sveikatos centrui prie Sveikatos apsaugos ministerijos (toliau – Nacionalinis visuomenės sveikatos centras);</w:t>
      </w:r>
    </w:p>
    <w:p>
      <w:pPr>
        <w:ind w:firstLine="567"/>
        <w:jc w:val="both"/>
        <w:rPr>
          <w:strike/>
          <w:szCs w:val="24"/>
          <w:lang w:eastAsia="lt-LT"/>
        </w:rPr>
      </w:pPr>
      <w:r>
        <w:rPr>
          <w:rFonts w:eastAsia="Calibri"/>
          <w:szCs w:val="22"/>
        </w:rPr>
        <w:t>7.5</w:t>
      </w:r>
      <w:r>
        <w:rPr>
          <w:rFonts w:eastAsia="Calibri"/>
          <w:szCs w:val="22"/>
        </w:rPr>
        <w:t>. Aplinkos apsaugos departamentui prie Aplinkos ministerijos (toliau –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tabs>
          <w:tab w:val="left" w:pos="284"/>
          <w:tab w:val="left" w:pos="426"/>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7.6</w:t>
      </w:r>
      <w:r>
        <w:rPr>
          <w:szCs w:val="24"/>
          <w:lang w:eastAsia="lt-LT"/>
        </w:rPr>
        <w:t>. Priešgaisrinės apsaugos ir gelbėjimo departamentui prie Vidaus reikalų ministerijos (toliau – PAGD);</w:t>
      </w:r>
    </w:p>
    <w:p>
      <w:pPr>
        <w:tabs>
          <w:tab w:val="left" w:pos="709"/>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7.7</w:t>
      </w:r>
      <w:r>
        <w:rPr>
          <w:szCs w:val="24"/>
          <w:lang w:eastAsia="lt-LT"/>
        </w:rPr>
        <w:t>. suinteresuotoms organizacijoms, kurios susijusios su vartotojų apsauga, organizacijoms, kurios atstovauja pažeidžiamų gyventojų grupių interesams, kitoms panašioms sveikatos priežiūros organizacijoms, susijusioms pramonės federacijoms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8</w:t>
      </w:r>
      <w:r>
        <w:rPr>
          <w:szCs w:val="24"/>
          <w:lang w:eastAsia="lt-LT"/>
        </w:rPr>
        <w:t>. 7.7 papunktyje nurodytos organizacijos, suinteresuotos aplinkos oro užterštumo normų viršijimo atvejais gauti informaciją, turi raštu pranešti AAA el. pašto adresą (-us), kuriuo (-iais) pageidauja gauti informaciją. Kitoms 7 punkte nurodytoms institucijoms ir įstaigoms informacija siunčiama bendruoju el. pašto adresu, jei institucijos ir įstaigos nenurodo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widowControl w:val="0"/>
        <w:suppressAutoHyphens/>
        <w:ind w:firstLine="567"/>
        <w:jc w:val="both"/>
        <w:rPr>
          <w:color w:val="000000"/>
        </w:rPr>
      </w:pPr>
      <w:r>
        <w:rPr>
          <w:color w:val="000000"/>
        </w:rPr>
        <w:t>9</w:t>
      </w:r>
      <w:r>
        <w:rPr>
          <w:color w:val="000000"/>
        </w:rPr>
        <w:t>. Teršalo koncentracijos lygis aplinkos ore pateikiamas kaip vidutinė vertė per vidurkinimo laikotarpį, nurodytą atitinkamame Aplinkos oro užterštumo normų priede. Teikiant informaciją nurodomi visi aplinkos oro užterštumo normas, įskaitant ir ribinę vertę, siektinę vertę, pavojaus slenkstį, informavimo slenkstį arba ilgalaikį tikslą viršijantys užterštumo lygiai.</w:t>
      </w:r>
    </w:p>
    <w:p>
      <w:pPr>
        <w:widowControl w:val="0"/>
        <w:suppressAutoHyphens/>
        <w:ind w:firstLine="567"/>
        <w:jc w:val="both"/>
        <w:rPr>
          <w:color w:val="000000"/>
        </w:rPr>
      </w:pPr>
      <w:r>
        <w:rPr>
          <w:color w:val="000000"/>
        </w:rPr>
        <w:t>10</w:t>
      </w:r>
      <w:r>
        <w:rPr>
          <w:color w:val="000000"/>
        </w:rPr>
        <w:t>. Informuojant pateikiamas trumpas aplinkos oro užterštumo lygio atitikimo Aplinkos oro užterštumo normų 1–8 prieduose nustatytoms normoms vertinimas ir informacija apie poveikį sveikatai arba, tam tikrais atvejais, augmenijai.</w:t>
      </w:r>
    </w:p>
    <w:p>
      <w:pPr>
        <w:ind w:firstLine="567"/>
        <w:jc w:val="both"/>
        <w:rPr>
          <w:color w:val="000000"/>
        </w:rPr>
      </w:pPr>
      <w:r>
        <w:rPr>
          <w:rFonts w:eastAsia="Calibri"/>
          <w:szCs w:val="24"/>
        </w:rPr>
        <w:t>11</w:t>
      </w:r>
      <w:r>
        <w:rPr>
          <w:rFonts w:eastAsia="Calibri"/>
          <w:szCs w:val="24"/>
        </w:rPr>
        <w:t>.</w:t>
      </w:r>
      <w:r>
        <w:rPr>
          <w:rFonts w:eastAsia="Calibri"/>
          <w:color w:val="000000"/>
          <w:szCs w:val="22"/>
        </w:rPr>
        <w:t xml:space="preserve"> </w:t>
      </w:r>
      <w:r>
        <w:rPr>
          <w:color w:val="000000"/>
          <w:szCs w:val="24"/>
          <w:lang w:eastAsia="lt-LT"/>
        </w:rPr>
        <w:t>AAA kasmet, ne vėliau kaip iki gegužės 1 d., savivaldybėms, AAD, Aplinkos ministerijai ir Sveikatos apsaugos ministerijai išsiunčia ir visuomenei savo interneto svetainėje paskelbia metines ataskaitas apie praėjusių kalendorinių metų aplinkos oro užterštumo lygį visais Aplinkos oro užterštumo normose apibrėžtais teršalais. Kai kurioje nors teritorijoje nustatytas aplinkos oro užterštumo lygis tam tikru teršalu viršija ribinę arba siektiną vertę, informacija apie nustatytus viršijimus atitinkamai savivaldybei pateikiama ne vėliau kaip iki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widowControl w:val="0"/>
        <w:suppressAutoHyphens/>
        <w:ind w:firstLine="567"/>
        <w:jc w:val="both"/>
        <w:rPr>
          <w:color w:val="000000"/>
        </w:rPr>
      </w:pPr>
      <w:r>
        <w:rPr>
          <w:color w:val="000000"/>
        </w:rPr>
        <w:t>12</w:t>
      </w:r>
      <w:r>
        <w:rPr>
          <w:color w:val="000000"/>
        </w:rPr>
        <w:t>. 11 punkte nurodytose ataskaitose privaloma informuoti apie normas viršijusius užterštumo lygius atitinkamais vidurkinimo laikotarpiais. Su šia informacija turi būti pateikiamas apibendrintas tokio aplinkos oro užterštumo lygio poveikio įvertinimas. Tam tikrais atvejais gali būti pateikiama informacija ir vertinimai apie miškų apsaugą, informacija apie tam tikras pirmtakų (prekursorių) medžiagas, nurodytas Aplinkos oro kokybės vertinimo taisyklėse.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skyrius</w:t>
        <w:br/>
      </w:r>
      <w:r>
        <w:rPr>
          <w:b/>
          <w:bCs/>
          <w:caps/>
          <w:color w:val="000000"/>
        </w:rPr>
        <w:t xml:space="preserve">ATSAKINGŲ INSTITUCIJŲ VEIKSMAI, KAI VIRŠIJAMAS PAVOJAUS SLENKSTIS AR INFORMAVIMO SLENKSTIS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10992"/>
          <w:tab w:val="left" w:pos="11908"/>
          <w:tab w:val="left" w:pos="12824"/>
          <w:tab w:val="left" w:pos="13740"/>
          <w:tab w:val="left" w:pos="14656"/>
        </w:tabs>
        <w:ind w:firstLine="567"/>
        <w:jc w:val="both"/>
        <w:rPr>
          <w:szCs w:val="24"/>
          <w:lang w:eastAsia="lt-LT"/>
        </w:rPr>
      </w:pPr>
      <w:r>
        <w:rPr>
          <w:rFonts w:eastAsia="Calibri"/>
          <w:szCs w:val="22"/>
        </w:rPr>
        <w:t>13</w:t>
      </w:r>
      <w:r>
        <w:rPr>
          <w:rFonts w:eastAsia="Calibri"/>
          <w:szCs w:val="22"/>
        </w:rPr>
        <w:t>. AAA, nustačiusi, kad nors vieno iš Aplinkos oro užterštumo normose nurodyto teršalo koncentracija tris valandas iš eilės viršija arba kyla grėsmė viršyti nustatytą sieros dioksido, azoto dioksido ar ozono pavojaus slenkstį arba ozono informavimo slenkstį: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Pr>
        <w:ind w:firstLine="567"/>
        <w:jc w:val="both"/>
        <w:rPr>
          <w:szCs w:val="24"/>
          <w:lang w:eastAsia="lt-LT"/>
        </w:rPr>
      </w:pPr>
      <w:r>
        <w:rPr>
          <w:rFonts w:eastAsia="Calibri"/>
          <w:szCs w:val="22"/>
        </w:rPr>
        <w:t>13.1</w:t>
      </w:r>
      <w:r>
        <w:rPr>
          <w:rFonts w:eastAsia="Calibri"/>
          <w:szCs w:val="22"/>
        </w:rPr>
        <w:t xml:space="preserve">. nedelsiant informuoja apie tai visuomenę teritorijoje, kurioje nustatytas pavojaus ar informavimo slenksčio viršijimas ar kyla grėsmė jį viršyti (paskelbia internete, per radiją ir (ar) televiziją, ir (ar) spaudą, ir (ar) kt. viešąsias telekomunikacijų priemones) kartu su Tvarkos aprašo atitinkamame (1, 2 ar 3) priede pateiktu pranešimu, nurodo, kas daro didžiausią poveikį  aplinkos oro užterštumo lygiui, kokių prevencinių veiksmų AAD ėmėsi taršai mažinti, kokie rekomenduojami teršalų išmetimo mažinimo veiksmai;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tabs>
          <w:tab w:val="left" w:pos="10992"/>
          <w:tab w:val="left" w:pos="11908"/>
          <w:tab w:val="left" w:pos="12824"/>
          <w:tab w:val="left" w:pos="13740"/>
          <w:tab w:val="left" w:pos="14656"/>
        </w:tabs>
        <w:ind w:firstLine="567"/>
        <w:jc w:val="both"/>
        <w:rPr>
          <w:szCs w:val="24"/>
          <w:lang w:eastAsia="lt-LT"/>
        </w:rPr>
      </w:pPr>
      <w:r>
        <w:rPr>
          <w:szCs w:val="24"/>
          <w:lang w:eastAsia="lt-LT"/>
        </w:rPr>
        <w:t>13.2</w:t>
      </w:r>
      <w:r>
        <w:rPr>
          <w:szCs w:val="24"/>
          <w:lang w:eastAsia="lt-LT"/>
        </w:rPr>
        <w:t>. nedelsiant telefonu arba elektroniniu paštu informuoja (ir ne vėliau kaip per 1 darbo dieną raštu patvirtina) apie tai:</w:t>
      </w:r>
    </w:p>
    <w:p>
      <w:pPr>
        <w:tabs>
          <w:tab w:val="left" w:pos="10992"/>
          <w:tab w:val="left" w:pos="11908"/>
          <w:tab w:val="left" w:pos="12824"/>
          <w:tab w:val="left" w:pos="13740"/>
          <w:tab w:val="left" w:pos="14656"/>
        </w:tabs>
        <w:ind w:firstLine="567"/>
        <w:jc w:val="both"/>
        <w:rPr>
          <w:szCs w:val="24"/>
          <w:lang w:eastAsia="lt-LT"/>
        </w:rPr>
      </w:pPr>
      <w:r>
        <w:rPr>
          <w:szCs w:val="24"/>
          <w:lang w:eastAsia="lt-LT"/>
        </w:rPr>
        <w:t>13.2.1</w:t>
      </w:r>
      <w:r>
        <w:rPr>
          <w:szCs w:val="24"/>
          <w:lang w:eastAsia="lt-LT"/>
        </w:rPr>
        <w:t>. savivaldybės, kurios teritorijoje nustatytas pavojaus ar informavimo slenksčio viršijimas ar kyla grėsmė jį viršyti, administraciją;</w:t>
      </w:r>
    </w:p>
    <w:p>
      <w:pPr>
        <w:tabs>
          <w:tab w:val="left" w:pos="0"/>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13.2.2</w:t>
      </w:r>
      <w:r>
        <w:rPr>
          <w:szCs w:val="24"/>
          <w:lang w:eastAsia="lt-LT"/>
        </w:rPr>
        <w:t>. Nacionalinį visuomenės sveikatos centrą;</w:t>
      </w:r>
    </w:p>
    <w:p>
      <w:pPr>
        <w:pStyle w:val="PlainText"/>
        <w:ind w:firstLine="567"/>
        <w:jc w:val="both"/>
        <w:rPr>
          <w:rFonts w:ascii="Times New Roman" w:hAnsi="Times New Roman"/>
          <w:b/>
          <w:bCs/>
          <w:sz w:val="22"/>
        </w:rPr>
      </w:pPr>
      <w:r>
        <w:rPr>
          <w:rFonts w:ascii="Times New Roman" w:hAnsi="Times New Roman"/>
          <w:sz w:val="22"/>
        </w:rPr>
        <w:t>13.2.3</w:t>
      </w:r>
      <w:r>
        <w:rPr>
          <w:rFonts w:ascii="Times New Roman" w:hAnsi="Times New Roman"/>
          <w:sz w:val="22"/>
        </w:rPr>
        <w:t>.</w:t>
      </w:r>
      <w:r>
        <w:rPr>
          <w:rFonts w:ascii="Times New Roman" w:eastAsia="MS Mincho" w:hAnsi="Times New Roman"/>
          <w:sz w:val="20"/>
          <w:i/>
          <w:iCs/>
        </w:rPr>
        <w:t xml:space="preserve"> Neteko galios nuo 2018-07-27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ind w:firstLine="567"/>
        <w:jc w:val="both"/>
        <w:rPr>
          <w:szCs w:val="24"/>
        </w:rPr>
      </w:pPr>
      <w:r>
        <w:rPr>
          <w:rFonts w:eastAsia="Calibri"/>
          <w:szCs w:val="22"/>
        </w:rPr>
        <w:t>13.2.4</w:t>
      </w:r>
      <w:r>
        <w:rPr>
          <w:rFonts w:eastAsia="Calibri"/>
          <w:szCs w:val="22"/>
        </w:rPr>
        <w:t>.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13.3</w:t>
      </w:r>
      <w:r>
        <w:rPr>
          <w:szCs w:val="24"/>
          <w:lang w:eastAsia="lt-LT"/>
        </w:rPr>
        <w:t>. kas valandą 13.2 papunktyje nurodytoms institucijoms pateikia atnaujintą informaciją apie aplinkos oro užterštumo lygį 13 punkte nurodytais teršalais.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widowControl w:val="0"/>
        <w:suppressAutoHyphens/>
        <w:ind w:firstLine="567"/>
        <w:jc w:val="both"/>
        <w:rPr>
          <w:color w:val="000000"/>
        </w:rPr>
      </w:pPr>
      <w:r>
        <w:rPr>
          <w:color w:val="000000"/>
        </w:rPr>
        <w:t>14</w:t>
      </w:r>
      <w:r>
        <w:rPr>
          <w:color w:val="000000"/>
        </w:rPr>
        <w:t xml:space="preserve">. </w:t>
      </w:r>
      <w:r>
        <w:rPr>
          <w:szCs w:val="24"/>
          <w:lang w:eastAsia="lt-LT"/>
        </w:rPr>
        <w:t>informuojant 13.2 papunktyje nurodytas institucijas, privaloma pateikti šią minimalią informaciją</w:t>
      </w:r>
      <w:r>
        <w:rPr>
          <w:color w:val="000000"/>
        </w:rPr>
        <w:t>:</w:t>
      </w:r>
    </w:p>
    <w:p>
      <w:pPr>
        <w:widowControl w:val="0"/>
        <w:suppressAutoHyphens/>
        <w:ind w:firstLine="567"/>
        <w:jc w:val="both"/>
        <w:rPr>
          <w:color w:val="000000"/>
        </w:rPr>
      </w:pPr>
      <w:r>
        <w:rPr>
          <w:color w:val="000000"/>
        </w:rPr>
        <w:t>14.1</w:t>
      </w:r>
      <w:r>
        <w:rPr>
          <w:color w:val="000000"/>
        </w:rPr>
        <w:t>. pavojaus ar informavimo slenksčio viršijimo vietą, datą, laiką (pradžią ir trukmę) ir, jei žinoma, priežastis;</w:t>
      </w:r>
    </w:p>
    <w:p>
      <w:pPr>
        <w:widowControl w:val="0"/>
        <w:suppressAutoHyphens/>
        <w:ind w:firstLine="567"/>
        <w:jc w:val="both"/>
        <w:rPr>
          <w:color w:val="000000"/>
        </w:rPr>
      </w:pPr>
      <w:r>
        <w:rPr>
          <w:color w:val="000000"/>
        </w:rPr>
        <w:t>14.2</w:t>
      </w:r>
      <w:r>
        <w:rPr>
          <w:color w:val="000000"/>
        </w:rPr>
        <w:t>. nustatytą didžiausią 1 valandos koncentraciją ir ozono atveju – papildomai didžiausią 8 valandų koncentracijos vidurkį;</w:t>
      </w:r>
    </w:p>
    <w:p>
      <w:pPr>
        <w:widowControl w:val="0"/>
        <w:suppressAutoHyphens/>
        <w:ind w:firstLine="567"/>
        <w:jc w:val="both"/>
        <w:rPr>
          <w:color w:val="000000"/>
        </w:rPr>
      </w:pPr>
      <w:r>
        <w:rPr>
          <w:color w:val="000000"/>
        </w:rPr>
        <w:t>14.3</w:t>
      </w:r>
      <w:r>
        <w:rPr>
          <w:color w:val="000000"/>
        </w:rPr>
        <w:t>. informaciją apie tai, ar pateikė visuomenei Tvarkos aprašo atitinkamame (1, 2 ar 3) priede nurodytą pranešimą.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15</w:t>
      </w:r>
      <w:r>
        <w:rPr>
          <w:szCs w:val="24"/>
          <w:lang w:eastAsia="lt-LT"/>
        </w:rPr>
        <w:t>. Nacionalinis visuomenės sveikatos centras, gavęs 14 punkte nurodytą informaciją, nedelsdamas informuoja apie tai Sveikatos apsaugos ministeriją.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16</w:t>
      </w:r>
      <w:r>
        <w:rPr>
          <w:szCs w:val="24"/>
          <w:lang w:eastAsia="lt-LT"/>
        </w:rPr>
        <w:t>. Atsižvelgdamas į situacijos pokyčius, Nacionalinis visuomenės sveikatos centras visuomenei gali teikti papildomą, nei pateikta pagal 13.1 papunktį pranešimo formose, sveikatos apsaugos požiūriu naudingą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w:t>
      </w:r>
      <w:r>
        <w:rPr>
          <w:szCs w:val="24"/>
          <w:lang w:eastAsia="lt-LT"/>
        </w:rPr>
        <w:t>. AAA:</w:t>
      </w:r>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w:t>
      </w:r>
      <w:r>
        <w:rPr>
          <w:szCs w:val="24"/>
          <w:lang w:eastAsia="lt-LT"/>
        </w:rPr>
        <w:t>. vertina užterštumo plitimo, kitimo tendencijas ir nedelsdama apie tai informuoja:</w:t>
      </w:r>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17.1.1</w:t>
      </w:r>
      <w:r>
        <w:rPr>
          <w:szCs w:val="24"/>
          <w:lang w:eastAsia="lt-LT"/>
        </w:rPr>
        <w:t>. Aplinkos ministeriją;</w:t>
      </w:r>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17.1.2</w:t>
      </w:r>
      <w:r>
        <w:rPr>
          <w:szCs w:val="24"/>
          <w:lang w:eastAsia="lt-LT"/>
        </w:rPr>
        <w:t>. Sveikatos apsaugos ministeriją;</w:t>
      </w:r>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17.1.3</w:t>
      </w:r>
      <w:r>
        <w:rPr>
          <w:szCs w:val="24"/>
          <w:lang w:eastAsia="lt-LT"/>
        </w:rPr>
        <w:t>. Nacionalinį visuomenės sveikatos centrą;</w:t>
      </w:r>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17.1.4</w:t>
      </w:r>
      <w:r>
        <w:rPr>
          <w:szCs w:val="24"/>
          <w:lang w:eastAsia="lt-LT"/>
        </w:rPr>
        <w:t>. PAGD;</w:t>
      </w:r>
    </w:p>
    <w:p>
      <w:pPr>
        <w:ind w:firstLine="567"/>
        <w:jc w:val="both"/>
        <w:rPr>
          <w:szCs w:val="24"/>
          <w:lang w:eastAsia="lt-LT"/>
        </w:rPr>
      </w:pPr>
      <w:r>
        <w:rPr>
          <w:rFonts w:eastAsia="Calibri"/>
          <w:szCs w:val="22"/>
        </w:rPr>
        <w:t>17.1.5</w:t>
      </w:r>
      <w:r>
        <w:rPr>
          <w:rFonts w:eastAsia="Calibri"/>
          <w:szCs w:val="22"/>
        </w:rPr>
        <w:t>. Sveikatos apsaugos ministerijos ekstremalių sveikatai situacijų centrą;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tabs>
          <w:tab w:val="left" w:pos="1276"/>
          <w:tab w:val="left" w:pos="1560"/>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17.1.6</w:t>
      </w:r>
      <w:r>
        <w:rPr>
          <w:szCs w:val="24"/>
          <w:lang w:eastAsia="lt-LT"/>
        </w:rPr>
        <w:t>. atitinkamos savivaldybės administraciją;</w:t>
      </w:r>
    </w:p>
    <w:p>
      <w:pPr>
        <w:ind w:firstLine="567"/>
        <w:rPr>
          <w:szCs w:val="24"/>
          <w:lang w:eastAsia="lt-LT"/>
        </w:rPr>
      </w:pPr>
      <w:r>
        <w:rPr>
          <w:rFonts w:eastAsia="Calibri"/>
          <w:szCs w:val="22"/>
        </w:rPr>
        <w:t>17.1.7</w:t>
      </w:r>
      <w:r>
        <w:rPr>
          <w:rFonts w:eastAsia="Calibri"/>
          <w:szCs w:val="22"/>
        </w:rPr>
        <w:t>.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4d3ea090c511e8b93ad15b34c9248c">
        <w:r w:rsidRPr="00532B9F">
          <w:rPr>
            <w:rFonts w:ascii="Times New Roman" w:eastAsia="MS Mincho" w:hAnsi="Times New Roman"/>
            <w:sz w:val="20"/>
            <w:i/>
            <w:iCs/>
            <w:color w:val="0000FF" w:themeColor="hyperlink"/>
            <w:u w:val="single"/>
          </w:rPr>
          <w:t>D1-711/V-830</w:t>
        </w:r>
      </w:fldSimple>
      <w:r>
        <w:rPr>
          <w:rFonts w:ascii="Times New Roman" w:eastAsia="MS Mincho" w:hAnsi="Times New Roman"/>
          <w:sz w:val="20"/>
          <w:i/>
          <w:iCs/>
        </w:rPr>
        <w:t>,
2018-07-24,
paskelbta TAR 2018-07-26, i. k. 2018-12456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17.2</w:t>
      </w:r>
      <w:r>
        <w:rPr>
          <w:szCs w:val="24"/>
          <w:lang w:eastAsia="lt-LT"/>
        </w:rPr>
        <w:t>. 17.1 papunktyje nurodytoms institucijoms pateikia informaciją apie:</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17.2.1</w:t>
      </w:r>
      <w:r>
        <w:rPr>
          <w:szCs w:val="24"/>
          <w:lang w:eastAsia="lt-LT"/>
        </w:rPr>
        <w:t>. geografinę sritį, kurioje tikimasi, kad toliau tą dieną (ar kitą dieną (-as)) bus viršytas informavimo ar pavojaus slenkstis;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17.2.2</w:t>
      </w:r>
      <w:r>
        <w:rPr>
          <w:szCs w:val="24"/>
          <w:lang w:eastAsia="lt-LT"/>
        </w:rPr>
        <w:t>. numatomą aplinkos oro užterštumo lygio pokytį (pagerėjimas, nusistovėjimas arba pablogėjimas), kartu nurodydama pokyčių priežastis;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17.2.3</w:t>
      </w:r>
      <w:r>
        <w:rPr>
          <w:szCs w:val="24"/>
          <w:lang w:eastAsia="lt-LT"/>
        </w:rPr>
        <w:t>. pavojaus ar informavimo slenksčio viršijimo trukmę;</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17.3</w:t>
      </w:r>
      <w:r>
        <w:rPr>
          <w:szCs w:val="24"/>
          <w:lang w:eastAsia="lt-LT"/>
        </w:rPr>
        <w:t>. apibendrintą informaciją skelbia savo interneto tinklalapyje ir nurodo, kur galima būtų rasti daugiau informacijos apie aplinkos oro užterštumo lygį.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tabs>
          <w:tab w:val="left"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18</w:t>
      </w:r>
      <w:r>
        <w:rPr>
          <w:szCs w:val="24"/>
          <w:lang w:eastAsia="lt-LT"/>
        </w:rPr>
        <w:t>. Nacionalinis visuomenės sveikatos centras, gavęs informaciją apie pavojaus ar informavimo slenksčio viršijimą ar grėsmę jį viršyti, jo plitimo ir kitimo tendencijas, pagal kompetenciją įvertina galimą poveikį visuomenės sveikatai ir jo mažinimo galimybes.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widowControl w:val="0"/>
        <w:suppressAutoHyphens/>
        <w:ind w:firstLine="567"/>
        <w:jc w:val="both"/>
        <w:rPr>
          <w:color w:val="000000"/>
        </w:rPr>
      </w:pPr>
      <w:r>
        <w:rPr>
          <w:color w:val="000000"/>
        </w:rPr>
        <w:t>19</w:t>
      </w:r>
      <w:r>
        <w:rPr>
          <w:color w:val="000000"/>
        </w:rPr>
        <w:t>. Savivaldybės administracija, gavusi informaciją apie pavojaus ar informavimo slenksčio viršijimą ar grėsmę jį viršyti:</w:t>
      </w:r>
    </w:p>
    <w:p>
      <w:pPr>
        <w:widowControl w:val="0"/>
        <w:suppressAutoHyphens/>
        <w:ind w:firstLine="567"/>
        <w:jc w:val="both"/>
        <w:rPr>
          <w:color w:val="000000"/>
        </w:rPr>
      </w:pPr>
      <w:r>
        <w:rPr>
          <w:color w:val="000000"/>
        </w:rPr>
        <w:t>19.1</w:t>
      </w:r>
      <w:r>
        <w:rPr>
          <w:color w:val="000000"/>
        </w:rPr>
        <w:t>. nedelsdama informuoja apie tai visuomenę toje teritorijoje, kurioje nustatytas pavojaus ar informavimo slenksčio viršijimas ar kyla grėsmė jį viršyti (paskelbia internete, per radiją ir (ar) televiziją, ir (ar) spaudą, ir (ar) kt. viešąsias telekomunikacijų priemones), nurodo, kas labiausiai veikia padidintą aplinkos oro užterštumo lygį, kokių prevencinių veiksmų savivaldybė ėmėsi siekiant sumažinti taršą, kokie rekomenduojami teršalų išmetimo mažinimo veiksmai;</w:t>
      </w:r>
    </w:p>
    <w:p>
      <w:pPr>
        <w:widowControl w:val="0"/>
        <w:suppressAutoHyphens/>
        <w:ind w:firstLine="567"/>
        <w:jc w:val="both"/>
        <w:rPr>
          <w:color w:val="000000"/>
        </w:rPr>
      </w:pPr>
      <w:r>
        <w:rPr>
          <w:color w:val="000000"/>
        </w:rPr>
        <w:t>19.2</w:t>
      </w:r>
      <w:r>
        <w:rPr>
          <w:color w:val="000000"/>
        </w:rPr>
        <w:t>. priima sprendimus kiek galima greičiau ir veiksmingiau įgyvendinti priemones pagal Aplinkos oro apsaugos įstatymo 7 straipsnio 2 dalį ir 10 straipsnį aplinkos oro užterštumo lygiui, pavojingam žmonių sveikatai ir aplinkai, mažinti.</w:t>
      </w:r>
    </w:p>
    <w:p>
      <w:pPr>
        <w:widowControl w:val="0"/>
        <w:suppressAutoHyphens/>
        <w:ind w:firstLine="567"/>
        <w:jc w:val="both"/>
        <w:rPr>
          <w:color w:val="000000"/>
        </w:rPr>
      </w:pPr>
      <w:r>
        <w:rPr>
          <w:color w:val="000000"/>
        </w:rPr>
        <w:t>20</w:t>
      </w:r>
      <w:r>
        <w:rPr>
          <w:color w:val="000000"/>
        </w:rPr>
        <w:t>. Viršijus pavojaus ar informavimo slenkstį ar kylant grėsmei jį viršyti, visuomenei turi būti pateikta kiek įmanoma daugiau informacijos apie galimą poveikį visuomenės sveikatai ir jo mažinimo galimybes.</w:t>
      </w:r>
    </w:p>
    <w:p>
      <w:pPr>
        <w:widowControl w:val="0"/>
        <w:suppressAutoHyphens/>
        <w:ind w:firstLine="567"/>
        <w:jc w:val="center"/>
        <w:rPr>
          <w:color w:val="000000"/>
        </w:rPr>
      </w:pPr>
      <w:r>
        <w:rPr>
          <w:caps/>
          <w:color w:val="000000"/>
        </w:rPr>
        <w:t xml:space="preserve">___________________ </w:t>
      </w:r>
    </w:p>
    <w:p>
      <w:pPr>
        <w:rPr>
          <w:szCs w:val="24"/>
        </w:rPr>
      </w:pPr>
      <w:r>
        <w:rPr>
          <w:szCs w:val="24"/>
        </w:rPr>
        <w:br w:type="page"/>
      </w:r>
    </w:p>
    <w:p>
      <w:pPr>
        <w:ind w:firstLine="5102"/>
        <w:rPr>
          <w:lang w:eastAsia="lt-LT"/>
        </w:rPr>
      </w:pPr>
      <w:r>
        <w:rPr>
          <w:color w:val="000000"/>
          <w:lang w:eastAsia="lt-LT"/>
        </w:rPr>
        <w:t xml:space="preserve">Visuomenės, suinteresuotų institucijų ir </w:t>
      </w:r>
    </w:p>
    <w:p>
      <w:pPr>
        <w:ind w:firstLine="5102"/>
        <w:rPr>
          <w:lang w:eastAsia="lt-LT"/>
        </w:rPr>
      </w:pPr>
      <w:r>
        <w:rPr>
          <w:color w:val="000000"/>
          <w:lang w:eastAsia="lt-LT"/>
        </w:rPr>
        <w:t xml:space="preserve">įstaigų informavimo apie aplinkos oro </w:t>
      </w:r>
    </w:p>
    <w:p>
      <w:pPr>
        <w:ind w:firstLine="5102"/>
        <w:rPr>
          <w:lang w:eastAsia="lt-LT"/>
        </w:rPr>
      </w:pPr>
      <w:r>
        <w:rPr>
          <w:color w:val="000000"/>
          <w:lang w:eastAsia="lt-LT"/>
        </w:rPr>
        <w:t>užterštumo lygius tvarkos aprašo</w:t>
      </w:r>
    </w:p>
    <w:p>
      <w:pPr>
        <w:ind w:firstLine="5102"/>
        <w:rPr>
          <w:lang w:eastAsia="lt-LT"/>
        </w:rPr>
      </w:pPr>
      <w:r>
        <w:rPr>
          <w:color w:val="000000"/>
          <w:lang w:eastAsia="lt-LT"/>
        </w:rPr>
        <w:t>1</w:t>
      </w:r>
      <w:r>
        <w:rPr>
          <w:color w:val="000000"/>
          <w:lang w:eastAsia="lt-LT"/>
        </w:rPr>
        <w:t xml:space="preserve"> priedas</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pPr>
        <w:jc w:val="center"/>
        <w:rPr>
          <w:b/>
          <w:bCs/>
          <w:caps/>
          <w:color w:val="000000"/>
          <w:lang w:eastAsia="lt-LT"/>
        </w:rPr>
      </w:pPr>
      <w:r>
        <w:rPr>
          <w:b/>
          <w:bCs/>
          <w:caps/>
          <w:color w:val="000000"/>
          <w:lang w:eastAsia="lt-LT"/>
        </w:rPr>
        <w:t>PRANEŠIMAS VISUOMENEI</w:t>
      </w:r>
    </w:p>
    <w:p>
      <w:pPr>
        <w:jc w:val="center"/>
        <w:rPr>
          <w:lang w:eastAsia="lt-LT"/>
        </w:rPr>
      </w:pPr>
    </w:p>
    <w:p>
      <w:pPr>
        <w:jc w:val="center"/>
        <w:rPr>
          <w:lang w:eastAsia="lt-LT"/>
        </w:rPr>
      </w:pPr>
      <w:r>
        <w:rPr>
          <w:b/>
          <w:bCs/>
          <w:color w:val="000000"/>
          <w:lang w:eastAsia="lt-LT"/>
        </w:rPr>
        <w:t>Poveikis sveikatai ir rekomenduojamos atsargumo priemonės, esant azoto dioksido pavojaus slenksčio viršijimui</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2268"/>
        <w:gridCol w:w="2268"/>
        <w:gridCol w:w="2658"/>
      </w:tblGrid>
      <w:tr>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Teršalas</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Pavojaus slenkstis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Gyventojų rizikos (jautri) grupė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Simptomai</w:t>
            </w:r>
          </w:p>
        </w:tc>
        <w:tc>
          <w:tcPr>
            <w:tcW w:w="265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Atsargumo priemonės</w:t>
            </w:r>
          </w:p>
        </w:tc>
      </w:tr>
      <w:tr>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color w:val="000000"/>
              </w:rPr>
              <w:t>Azoto dioksidas (NO</w:t>
            </w:r>
            <w:r>
              <w:rPr>
                <w:color w:val="000000"/>
                <w:vertAlign w:val="subscript"/>
              </w:rPr>
              <w:t>2</w:t>
            </w:r>
            <w:r>
              <w:rPr>
                <w:color w:val="000000"/>
              </w:rPr>
              <w:t>)</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color w:val="000000"/>
              </w:rPr>
              <w:t>400 µg/m</w:t>
            </w:r>
            <w:r>
              <w:rPr>
                <w:color w:val="000000"/>
                <w:vertAlign w:val="superscript"/>
              </w:rPr>
              <w:t>3</w:t>
            </w:r>
          </w:p>
        </w:tc>
        <w:tc>
          <w:tcPr>
            <w:tcW w:w="2268" w:type="dxa"/>
            <w:tcBorders>
              <w:top w:val="single" w:sz="4" w:space="0" w:color="auto"/>
              <w:left w:val="single" w:sz="4" w:space="0" w:color="auto"/>
              <w:bottom w:val="single" w:sz="4" w:space="0" w:color="auto"/>
              <w:right w:val="single" w:sz="4" w:space="0" w:color="auto"/>
            </w:tcBorders>
          </w:tcPr>
          <w:p>
            <w:pPr>
              <w:spacing w:line="276" w:lineRule="auto"/>
              <w:rPr>
                <w:szCs w:val="24"/>
                <w:lang w:eastAsia="lt-LT"/>
              </w:rPr>
            </w:pPr>
            <w:r>
              <w:rPr>
                <w:color w:val="000000"/>
                <w:lang w:eastAsia="lt-LT"/>
              </w:rPr>
              <w:t>Kūdikiai, vaikai, nėščiosios,</w:t>
            </w:r>
          </w:p>
          <w:p>
            <w:pPr>
              <w:spacing w:line="276" w:lineRule="auto"/>
              <w:rPr>
                <w:lang w:eastAsia="lt-LT"/>
              </w:rPr>
            </w:pPr>
            <w:r>
              <w:rPr>
                <w:color w:val="000000"/>
                <w:lang w:eastAsia="lt-LT"/>
              </w:rPr>
              <w:t>pagyvenusieji asmenys,</w:t>
            </w:r>
          </w:p>
          <w:p>
            <w:pPr>
              <w:spacing w:line="276" w:lineRule="auto"/>
              <w:rPr>
                <w:lang w:eastAsia="lt-LT"/>
              </w:rPr>
            </w:pPr>
            <w:r>
              <w:rPr>
                <w:color w:val="000000"/>
                <w:lang w:eastAsia="lt-LT"/>
              </w:rPr>
              <w:t>asmenys, sergantys astma ir kitomis kvėpavimo sistemos ligomis bei kraujotakos sistemos ligomis,</w:t>
            </w:r>
          </w:p>
          <w:p>
            <w:pPr>
              <w:spacing w:line="276" w:lineRule="auto"/>
              <w:rPr>
                <w:lang w:eastAsia="lt-LT"/>
              </w:rPr>
            </w:pPr>
            <w:r>
              <w:rPr>
                <w:color w:val="000000"/>
                <w:lang w:eastAsia="lt-LT"/>
              </w:rPr>
              <w:t>asmenys, paveikti kitomis toksinėmis medžiagomis, kurios sustiprina oro teršalų poveikį arba sąveikauja su oro teršalais,</w:t>
            </w:r>
          </w:p>
          <w:p>
            <w:pPr>
              <w:spacing w:line="276" w:lineRule="auto"/>
              <w:rPr>
                <w:lang w:eastAsia="lt-LT"/>
              </w:rPr>
            </w:pPr>
            <w:r>
              <w:rPr>
                <w:color w:val="000000"/>
                <w:lang w:eastAsia="lt-LT"/>
              </w:rPr>
              <w:t>asmenys, gyvenantys nepalankiomis socialinėmis ekonominėmis sąlygomis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pPr>
              <w:spacing w:line="276" w:lineRule="auto"/>
              <w:rPr>
                <w:szCs w:val="24"/>
                <w:lang w:eastAsia="lt-LT"/>
              </w:rPr>
            </w:pPr>
            <w:r>
              <w:rPr>
                <w:color w:val="000000"/>
                <w:lang w:eastAsia="lt-LT"/>
              </w:rPr>
              <w:t>Akių, nosies ir gerklės dirginimas;</w:t>
            </w:r>
          </w:p>
          <w:p>
            <w:pPr>
              <w:spacing w:line="276" w:lineRule="auto"/>
              <w:rPr>
                <w:lang w:eastAsia="lt-LT"/>
              </w:rPr>
            </w:pPr>
            <w:r>
              <w:rPr>
                <w:color w:val="000000"/>
                <w:lang w:eastAsia="lt-LT"/>
              </w:rPr>
              <w:t>dusulys;</w:t>
            </w:r>
          </w:p>
          <w:p>
            <w:pPr>
              <w:spacing w:line="276" w:lineRule="auto"/>
              <w:rPr>
                <w:lang w:eastAsia="lt-LT"/>
              </w:rPr>
            </w:pPr>
            <w:r>
              <w:rPr>
                <w:color w:val="000000"/>
                <w:lang w:eastAsia="lt-LT"/>
              </w:rPr>
              <w:t>kosulys (gali būti su gleivėmis);</w:t>
            </w:r>
          </w:p>
          <w:p>
            <w:pPr>
              <w:spacing w:line="276" w:lineRule="auto"/>
              <w:rPr>
                <w:lang w:eastAsia="lt-LT"/>
              </w:rPr>
            </w:pPr>
            <w:r>
              <w:rPr>
                <w:color w:val="000000"/>
                <w:lang w:eastAsia="lt-LT"/>
              </w:rPr>
              <w:t>padidėjęs kvėpavimo takų jautrumas medikamentams, mažinantiems bronchų spindį;</w:t>
            </w:r>
          </w:p>
          <w:p>
            <w:pPr>
              <w:spacing w:line="276" w:lineRule="auto"/>
              <w:rPr>
                <w:lang w:eastAsia="lt-LT"/>
              </w:rPr>
            </w:pPr>
            <w:r>
              <w:rPr>
                <w:color w:val="000000"/>
                <w:lang w:eastAsia="lt-LT"/>
              </w:rPr>
              <w:t>susilpnėjusi plaučių funkcija (ypač sergantiems lėtine obstrukcine plaučių liga);</w:t>
            </w:r>
          </w:p>
          <w:p>
            <w:pPr>
              <w:spacing w:line="276" w:lineRule="auto"/>
              <w:rPr>
                <w:lang w:eastAsia="lt-LT"/>
              </w:rPr>
            </w:pPr>
            <w:r>
              <w:rPr>
                <w:color w:val="000000"/>
                <w:lang w:eastAsia="lt-LT"/>
              </w:rPr>
              <w:t>padidėjęs kvėpavimo takų imlumas kvėpavimo takų infekcijoms (ypač vaikų);</w:t>
            </w:r>
          </w:p>
          <w:p>
            <w:pPr>
              <w:spacing w:line="276" w:lineRule="auto"/>
              <w:rPr>
                <w:lang w:eastAsia="lt-LT"/>
              </w:rPr>
            </w:pPr>
            <w:r>
              <w:rPr>
                <w:color w:val="000000"/>
                <w:lang w:eastAsia="lt-LT"/>
              </w:rPr>
              <w:t>paūmėjusios kvėpavimo takų alerginės uždegiminės reakcijos;</w:t>
            </w:r>
          </w:p>
          <w:p>
            <w:pPr>
              <w:spacing w:line="276" w:lineRule="auto"/>
              <w:rPr>
                <w:lang w:eastAsia="lt-LT"/>
              </w:rPr>
            </w:pPr>
            <w:r>
              <w:rPr>
                <w:color w:val="000000"/>
                <w:lang w:eastAsia="lt-LT"/>
              </w:rPr>
              <w:t>asmenų, sergančių kvėpavimo sistemos, kraujotakos sistemos ligomis, sveikatos pablogėjimas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tc>
        <w:tc>
          <w:tcPr>
            <w:tcW w:w="265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eastAsia="lt-LT"/>
              </w:rPr>
            </w:pPr>
            <w:r>
              <w:rPr>
                <w:color w:val="000000"/>
                <w:lang w:eastAsia="lt-LT"/>
              </w:rPr>
              <w:t>Riboti darbinę veiklą ir fizinį aktyvumą lauke;</w:t>
            </w:r>
          </w:p>
          <w:p>
            <w:pPr>
              <w:spacing w:line="276" w:lineRule="auto"/>
              <w:rPr>
                <w:lang w:eastAsia="lt-LT"/>
              </w:rPr>
            </w:pPr>
            <w:r>
              <w:rPr>
                <w:color w:val="000000"/>
                <w:lang w:eastAsia="lt-LT"/>
              </w:rPr>
              <w:t>neatidarinėti orlaidžių, langų ir durų;</w:t>
            </w:r>
          </w:p>
          <w:p>
            <w:pPr>
              <w:spacing w:line="276" w:lineRule="auto"/>
              <w:rPr>
                <w:lang w:eastAsia="lt-LT"/>
              </w:rPr>
            </w:pPr>
            <w:r>
              <w:rPr>
                <w:color w:val="000000"/>
                <w:lang w:eastAsia="lt-LT"/>
              </w:rPr>
              <w:t>sandariai uždaryti visas vėdinimo angas;</w:t>
            </w:r>
          </w:p>
          <w:p>
            <w:pPr>
              <w:spacing w:line="276" w:lineRule="auto"/>
              <w:rPr>
                <w:lang w:eastAsia="lt-LT"/>
              </w:rPr>
            </w:pPr>
            <w:r>
              <w:rPr>
                <w:color w:val="000000"/>
                <w:lang w:eastAsia="lt-LT"/>
              </w:rPr>
              <w:t>patalpoms vėdinti naudoti oro kondicionierius;</w:t>
            </w:r>
          </w:p>
          <w:p>
            <w:pPr>
              <w:spacing w:line="276" w:lineRule="auto"/>
              <w:rPr>
                <w:lang w:eastAsia="lt-LT"/>
              </w:rPr>
            </w:pPr>
            <w:r>
              <w:rPr>
                <w:color w:val="000000"/>
                <w:lang w:eastAsia="lt-LT"/>
              </w:rPr>
              <w:t>važiuojant autotransporto priemonėmis sandariai uždaryti langus;</w:t>
            </w:r>
          </w:p>
          <w:p>
            <w:pPr>
              <w:spacing w:line="276" w:lineRule="auto"/>
              <w:rPr>
                <w:lang w:eastAsia="lt-LT"/>
              </w:rPr>
            </w:pPr>
            <w:r>
              <w:rPr>
                <w:color w:val="000000"/>
                <w:lang w:eastAsia="lt-LT"/>
              </w:rPr>
              <w:t>naudoti kvėpavimo takų apsaugos priemones (kvėpavimo aparatus, filtruojančias priemones, kurių techniniuose reikalavimuose nurodyta, kiek galima būti aplinkoje, atsižvelgiant į oro teršalų koncentraciją);</w:t>
            </w:r>
          </w:p>
          <w:p>
            <w:pPr>
              <w:spacing w:line="276" w:lineRule="auto"/>
              <w:rPr>
                <w:lang w:eastAsia="lt-LT"/>
              </w:rPr>
            </w:pPr>
            <w:r>
              <w:rPr>
                <w:color w:val="000000"/>
                <w:lang w:eastAsia="lt-LT"/>
              </w:rPr>
              <w:t>blogai pasijutus, kreiptis į gydytoją;</w:t>
            </w:r>
          </w:p>
          <w:p>
            <w:pPr>
              <w:spacing w:line="276" w:lineRule="auto"/>
              <w:rPr>
                <w:szCs w:val="24"/>
                <w:lang w:eastAsia="lt-LT"/>
              </w:rPr>
            </w:pPr>
            <w:r>
              <w:rPr>
                <w:color w:val="000000"/>
                <w:lang w:eastAsia="lt-LT"/>
              </w:rPr>
              <w:t xml:space="preserve">esant būtinybei ar kilus neaiškumams, konsultuotis su </w:t>
            </w:r>
            <w:r>
              <w:rPr>
                <w:lang w:eastAsia="lt-LT"/>
              </w:rPr>
              <w:t>Nacionalinio visuomenės sveikatos centro</w:t>
            </w:r>
            <w:r>
              <w:rPr>
                <w:b/>
                <w:lang w:eastAsia="lt-LT"/>
              </w:rPr>
              <w:t xml:space="preserve"> </w:t>
            </w:r>
            <w:r>
              <w:rPr>
                <w:lang w:eastAsia="lt-LT"/>
              </w:rPr>
              <w:t xml:space="preserve">specialistais </w:t>
            </w:r>
          </w:p>
        </w:tc>
      </w:tr>
    </w:tbl>
    <w:p>
      <w:pPr>
        <w:jc w:val="center"/>
      </w:pPr>
      <w: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r>
        <w:br w:type="page"/>
      </w:r>
    </w:p>
    <w:p>
      <w:pPr>
        <w:ind w:firstLine="5102"/>
        <w:rPr>
          <w:lang w:eastAsia="lt-LT"/>
        </w:rPr>
      </w:pPr>
      <w:r>
        <w:rPr>
          <w:color w:val="000000"/>
          <w:lang w:eastAsia="lt-LT"/>
        </w:rPr>
        <w:t xml:space="preserve">Visuomenės, suinteresuotų institucijų ir </w:t>
      </w:r>
    </w:p>
    <w:p>
      <w:pPr>
        <w:ind w:firstLine="5102"/>
        <w:rPr>
          <w:lang w:eastAsia="lt-LT"/>
        </w:rPr>
      </w:pPr>
      <w:r>
        <w:rPr>
          <w:color w:val="000000"/>
          <w:lang w:eastAsia="lt-LT"/>
        </w:rPr>
        <w:t xml:space="preserve">įstaigų informavimo apie aplinkos oro </w:t>
      </w:r>
    </w:p>
    <w:p>
      <w:pPr>
        <w:ind w:firstLine="5102"/>
        <w:rPr>
          <w:lang w:eastAsia="lt-LT"/>
        </w:rPr>
      </w:pPr>
      <w:r>
        <w:rPr>
          <w:color w:val="000000"/>
          <w:lang w:eastAsia="lt-LT"/>
        </w:rPr>
        <w:t>užterštumo lygius tvarkos aprašo</w:t>
      </w:r>
    </w:p>
    <w:p>
      <w:pPr>
        <w:ind w:firstLine="5102"/>
        <w:rPr>
          <w:lang w:eastAsia="lt-LT"/>
        </w:rPr>
      </w:pPr>
      <w:r>
        <w:rPr>
          <w:color w:val="000000"/>
          <w:lang w:eastAsia="lt-LT"/>
        </w:rPr>
        <w:t>2</w:t>
      </w:r>
      <w:r>
        <w:rPr>
          <w:color w:val="000000"/>
          <w:lang w:eastAsia="lt-LT"/>
        </w:rPr>
        <w:t xml:space="preserve"> priedas</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both"/>
        <w:rPr>
          <w:lang w:eastAsia="lt-LT"/>
        </w:rPr>
      </w:pPr>
    </w:p>
    <w:p>
      <w:pPr>
        <w:jc w:val="center"/>
        <w:rPr>
          <w:b/>
          <w:bCs/>
          <w:color w:val="000000"/>
          <w:lang w:eastAsia="lt-LT"/>
        </w:rPr>
      </w:pPr>
      <w:r>
        <w:rPr>
          <w:b/>
          <w:bCs/>
          <w:color w:val="000000"/>
          <w:lang w:eastAsia="lt-LT"/>
        </w:rPr>
        <w:t>PRANEŠIMAS VISUOMENEI</w:t>
      </w:r>
    </w:p>
    <w:p>
      <w:pPr>
        <w:jc w:val="center"/>
        <w:rPr>
          <w:lang w:eastAsia="lt-LT"/>
        </w:rPr>
      </w:pPr>
    </w:p>
    <w:p>
      <w:pPr>
        <w:jc w:val="center"/>
        <w:rPr>
          <w:lang w:eastAsia="lt-LT"/>
        </w:rPr>
      </w:pPr>
      <w:r>
        <w:rPr>
          <w:b/>
          <w:bCs/>
          <w:color w:val="000000"/>
          <w:lang w:eastAsia="lt-LT"/>
        </w:rPr>
        <w:t>Poveikis sveikatai ir rekomenduojamos atsargumo priemonės, esant sieros dioksido pavojaus slenksčio viršijimui</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both"/>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2268"/>
        <w:gridCol w:w="2942"/>
      </w:tblGrid>
      <w:tr>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Teršalas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Pavojaus slenkstis</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Gyventojų rizikos (jautri) grupė</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Simptomai</w:t>
            </w:r>
          </w:p>
        </w:tc>
        <w:tc>
          <w:tcPr>
            <w:tcW w:w="2942"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Atsargumo priemonės</w:t>
            </w:r>
          </w:p>
        </w:tc>
      </w:tr>
      <w:tr>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lang w:eastAsia="lt-LT"/>
              </w:rPr>
              <w:t>Sieros dioksidas (SO</w:t>
            </w:r>
            <w:r>
              <w:rPr>
                <w:vertAlign w:val="subscript"/>
                <w:lang w:eastAsia="lt-LT"/>
              </w:rPr>
              <w:t>2</w:t>
            </w:r>
            <w:r>
              <w:rPr>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lang w:eastAsia="lt-LT"/>
              </w:rPr>
              <w:t>500 µg/m</w:t>
            </w:r>
            <w:r>
              <w:rPr>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pPr>
              <w:spacing w:line="276" w:lineRule="auto"/>
              <w:rPr>
                <w:szCs w:val="24"/>
                <w:lang w:eastAsia="lt-LT"/>
              </w:rPr>
            </w:pPr>
            <w:r>
              <w:rPr>
                <w:color w:val="000000"/>
                <w:lang w:eastAsia="lt-LT"/>
              </w:rPr>
              <w:t>Kūdikiai,</w:t>
            </w:r>
          </w:p>
          <w:p>
            <w:pPr>
              <w:spacing w:line="276" w:lineRule="auto"/>
              <w:rPr>
                <w:lang w:eastAsia="lt-LT"/>
              </w:rPr>
            </w:pPr>
            <w:r>
              <w:rPr>
                <w:color w:val="000000"/>
                <w:lang w:eastAsia="lt-LT"/>
              </w:rPr>
              <w:t>vaikai, nėščiosios,</w:t>
            </w:r>
          </w:p>
          <w:p>
            <w:pPr>
              <w:spacing w:line="276" w:lineRule="auto"/>
              <w:rPr>
                <w:lang w:eastAsia="lt-LT"/>
              </w:rPr>
            </w:pPr>
            <w:r>
              <w:rPr>
                <w:color w:val="000000"/>
                <w:lang w:eastAsia="lt-LT"/>
              </w:rPr>
              <w:t>pagyvenusieji asmenys, asmenys, sergantys astma ir kitomis kvėpavimo sistemos ligomis bei kraujotakos sistemos ligomis, asmenys, paveikti kitomis toksinėmis medžiagomis, kurios sustiprina oro teršalų poveikį arba sąveikauja su oro teršalais,</w:t>
            </w:r>
          </w:p>
          <w:p>
            <w:pPr>
              <w:spacing w:line="276" w:lineRule="auto"/>
              <w:rPr>
                <w:lang w:eastAsia="lt-LT"/>
              </w:rPr>
            </w:pPr>
            <w:r>
              <w:rPr>
                <w:color w:val="000000"/>
                <w:lang w:eastAsia="lt-LT"/>
              </w:rPr>
              <w:t xml:space="preserve">asmenys, gyvenantys nepalankiomis socialinėmis ekonominėmis sąlygomis </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pPr>
              <w:spacing w:line="276" w:lineRule="auto"/>
              <w:rPr>
                <w:szCs w:val="24"/>
                <w:lang w:eastAsia="lt-LT"/>
              </w:rPr>
            </w:pPr>
            <w:r>
              <w:rPr>
                <w:color w:val="000000"/>
                <w:lang w:eastAsia="lt-LT"/>
              </w:rPr>
              <w:t>Kvėpavimo takų dirginimas;</w:t>
            </w:r>
          </w:p>
          <w:p>
            <w:pPr>
              <w:spacing w:line="276" w:lineRule="auto"/>
              <w:rPr>
                <w:lang w:eastAsia="lt-LT"/>
              </w:rPr>
            </w:pPr>
            <w:r>
              <w:rPr>
                <w:color w:val="000000"/>
                <w:lang w:eastAsia="lt-LT"/>
              </w:rPr>
              <w:t>refleksinis kosulys;</w:t>
            </w:r>
          </w:p>
          <w:p>
            <w:pPr>
              <w:spacing w:line="276" w:lineRule="auto"/>
              <w:rPr>
                <w:lang w:eastAsia="lt-LT"/>
              </w:rPr>
            </w:pPr>
            <w:r>
              <w:rPr>
                <w:color w:val="000000"/>
                <w:lang w:eastAsia="lt-LT"/>
              </w:rPr>
              <w:t>kvėpavimo sutrikimai;</w:t>
            </w:r>
          </w:p>
          <w:p>
            <w:pPr>
              <w:spacing w:line="276" w:lineRule="auto"/>
              <w:rPr>
                <w:lang w:eastAsia="lt-LT"/>
              </w:rPr>
            </w:pPr>
            <w:r>
              <w:rPr>
                <w:color w:val="000000"/>
                <w:lang w:eastAsia="lt-LT"/>
              </w:rPr>
              <w:t>sunkus ir susilpnėjęs kvėpavimas;</w:t>
            </w:r>
          </w:p>
          <w:p>
            <w:pPr>
              <w:spacing w:line="276" w:lineRule="auto"/>
              <w:rPr>
                <w:lang w:eastAsia="lt-LT"/>
              </w:rPr>
            </w:pPr>
            <w:r>
              <w:rPr>
                <w:color w:val="000000"/>
                <w:lang w:eastAsia="lt-LT"/>
              </w:rPr>
              <w:t>nosies ir gerklės deginimas;</w:t>
            </w:r>
          </w:p>
          <w:p>
            <w:pPr>
              <w:spacing w:line="276" w:lineRule="auto"/>
              <w:rPr>
                <w:lang w:eastAsia="lt-LT"/>
              </w:rPr>
            </w:pPr>
            <w:r>
              <w:rPr>
                <w:color w:val="000000"/>
                <w:lang w:eastAsia="lt-LT"/>
              </w:rPr>
              <w:t>dusulio priepuoliai;</w:t>
            </w:r>
          </w:p>
          <w:p>
            <w:pPr>
              <w:spacing w:line="276" w:lineRule="auto"/>
              <w:rPr>
                <w:lang w:eastAsia="lt-LT"/>
              </w:rPr>
            </w:pPr>
            <w:r>
              <w:rPr>
                <w:color w:val="000000"/>
                <w:lang w:eastAsia="lt-LT"/>
              </w:rPr>
              <w:t>bronchų spazmai (ypač sergančių astma);</w:t>
            </w:r>
          </w:p>
          <w:p>
            <w:pPr>
              <w:spacing w:line="276" w:lineRule="auto"/>
              <w:rPr>
                <w:lang w:eastAsia="lt-LT"/>
              </w:rPr>
            </w:pPr>
            <w:r>
              <w:rPr>
                <w:color w:val="000000"/>
                <w:lang w:eastAsia="lt-LT"/>
              </w:rPr>
              <w:t>odos ir gleivinių dirginimas;</w:t>
            </w:r>
          </w:p>
          <w:p>
            <w:pPr>
              <w:spacing w:line="276" w:lineRule="auto"/>
              <w:rPr>
                <w:lang w:eastAsia="lt-LT"/>
              </w:rPr>
            </w:pPr>
            <w:r>
              <w:rPr>
                <w:color w:val="000000"/>
                <w:lang w:eastAsia="lt-LT"/>
              </w:rPr>
              <w:t>asmenų, sergančių kvėpavimo sistemos, kraujotakos sistemos ligomis, sveikatos pablogėjimas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tc>
        <w:tc>
          <w:tcPr>
            <w:tcW w:w="2942" w:type="dxa"/>
            <w:tcBorders>
              <w:top w:val="single" w:sz="4" w:space="0" w:color="auto"/>
              <w:left w:val="single" w:sz="4" w:space="0" w:color="auto"/>
              <w:bottom w:val="single" w:sz="4" w:space="0" w:color="auto"/>
              <w:right w:val="single" w:sz="4" w:space="0" w:color="auto"/>
            </w:tcBorders>
            <w:hideMark/>
          </w:tcPr>
          <w:p>
            <w:pPr>
              <w:spacing w:line="276" w:lineRule="auto"/>
              <w:rPr>
                <w:szCs w:val="24"/>
                <w:lang w:eastAsia="lt-LT"/>
              </w:rPr>
            </w:pPr>
            <w:r>
              <w:rPr>
                <w:color w:val="000000"/>
                <w:lang w:eastAsia="lt-LT"/>
              </w:rPr>
              <w:t>Riboti darbinę veiklą ir fizinį aktyvumą lauke;</w:t>
            </w:r>
          </w:p>
          <w:p>
            <w:pPr>
              <w:spacing w:line="276" w:lineRule="auto"/>
              <w:rPr>
                <w:lang w:eastAsia="lt-LT"/>
              </w:rPr>
            </w:pPr>
            <w:r>
              <w:rPr>
                <w:color w:val="000000"/>
                <w:lang w:eastAsia="lt-LT"/>
              </w:rPr>
              <w:t>neatidarinėti orlaidžių, langų ir durų;</w:t>
            </w:r>
          </w:p>
          <w:p>
            <w:pPr>
              <w:spacing w:line="276" w:lineRule="auto"/>
              <w:rPr>
                <w:lang w:eastAsia="lt-LT"/>
              </w:rPr>
            </w:pPr>
            <w:r>
              <w:rPr>
                <w:color w:val="000000"/>
                <w:lang w:eastAsia="lt-LT"/>
              </w:rPr>
              <w:t>sandariai uždaryti visas vėdinimo angas;</w:t>
            </w:r>
          </w:p>
          <w:p>
            <w:pPr>
              <w:spacing w:line="276" w:lineRule="auto"/>
              <w:rPr>
                <w:lang w:eastAsia="lt-LT"/>
              </w:rPr>
            </w:pPr>
            <w:r>
              <w:rPr>
                <w:color w:val="000000"/>
                <w:lang w:eastAsia="lt-LT"/>
              </w:rPr>
              <w:t>patalpoms vėdinti naudoti oro kondicionierius;</w:t>
            </w:r>
          </w:p>
          <w:p>
            <w:pPr>
              <w:spacing w:line="276" w:lineRule="auto"/>
              <w:rPr>
                <w:lang w:eastAsia="lt-LT"/>
              </w:rPr>
            </w:pPr>
            <w:r>
              <w:rPr>
                <w:color w:val="000000"/>
                <w:lang w:eastAsia="lt-LT"/>
              </w:rPr>
              <w:t>važiuojant autotransporto priemonėmis sandariai uždaryti langus;</w:t>
            </w:r>
          </w:p>
          <w:p>
            <w:pPr>
              <w:spacing w:line="276" w:lineRule="auto"/>
              <w:rPr>
                <w:lang w:eastAsia="lt-LT"/>
              </w:rPr>
            </w:pPr>
            <w:r>
              <w:rPr>
                <w:color w:val="000000"/>
                <w:lang w:eastAsia="lt-LT"/>
              </w:rPr>
              <w:t>naudoti kvėpavimo takų apsaugos priemones (kvėpavimo aparatus, filtruojančias priemones, kurių techniniuose reikalavimuose nurodyta, kiek galima būti aplinkoje, atsižvelgiant į oro teršalų koncentraciją);</w:t>
            </w:r>
          </w:p>
          <w:p>
            <w:pPr>
              <w:spacing w:line="276" w:lineRule="auto"/>
              <w:rPr>
                <w:lang w:eastAsia="lt-LT"/>
              </w:rPr>
            </w:pPr>
            <w:r>
              <w:rPr>
                <w:color w:val="000000"/>
                <w:lang w:eastAsia="lt-LT"/>
              </w:rPr>
              <w:t>blogai pasijutus, kreiptis į gydytoją;</w:t>
            </w:r>
          </w:p>
          <w:p>
            <w:pPr>
              <w:spacing w:line="276" w:lineRule="auto"/>
              <w:rPr>
                <w:szCs w:val="24"/>
                <w:lang w:eastAsia="lt-LT"/>
              </w:rPr>
            </w:pPr>
            <w:r>
              <w:rPr>
                <w:color w:val="000000"/>
                <w:lang w:eastAsia="lt-LT"/>
              </w:rPr>
              <w:t xml:space="preserve">esant būtinybei ar kilus neaiškumams, konsultuotis su </w:t>
            </w:r>
            <w:r>
              <w:rPr>
                <w:lang w:eastAsia="lt-LT"/>
              </w:rPr>
              <w:t xml:space="preserve">Nacionalinio visuomenės sveikatos centro specialistais </w:t>
            </w:r>
          </w:p>
        </w:tc>
      </w:tr>
    </w:tbl>
    <w:p/>
    <w:p>
      <w:pPr>
        <w:jc w:val="center"/>
      </w:pPr>
      <w: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r>
        <w:br w:type="page"/>
      </w:r>
    </w:p>
    <w:p>
      <w:pPr>
        <w:ind w:firstLine="5102"/>
        <w:rPr>
          <w:lang w:eastAsia="lt-LT"/>
        </w:rPr>
      </w:pPr>
      <w:r>
        <w:rPr>
          <w:color w:val="000000"/>
          <w:lang w:eastAsia="lt-LT"/>
        </w:rPr>
        <w:t xml:space="preserve">Visuomenės, suinteresuotų institucijų ir </w:t>
      </w:r>
    </w:p>
    <w:p>
      <w:pPr>
        <w:ind w:firstLine="5102"/>
        <w:rPr>
          <w:lang w:eastAsia="lt-LT"/>
        </w:rPr>
      </w:pPr>
      <w:r>
        <w:rPr>
          <w:color w:val="000000"/>
          <w:lang w:eastAsia="lt-LT"/>
        </w:rPr>
        <w:t xml:space="preserve">įstaigų informavimo apie aplinkos oro </w:t>
      </w:r>
    </w:p>
    <w:p>
      <w:pPr>
        <w:ind w:firstLine="5102"/>
        <w:rPr>
          <w:lang w:eastAsia="lt-LT"/>
        </w:rPr>
      </w:pPr>
      <w:r>
        <w:rPr>
          <w:color w:val="000000"/>
          <w:lang w:eastAsia="lt-LT"/>
        </w:rPr>
        <w:t>užterštumo lygius tvarkos aprašo</w:t>
      </w:r>
    </w:p>
    <w:p>
      <w:pPr>
        <w:ind w:firstLine="5102"/>
        <w:rPr>
          <w:lang w:eastAsia="lt-LT"/>
        </w:rPr>
      </w:pPr>
      <w:r>
        <w:rPr>
          <w:color w:val="000000"/>
          <w:lang w:eastAsia="lt-LT"/>
        </w:rPr>
        <w:t>3</w:t>
      </w:r>
      <w:r>
        <w:rPr>
          <w:color w:val="000000"/>
          <w:lang w:eastAsia="lt-LT"/>
        </w:rPr>
        <w:t xml:space="preserve"> priedas</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center"/>
        <w:rPr>
          <w:lang w:eastAsia="lt-LT"/>
        </w:rPr>
      </w:pP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center"/>
        <w:rPr>
          <w:b/>
          <w:lang w:eastAsia="lt-LT"/>
        </w:rPr>
      </w:pPr>
      <w:r>
        <w:rPr>
          <w:b/>
          <w:lang w:eastAsia="lt-LT"/>
        </w:rPr>
        <w:t>PRANEŠIMAS VISUOMENEI</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both"/>
        <w:rPr>
          <w:lang w:eastAsia="lt-LT"/>
        </w:rPr>
      </w:pP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center"/>
        <w:rPr>
          <w:b/>
          <w:lang w:eastAsia="lt-LT"/>
        </w:rPr>
      </w:pPr>
      <w:r>
        <w:rPr>
          <w:b/>
          <w:lang w:eastAsia="lt-LT"/>
        </w:rPr>
        <w:t>Poveikis sveikatai ir rekomenduojamos atsargumo priemonės, esant ozono pavojaus ar informavimo slenksčio viršijimui</w:t>
      </w:r>
    </w:p>
    <w:p>
      <w:pPr>
        <w:tabs>
          <w:tab w:val="left" w:pos="0"/>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center"/>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1984"/>
        <w:gridCol w:w="1560"/>
        <w:gridCol w:w="3083"/>
      </w:tblGrid>
      <w:tr>
        <w:tc>
          <w:tcPr>
            <w:tcW w:w="993"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Terša-</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las</w:t>
            </w:r>
          </w:p>
        </w:tc>
        <w:tc>
          <w:tcPr>
            <w:tcW w:w="992"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Pavo-</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Pr>
                <w:lang w:eastAsia="lt-LT"/>
              </w:rPr>
              <w:t>jaus slenks-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tis</w:t>
            </w:r>
          </w:p>
        </w:tc>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Informa-vimo slenks-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tis</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Gyventojų rizikos (jautri) grupė</w:t>
            </w:r>
          </w:p>
        </w:tc>
        <w:tc>
          <w:tcPr>
            <w:tcW w:w="1560"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Simptomai</w:t>
            </w:r>
          </w:p>
        </w:tc>
        <w:tc>
          <w:tcPr>
            <w:tcW w:w="3083"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Atsargumo priemonės</w:t>
            </w:r>
          </w:p>
        </w:tc>
      </w:tr>
      <w:tr>
        <w:tc>
          <w:tcPr>
            <w:tcW w:w="993"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lang w:eastAsia="lt-LT"/>
              </w:rPr>
              <w:t>Ozonas (O</w:t>
            </w:r>
            <w:r>
              <w:rPr>
                <w:vertAlign w:val="subscript"/>
                <w:lang w:eastAsia="lt-LT"/>
              </w:rPr>
              <w:t>3</w:t>
            </w:r>
            <w:r>
              <w:rPr>
                <w:lang w:eastAsia="lt-LT"/>
              </w:rPr>
              <w:t>)</w:t>
            </w:r>
          </w:p>
        </w:tc>
        <w:tc>
          <w:tcPr>
            <w:tcW w:w="992"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lang w:eastAsia="lt-LT"/>
              </w:rPr>
              <w:t>240 µg/m</w:t>
            </w:r>
            <w:r>
              <w:rPr>
                <w:vertAlign w:val="superscript"/>
                <w:lang w:eastAsia="lt-LT"/>
              </w:rPr>
              <w:t>3</w:t>
            </w:r>
          </w:p>
        </w:tc>
        <w:tc>
          <w:tcPr>
            <w:tcW w:w="1134" w:type="dxa"/>
            <w:tcBorders>
              <w:top w:val="single" w:sz="4" w:space="0" w:color="auto"/>
              <w:left w:val="single" w:sz="4" w:space="0" w:color="auto"/>
              <w:bottom w:val="single" w:sz="4" w:space="0" w:color="auto"/>
              <w:right w:val="single" w:sz="4" w:space="0" w:color="auto"/>
            </w:tcBorders>
            <w:hideMark/>
          </w:tcPr>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lang w:eastAsia="lt-LT"/>
              </w:rPr>
              <w:t>180 µg/m</w:t>
            </w:r>
            <w:r>
              <w:rPr>
                <w:vertAlign w:val="superscript"/>
                <w:lang w:eastAsia="lt-LT"/>
              </w:rPr>
              <w:t>3</w:t>
            </w:r>
          </w:p>
        </w:tc>
        <w:tc>
          <w:tcPr>
            <w:tcW w:w="1984" w:type="dxa"/>
            <w:tcBorders>
              <w:top w:val="single" w:sz="4" w:space="0" w:color="auto"/>
              <w:left w:val="single" w:sz="4" w:space="0" w:color="auto"/>
              <w:bottom w:val="single" w:sz="4" w:space="0" w:color="auto"/>
              <w:right w:val="single" w:sz="4" w:space="0" w:color="auto"/>
            </w:tcBorders>
          </w:tcPr>
          <w:p>
            <w:pPr>
              <w:spacing w:line="276" w:lineRule="auto"/>
              <w:rPr>
                <w:szCs w:val="24"/>
                <w:lang w:eastAsia="lt-LT"/>
              </w:rPr>
            </w:pPr>
            <w:r>
              <w:rPr>
                <w:color w:val="000000"/>
                <w:lang w:eastAsia="lt-LT"/>
              </w:rPr>
              <w:t>Kūdikiai, vaikai, nėščiosios, pagyvenusieji asmenys,</w:t>
            </w:r>
          </w:p>
          <w:p>
            <w:pPr>
              <w:spacing w:line="276" w:lineRule="auto"/>
              <w:rPr>
                <w:lang w:eastAsia="lt-LT"/>
              </w:rPr>
            </w:pPr>
            <w:r>
              <w:rPr>
                <w:color w:val="000000"/>
                <w:lang w:eastAsia="lt-LT"/>
              </w:rPr>
              <w:t>asmenys, sergantys astma ir kitomis kvėpavimo sistemos ligomis bei kraujotakos sistemos ligomis, asmenys, paveikti kitomis toksinėmis medžiagomis, kurios sustiprina oro teršalų poveikį arba sąveikauja su oro teršalais,</w:t>
            </w:r>
          </w:p>
          <w:p>
            <w:pPr>
              <w:spacing w:line="276" w:lineRule="auto"/>
              <w:rPr>
                <w:lang w:eastAsia="lt-LT"/>
              </w:rPr>
            </w:pPr>
            <w:r>
              <w:rPr>
                <w:color w:val="000000"/>
                <w:lang w:eastAsia="lt-LT"/>
              </w:rPr>
              <w:t>asmenys, gyvenantys nepalankiomis socialinėmis ekonominėmis sąlygomis</w:t>
            </w:r>
          </w:p>
          <w:p>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tc>
        <w:tc>
          <w:tcPr>
            <w:tcW w:w="1560" w:type="dxa"/>
            <w:tcBorders>
              <w:top w:val="single" w:sz="4" w:space="0" w:color="auto"/>
              <w:left w:val="single" w:sz="4" w:space="0" w:color="auto"/>
              <w:bottom w:val="single" w:sz="4" w:space="0" w:color="auto"/>
              <w:right w:val="single" w:sz="4" w:space="0" w:color="auto"/>
            </w:tcBorders>
            <w:hideMark/>
          </w:tcPr>
          <w:p>
            <w:pPr>
              <w:spacing w:line="276" w:lineRule="auto"/>
              <w:rPr>
                <w:szCs w:val="24"/>
                <w:lang w:eastAsia="lt-LT"/>
              </w:rPr>
            </w:pPr>
            <w:r>
              <w:rPr>
                <w:color w:val="000000"/>
                <w:lang w:eastAsia="lt-LT"/>
              </w:rPr>
              <w:t>Akių dirginimas,</w:t>
            </w:r>
          </w:p>
          <w:p>
            <w:pPr>
              <w:spacing w:line="276" w:lineRule="auto"/>
              <w:rPr>
                <w:lang w:eastAsia="lt-LT"/>
              </w:rPr>
            </w:pPr>
            <w:r>
              <w:rPr>
                <w:color w:val="000000"/>
                <w:lang w:eastAsia="lt-LT"/>
              </w:rPr>
              <w:t>kosulys;</w:t>
            </w:r>
          </w:p>
          <w:p>
            <w:pPr>
              <w:spacing w:line="276" w:lineRule="auto"/>
              <w:rPr>
                <w:lang w:eastAsia="lt-LT"/>
              </w:rPr>
            </w:pPr>
            <w:r>
              <w:rPr>
                <w:color w:val="000000"/>
                <w:lang w:eastAsia="lt-LT"/>
              </w:rPr>
              <w:t>dusulys;</w:t>
            </w:r>
          </w:p>
          <w:p>
            <w:pPr>
              <w:spacing w:line="276" w:lineRule="auto"/>
              <w:rPr>
                <w:lang w:eastAsia="lt-LT"/>
              </w:rPr>
            </w:pPr>
            <w:r>
              <w:rPr>
                <w:color w:val="000000"/>
                <w:lang w:eastAsia="lt-LT"/>
              </w:rPr>
              <w:t>gerklės sausumas;</w:t>
            </w:r>
          </w:p>
          <w:p>
            <w:pPr>
              <w:spacing w:line="276" w:lineRule="auto"/>
              <w:rPr>
                <w:lang w:eastAsia="lt-LT"/>
              </w:rPr>
            </w:pPr>
            <w:r>
              <w:rPr>
                <w:color w:val="000000"/>
                <w:lang w:eastAsia="lt-LT"/>
              </w:rPr>
              <w:t>nosies užgulimas,</w:t>
            </w:r>
          </w:p>
          <w:p>
            <w:pPr>
              <w:spacing w:line="276" w:lineRule="auto"/>
              <w:rPr>
                <w:lang w:eastAsia="lt-LT"/>
              </w:rPr>
            </w:pPr>
            <w:r>
              <w:rPr>
                <w:color w:val="000000"/>
                <w:lang w:eastAsia="lt-LT"/>
              </w:rPr>
              <w:t>skausmas įkvėpus ir krūtinės ląstos spaudimas;</w:t>
            </w:r>
          </w:p>
          <w:p>
            <w:pPr>
              <w:spacing w:line="276" w:lineRule="auto"/>
              <w:rPr>
                <w:lang w:eastAsia="lt-LT"/>
              </w:rPr>
            </w:pPr>
            <w:r>
              <w:rPr>
                <w:color w:val="000000"/>
                <w:lang w:eastAsia="lt-LT"/>
              </w:rPr>
              <w:t>plaučių dirginimas ir uždegimas;</w:t>
            </w:r>
          </w:p>
          <w:p>
            <w:pPr>
              <w:spacing w:line="276" w:lineRule="auto"/>
              <w:rPr>
                <w:lang w:eastAsia="lt-LT"/>
              </w:rPr>
            </w:pPr>
            <w:r>
              <w:rPr>
                <w:color w:val="000000"/>
                <w:lang w:eastAsia="lt-LT"/>
              </w:rPr>
              <w:t>sumažėjęs plaučių tūris;</w:t>
            </w:r>
          </w:p>
          <w:p>
            <w:pPr>
              <w:spacing w:line="276" w:lineRule="auto"/>
              <w:rPr>
                <w:lang w:eastAsia="lt-LT"/>
              </w:rPr>
            </w:pPr>
            <w:r>
              <w:rPr>
                <w:color w:val="000000"/>
                <w:lang w:eastAsia="lt-LT"/>
              </w:rPr>
              <w:t>galvos skausmas;</w:t>
            </w:r>
          </w:p>
          <w:p>
            <w:pPr>
              <w:spacing w:line="276" w:lineRule="auto"/>
              <w:rPr>
                <w:lang w:eastAsia="lt-LT"/>
              </w:rPr>
            </w:pPr>
            <w:r>
              <w:rPr>
                <w:color w:val="000000"/>
                <w:lang w:eastAsia="lt-LT"/>
              </w:rPr>
              <w:t>pykinimas;</w:t>
            </w:r>
          </w:p>
          <w:p>
            <w:pPr>
              <w:spacing w:line="276" w:lineRule="auto"/>
              <w:rPr>
                <w:lang w:eastAsia="lt-LT"/>
              </w:rPr>
            </w:pPr>
            <w:r>
              <w:rPr>
                <w:color w:val="000000"/>
                <w:lang w:eastAsia="lt-LT"/>
              </w:rPr>
              <w:t>nuovargio jausmas;</w:t>
            </w:r>
          </w:p>
          <w:p>
            <w:pPr>
              <w:spacing w:line="276" w:lineRule="auto"/>
              <w:rPr>
                <w:lang w:eastAsia="lt-LT"/>
              </w:rPr>
            </w:pPr>
            <w:r>
              <w:rPr>
                <w:color w:val="000000"/>
                <w:lang w:eastAsia="lt-LT"/>
              </w:rPr>
              <w:t>sumažėjęs imuninis atsparumas ir padidėjęs jautrumas alergenams;</w:t>
            </w:r>
          </w:p>
          <w:p>
            <w:pPr>
              <w:spacing w:line="276" w:lineRule="auto"/>
              <w:rPr>
                <w:szCs w:val="24"/>
                <w:lang w:eastAsia="lt-LT"/>
              </w:rPr>
            </w:pPr>
            <w:r>
              <w:rPr>
                <w:color w:val="000000"/>
                <w:lang w:eastAsia="lt-LT"/>
              </w:rPr>
              <w:t>asmenų, sergančių kvėpavimo sistemos, kraujotakos sistemos ligomis, sveikatos pablogėjimas</w:t>
            </w:r>
          </w:p>
        </w:tc>
        <w:tc>
          <w:tcPr>
            <w:tcW w:w="3083" w:type="dxa"/>
            <w:tcBorders>
              <w:top w:val="single" w:sz="4" w:space="0" w:color="auto"/>
              <w:left w:val="single" w:sz="4" w:space="0" w:color="auto"/>
              <w:bottom w:val="single" w:sz="4" w:space="0" w:color="auto"/>
              <w:right w:val="single" w:sz="4" w:space="0" w:color="auto"/>
            </w:tcBorders>
            <w:hideMark/>
          </w:tcPr>
          <w:p>
            <w:pPr>
              <w:spacing w:line="276" w:lineRule="auto"/>
              <w:rPr>
                <w:szCs w:val="24"/>
                <w:lang w:eastAsia="lt-LT"/>
              </w:rPr>
            </w:pPr>
            <w:r>
              <w:rPr>
                <w:color w:val="000000"/>
                <w:lang w:eastAsia="lt-LT"/>
              </w:rPr>
              <w:t>Riboti darbinę veiklą ir fizinį aktyvumą lauke;</w:t>
            </w:r>
          </w:p>
          <w:p>
            <w:pPr>
              <w:spacing w:line="276" w:lineRule="auto"/>
              <w:rPr>
                <w:lang w:eastAsia="lt-LT"/>
              </w:rPr>
            </w:pPr>
            <w:r>
              <w:rPr>
                <w:color w:val="000000"/>
                <w:lang w:eastAsia="lt-LT"/>
              </w:rPr>
              <w:t>neatidarinėti orlaidžių, langų ir durų;</w:t>
            </w:r>
          </w:p>
          <w:p>
            <w:pPr>
              <w:spacing w:line="276" w:lineRule="auto"/>
              <w:rPr>
                <w:lang w:eastAsia="lt-LT"/>
              </w:rPr>
            </w:pPr>
            <w:r>
              <w:rPr>
                <w:color w:val="000000"/>
                <w:lang w:eastAsia="lt-LT"/>
              </w:rPr>
              <w:t>sandariai uždaryti visas vėdinimo angas;</w:t>
            </w:r>
          </w:p>
          <w:p>
            <w:pPr>
              <w:spacing w:line="276" w:lineRule="auto"/>
              <w:rPr>
                <w:lang w:eastAsia="lt-LT"/>
              </w:rPr>
            </w:pPr>
            <w:r>
              <w:rPr>
                <w:color w:val="000000"/>
                <w:lang w:eastAsia="lt-LT"/>
              </w:rPr>
              <w:t>patalpoms vėdinti naudoti oro kondicionierius;</w:t>
            </w:r>
          </w:p>
          <w:p>
            <w:pPr>
              <w:spacing w:line="276" w:lineRule="auto"/>
              <w:rPr>
                <w:lang w:eastAsia="lt-LT"/>
              </w:rPr>
            </w:pPr>
            <w:r>
              <w:rPr>
                <w:color w:val="000000"/>
                <w:lang w:eastAsia="lt-LT"/>
              </w:rPr>
              <w:t>važiuojant autotransporto priemonėmis sandariai uždaryti langus;</w:t>
            </w:r>
          </w:p>
          <w:p>
            <w:pPr>
              <w:spacing w:line="276" w:lineRule="auto"/>
              <w:rPr>
                <w:lang w:eastAsia="lt-LT"/>
              </w:rPr>
            </w:pPr>
            <w:r>
              <w:rPr>
                <w:color w:val="000000"/>
                <w:lang w:eastAsia="lt-LT"/>
              </w:rPr>
              <w:t>naudoti kvėpavimo takų apsaugos priemones (kvėpavimo aparatus, filtruojančias priemones, kurių techniniuose reikalavimuose nurodyta, kiek galima būti aplinkoje, atsižvelgiant į oro teršalų koncentraciją);</w:t>
            </w:r>
          </w:p>
          <w:p>
            <w:pPr>
              <w:spacing w:line="276" w:lineRule="auto"/>
              <w:rPr>
                <w:lang w:eastAsia="lt-LT"/>
              </w:rPr>
            </w:pPr>
            <w:r>
              <w:rPr>
                <w:color w:val="000000"/>
                <w:lang w:eastAsia="lt-LT"/>
              </w:rPr>
              <w:t>blogai pasijutus, kreiptis į gydytoją;</w:t>
            </w:r>
          </w:p>
          <w:p>
            <w:pPr>
              <w:spacing w:line="276" w:lineRule="auto"/>
              <w:rPr>
                <w:szCs w:val="24"/>
                <w:lang w:eastAsia="lt-LT"/>
              </w:rPr>
            </w:pPr>
            <w:r>
              <w:rPr>
                <w:color w:val="000000"/>
                <w:lang w:eastAsia="lt-LT"/>
              </w:rPr>
              <w:t xml:space="preserve">esant būtinybei ar kilus neaiškumams, konsultuotis su </w:t>
            </w:r>
            <w:r>
              <w:rPr>
                <w:lang w:eastAsia="lt-LT"/>
              </w:rPr>
              <w:t>Nacionalinio visuomenės sveikatos centro</w:t>
            </w:r>
            <w:r>
              <w:rPr>
                <w:b/>
                <w:lang w:eastAsia="lt-LT"/>
              </w:rPr>
              <w:t xml:space="preserve"> </w:t>
            </w:r>
            <w:r>
              <w:rPr>
                <w:lang w:eastAsia="lt-LT"/>
              </w:rPr>
              <w:t xml:space="preserve">specialistais </w:t>
            </w:r>
          </w:p>
        </w:tc>
      </w:tr>
    </w:tbl>
    <w:p>
      <w:pPr>
        <w:jc w:val="center"/>
      </w:pPr>
      <w:r>
        <w:t>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d79ff0e68411e5ba46c884bbd2b4fd">
        <w:r w:rsidRPr="00532B9F">
          <w:rPr>
            <w:rFonts w:ascii="Times New Roman" w:eastAsia="MS Mincho" w:hAnsi="Times New Roman"/>
            <w:sz w:val="20"/>
            <w:i/>
            <w:iCs/>
            <w:color w:val="0000FF" w:themeColor="hyperlink"/>
            <w:u w:val="single"/>
          </w:rPr>
          <w:t>D1-172/V-335</w:t>
        </w:r>
      </w:fldSimple>
      <w:r>
        <w:rPr>
          <w:rFonts w:ascii="Times New Roman" w:eastAsia="MS Mincho" w:hAnsi="Times New Roman"/>
          <w:sz w:val="20"/>
          <w:i/>
          <w:iCs/>
        </w:rPr>
        <w:t>,
2016-03-09,
paskelbta TAR 2016-03-10, i. k. 2016-04510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2F7EC848A9">
        <w:r w:rsidRPr="00532B9F">
          <w:rPr>
            <w:rFonts w:ascii="Times New Roman" w:eastAsia="MS Mincho" w:hAnsi="Times New Roman"/>
            <w:sz w:val="20"/>
            <w:iCs/>
            <w:color w:val="0000FF" w:themeColor="hyperlink"/>
            <w:u w:val="single"/>
          </w:rPr>
          <w:t>D1-803/V-1065</w:t>
        </w:r>
      </w:fldSimple>
      <w:r>
        <w:rPr>
          <w:rFonts w:ascii="Times New Roman" w:eastAsia="MS Mincho" w:hAnsi="Times New Roman"/>
          <w:sz w:val="20"/>
          <w:iCs/>
        </w:rPr>
        <w:t>,
2009-12-24,
Žin., 2009, Nr.
157-7111 (2009-12-31), i. k. 109301MISAK3/V-1065                </w:t>
      </w:r>
    </w:p>
    <w:p>
      <w:pPr>
        <w:jc w:val="both"/>
        <w:rPr>
          <w:rFonts w:ascii="Times New Roman" w:hAnsi="Times New Roman"/>
        </w:rPr>
      </w:pPr>
      <w:r>
        <w:rPr>
          <w:rFonts w:ascii="Times New Roman" w:hAnsi="Times New Roman"/>
          <w:sz w:val="20"/>
        </w:rPr>
        <w:t>Dėl aplinkos ministro ir sveikatos apsaugos ministro 2005 m. gegužės 26 d. įsakymo Nr. D1-265/V-436 "Dėl Visuomenės ir suinteresuotų institucijų informavimo apie aplinkos oro užterštumo lygius, viršijančius pavojaus ar informavimo slenksčius,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16B4365CB2">
        <w:r w:rsidRPr="00532B9F">
          <w:rPr>
            <w:rFonts w:ascii="Times New Roman" w:eastAsia="MS Mincho" w:hAnsi="Times New Roman"/>
            <w:sz w:val="20"/>
            <w:iCs/>
            <w:color w:val="0000FF" w:themeColor="hyperlink"/>
            <w:u w:val="single"/>
          </w:rPr>
          <w:t>D1-584/V-610</w:t>
        </w:r>
      </w:fldSimple>
      <w:r>
        <w:rPr>
          <w:rFonts w:ascii="Times New Roman" w:eastAsia="MS Mincho" w:hAnsi="Times New Roman"/>
          <w:sz w:val="20"/>
          <w:iCs/>
        </w:rPr>
        <w:t>,
2010-07-07,
Žin., 2010, Nr.
82-4363 (2010-07-13), i. k. 110301MISAK84/V-610                </w:t>
      </w:r>
    </w:p>
    <w:p>
      <w:pPr>
        <w:jc w:val="both"/>
        <w:rPr>
          <w:rFonts w:ascii="Times New Roman" w:hAnsi="Times New Roman"/>
        </w:rPr>
      </w:pPr>
      <w:r>
        <w:rPr>
          <w:rFonts w:ascii="Times New Roman" w:hAnsi="Times New Roman"/>
          <w:sz w:val="20"/>
        </w:rPr>
        <w:t>Dėl Lietuvos Respublikos aplinkos ministro ir Lietuvos Respublikos sveikatos apsaugos ministro 2005 m. gegužės 26 d. įsakymo Nr. D1-265/V-436 "Dėl Visuomenės, suinteresuotų institucijų ir įstaigų informavimo apie aplinkos oro užterštumo lygius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d79ff0e68411e5ba46c884bbd2b4fd">
        <w:r w:rsidRPr="00532B9F">
          <w:rPr>
            <w:rFonts w:ascii="Times New Roman" w:eastAsia="MS Mincho" w:hAnsi="Times New Roman"/>
            <w:sz w:val="20"/>
            <w:iCs/>
            <w:color w:val="0000FF" w:themeColor="hyperlink"/>
            <w:u w:val="single"/>
          </w:rPr>
          <w:t>D1-172/V-335</w:t>
        </w:r>
      </w:fldSimple>
      <w:r>
        <w:rPr>
          <w:rFonts w:ascii="Times New Roman" w:eastAsia="MS Mincho" w:hAnsi="Times New Roman"/>
          <w:sz w:val="20"/>
          <w:iCs/>
        </w:rPr>
        <w:t>,
2016-03-09,
paskelbta TAR 2016-03-10, i. k. 2016-04510                </w:t>
      </w:r>
    </w:p>
    <w:p>
      <w:pPr>
        <w:jc w:val="both"/>
        <w:rPr>
          <w:rFonts w:ascii="Times New Roman" w:hAnsi="Times New Roman"/>
        </w:rPr>
      </w:pPr>
      <w:r>
        <w:rPr>
          <w:rFonts w:ascii="Times New Roman" w:hAnsi="Times New Roman"/>
          <w:sz w:val="20"/>
        </w:rPr>
        <w:t>Dėl Lietuvos Respublikos aplinkos ministro ir Lietuvos Respublikos sveikatos apsaugos ministro 2005 m. gegužės 26 d. įsakymo Nr. D1-265/V-436 „Dėl Visuomenės, suinteresuotų institucijų ir įstaigų informavimo apie aplinkos oro užterštumo lygius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4d3ea090c511e8b93ad15b34c9248c">
        <w:r w:rsidRPr="00532B9F">
          <w:rPr>
            <w:rFonts w:ascii="Times New Roman" w:eastAsia="MS Mincho" w:hAnsi="Times New Roman"/>
            <w:sz w:val="20"/>
            <w:iCs/>
            <w:color w:val="0000FF" w:themeColor="hyperlink"/>
            <w:u w:val="single"/>
          </w:rPr>
          <w:t>D1-711/V-830</w:t>
        </w:r>
      </w:fldSimple>
      <w:r>
        <w:rPr>
          <w:rFonts w:ascii="Times New Roman" w:eastAsia="MS Mincho" w:hAnsi="Times New Roman"/>
          <w:sz w:val="20"/>
          <w:iCs/>
        </w:rPr>
        <w:t>,
2018-07-24,
paskelbta TAR 2018-07-26, i. k. 2018-12456                </w:t>
      </w:r>
    </w:p>
    <w:p>
      <w:pPr>
        <w:jc w:val="both"/>
        <w:rPr>
          <w:rFonts w:ascii="Times New Roman" w:hAnsi="Times New Roman"/>
        </w:rPr>
      </w:pPr>
      <w:r>
        <w:rPr>
          <w:rFonts w:ascii="Times New Roman" w:hAnsi="Times New Roman"/>
          <w:sz w:val="20"/>
        </w:rPr>
        <w:t>Dėl Lietuvos Respublikos aplinkos ministro ir Lietuvos Respublikos sveikatos apsaugos ministro 2005 m. gegužės 26 d. įsakymo Nr. D1-265/V-436 „Dėl Visuomenės, suinteresuotų institucijų ir įstaigų informavimo apie aplinkos oro užterštumo lygius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BF4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4186009">
      <w:bodyDiv w:val="1"/>
      <w:marLeft w:val="0"/>
      <w:marRight w:val="0"/>
      <w:marTop w:val="0"/>
      <w:marBottom w:val="0"/>
      <w:divBdr>
        <w:top w:val="none" w:sz="0" w:space="0" w:color="auto"/>
        <w:left w:val="none" w:sz="0" w:space="0" w:color="auto"/>
        <w:bottom w:val="none" w:sz="0" w:space="0" w:color="auto"/>
        <w:right w:val="none" w:sz="0" w:space="0" w:color="auto"/>
      </w:divBdr>
    </w:div>
    <w:div w:id="697967364">
      <w:bodyDiv w:val="1"/>
      <w:marLeft w:val="0"/>
      <w:marRight w:val="0"/>
      <w:marTop w:val="0"/>
      <w:marBottom w:val="0"/>
      <w:divBdr>
        <w:top w:val="none" w:sz="0" w:space="0" w:color="auto"/>
        <w:left w:val="none" w:sz="0" w:space="0" w:color="auto"/>
        <w:bottom w:val="none" w:sz="0" w:space="0" w:color="auto"/>
        <w:right w:val="none" w:sz="0" w:space="0" w:color="auto"/>
      </w:divBdr>
    </w:div>
    <w:div w:id="800344663">
      <w:bodyDiv w:val="1"/>
      <w:marLeft w:val="0"/>
      <w:marRight w:val="0"/>
      <w:marTop w:val="0"/>
      <w:marBottom w:val="0"/>
      <w:divBdr>
        <w:top w:val="none" w:sz="0" w:space="0" w:color="auto"/>
        <w:left w:val="none" w:sz="0" w:space="0" w:color="auto"/>
        <w:bottom w:val="none" w:sz="0" w:space="0" w:color="auto"/>
        <w:right w:val="none" w:sz="0" w:space="0" w:color="auto"/>
      </w:divBdr>
    </w:div>
    <w:div w:id="884873988">
      <w:bodyDiv w:val="1"/>
      <w:marLeft w:val="0"/>
      <w:marRight w:val="0"/>
      <w:marTop w:val="0"/>
      <w:marBottom w:val="0"/>
      <w:divBdr>
        <w:top w:val="none" w:sz="0" w:space="0" w:color="auto"/>
        <w:left w:val="none" w:sz="0" w:space="0" w:color="auto"/>
        <w:bottom w:val="none" w:sz="0" w:space="0" w:color="auto"/>
        <w:right w:val="none" w:sz="0" w:space="0" w:color="auto"/>
      </w:divBdr>
    </w:div>
    <w:div w:id="1180269656">
      <w:bodyDiv w:val="1"/>
      <w:marLeft w:val="0"/>
      <w:marRight w:val="0"/>
      <w:marTop w:val="0"/>
      <w:marBottom w:val="0"/>
      <w:divBdr>
        <w:top w:val="none" w:sz="0" w:space="0" w:color="auto"/>
        <w:left w:val="none" w:sz="0" w:space="0" w:color="auto"/>
        <w:bottom w:val="none" w:sz="0" w:space="0" w:color="auto"/>
        <w:right w:val="none" w:sz="0" w:space="0" w:color="auto"/>
      </w:divBdr>
    </w:div>
    <w:div w:id="1235310879">
      <w:bodyDiv w:val="1"/>
      <w:marLeft w:val="0"/>
      <w:marRight w:val="0"/>
      <w:marTop w:val="0"/>
      <w:marBottom w:val="0"/>
      <w:divBdr>
        <w:top w:val="none" w:sz="0" w:space="0" w:color="auto"/>
        <w:left w:val="none" w:sz="0" w:space="0" w:color="auto"/>
        <w:bottom w:val="none" w:sz="0" w:space="0" w:color="auto"/>
        <w:right w:val="none" w:sz="0" w:space="0" w:color="auto"/>
      </w:divBdr>
    </w:div>
    <w:div w:id="1489714225">
      <w:bodyDiv w:val="1"/>
      <w:marLeft w:val="0"/>
      <w:marRight w:val="0"/>
      <w:marTop w:val="0"/>
      <w:marBottom w:val="0"/>
      <w:divBdr>
        <w:top w:val="none" w:sz="0" w:space="0" w:color="auto"/>
        <w:left w:val="none" w:sz="0" w:space="0" w:color="auto"/>
        <w:bottom w:val="none" w:sz="0" w:space="0" w:color="auto"/>
        <w:right w:val="none" w:sz="0" w:space="0" w:color="auto"/>
      </w:divBdr>
    </w:div>
    <w:div w:id="1663117639">
      <w:bodyDiv w:val="1"/>
      <w:marLeft w:val="0"/>
      <w:marRight w:val="0"/>
      <w:marTop w:val="0"/>
      <w:marBottom w:val="0"/>
      <w:divBdr>
        <w:top w:val="none" w:sz="0" w:space="0" w:color="auto"/>
        <w:left w:val="none" w:sz="0" w:space="0" w:color="auto"/>
        <w:bottom w:val="none" w:sz="0" w:space="0" w:color="auto"/>
        <w:right w:val="none" w:sz="0" w:space="0" w:color="auto"/>
      </w:divBdr>
    </w:div>
    <w:div w:id="1676222593">
      <w:bodyDiv w:val="1"/>
      <w:marLeft w:val="0"/>
      <w:marRight w:val="0"/>
      <w:marTop w:val="0"/>
      <w:marBottom w:val="0"/>
      <w:divBdr>
        <w:top w:val="none" w:sz="0" w:space="0" w:color="auto"/>
        <w:left w:val="none" w:sz="0" w:space="0" w:color="auto"/>
        <w:bottom w:val="none" w:sz="0" w:space="0" w:color="auto"/>
        <w:right w:val="none" w:sz="0" w:space="0" w:color="auto"/>
      </w:divBdr>
    </w:div>
    <w:div w:id="1794328900">
      <w:bodyDiv w:val="1"/>
      <w:marLeft w:val="0"/>
      <w:marRight w:val="0"/>
      <w:marTop w:val="0"/>
      <w:marBottom w:val="0"/>
      <w:divBdr>
        <w:top w:val="none" w:sz="0" w:space="0" w:color="auto"/>
        <w:left w:val="none" w:sz="0" w:space="0" w:color="auto"/>
        <w:bottom w:val="none" w:sz="0" w:space="0" w:color="auto"/>
        <w:right w:val="none" w:sz="0" w:space="0" w:color="auto"/>
      </w:divBdr>
    </w:div>
    <w:div w:id="19788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9</Pages>
  <Words>12351</Words>
  <Characters>7041</Characters>
  <Application>Microsoft Office Word</Application>
  <DocSecurity>0</DocSecurity>
  <Lines>58</Lines>
  <Paragraphs>38</Paragraphs>
  <ScaleCrop>false</ScaleCrop>
  <Company/>
  <LinksUpToDate>false</LinksUpToDate>
  <CharactersWithSpaces>19354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2015-08-05T20:09:00Z</dcterms:created>
  <dc:creator>User</dc:creator>
  <lastModifiedBy>ŠAULYTĖ SKAIRIENĖ Dalia</lastModifiedBy>
  <dcterms:modified xsi:type="dcterms:W3CDTF">2018-07-30T05:35:00Z</dcterms:modified>
  <revision>14</revision>
</coreProperties>
</file>